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4" w:line="185" w:lineRule="auto"/>
        <w:ind w:firstLine="82"/>
        <w:rPr>
          <w:rFonts w:ascii="宋体" w:hAnsi="宋体" w:eastAsia="宋体" w:cs="宋体"/>
          <w:sz w:val="22"/>
          <w:szCs w:val="22"/>
          <w:highlight w:val="yellow"/>
        </w:rPr>
      </w:pPr>
      <w:bookmarkStart w:id="0" w:name="_Toc27669"/>
      <w:bookmarkStart w:id="1" w:name="_Toc98696212"/>
      <w:bookmarkStart w:id="2" w:name="_Toc6698"/>
      <w:bookmarkStart w:id="3" w:name="_Toc1910587"/>
      <w:bookmarkStart w:id="4" w:name="_Toc1484808"/>
      <w:bookmarkStart w:id="5" w:name="_Toc2613712"/>
      <w:bookmarkStart w:id="6" w:name="_Toc1910461"/>
      <w:bookmarkStart w:id="7" w:name="_Toc2615014"/>
      <w:r>
        <w:rPr>
          <w:rFonts w:ascii="宋体" w:hAnsi="宋体" w:eastAsia="宋体" w:cs="宋体"/>
          <w:spacing w:val="-5"/>
          <w:sz w:val="22"/>
          <w:szCs w:val="22"/>
          <w:highlight w:val="yellow"/>
        </w:rPr>
        <w:t>ICS</w:t>
      </w:r>
      <w:r>
        <w:rPr>
          <w:rFonts w:ascii="宋体" w:hAnsi="宋体" w:eastAsia="宋体" w:cs="宋体"/>
          <w:spacing w:val="14"/>
          <w:sz w:val="22"/>
          <w:szCs w:val="22"/>
          <w:highlight w:val="yellow"/>
        </w:rPr>
        <w:t xml:space="preserve"> </w:t>
      </w:r>
      <w:r>
        <w:rPr>
          <w:rFonts w:ascii="宋体" w:hAnsi="宋体" w:eastAsia="宋体" w:cs="宋体"/>
          <w:spacing w:val="-5"/>
          <w:sz w:val="22"/>
          <w:szCs w:val="22"/>
          <w:highlight w:val="yellow"/>
        </w:rPr>
        <w:t>号</w:t>
      </w:r>
    </w:p>
    <w:p>
      <w:pPr>
        <w:spacing w:before="91" w:line="185" w:lineRule="auto"/>
        <w:ind w:firstLine="91"/>
        <w:rPr>
          <w:rFonts w:ascii="宋体" w:hAnsi="宋体" w:eastAsia="宋体" w:cs="宋体"/>
          <w:sz w:val="22"/>
          <w:szCs w:val="22"/>
          <w:highlight w:val="yellow"/>
        </w:rPr>
      </w:pPr>
      <w:r>
        <w:rPr>
          <w:rFonts w:ascii="宋体" w:hAnsi="宋体" w:eastAsia="宋体" w:cs="宋体"/>
          <w:spacing w:val="-3"/>
          <w:sz w:val="22"/>
          <w:szCs w:val="22"/>
          <w:highlight w:val="yellow"/>
        </w:rPr>
        <w:t>中国标准文献分类号</w:t>
      </w:r>
    </w:p>
    <w:p>
      <w:pPr>
        <w:spacing w:line="267" w:lineRule="auto"/>
        <w:rPr>
          <w:rFonts w:ascii="宋体"/>
        </w:rPr>
      </w:pPr>
    </w:p>
    <w:p>
      <w:pPr>
        <w:spacing w:line="267" w:lineRule="auto"/>
        <w:jc w:val="right"/>
        <w:rPr>
          <w:rFonts w:eastAsia="宋体" w:asciiTheme="majorHAnsi" w:hAnsiTheme="majorHAnsi"/>
          <w:b/>
          <w:bCs/>
          <w:sz w:val="84"/>
          <w:szCs w:val="84"/>
        </w:rPr>
      </w:pPr>
      <w:r>
        <w:rPr>
          <w:rFonts w:eastAsia="宋体" w:asciiTheme="majorHAnsi" w:hAnsiTheme="majorHAnsi"/>
          <w:b/>
          <w:bCs/>
          <w:sz w:val="84"/>
          <w:szCs w:val="84"/>
          <w:highlight w:val="yellow"/>
        </w:rPr>
        <w:t>DB1502</w:t>
      </w:r>
    </w:p>
    <w:p>
      <w:pPr>
        <w:spacing w:line="267" w:lineRule="auto"/>
        <w:rPr>
          <w:rFonts w:ascii="宋体"/>
        </w:rPr>
      </w:pPr>
    </w:p>
    <w:p>
      <w:pPr>
        <w:spacing w:before="274" w:line="185" w:lineRule="auto"/>
        <w:ind w:firstLine="774" w:firstLineChars="100"/>
        <w:rPr>
          <w:rFonts w:ascii="黑体" w:hAnsi="黑体" w:eastAsia="黑体" w:cs="黑体"/>
          <w:sz w:val="84"/>
          <w:szCs w:val="84"/>
        </w:rPr>
      </w:pPr>
      <w:r>
        <w:rPr>
          <w:rFonts w:hint="eastAsia" w:ascii="黑体" w:hAnsi="黑体" w:eastAsia="黑体" w:cs="黑体"/>
          <w:spacing w:val="-33"/>
          <w:sz w:val="84"/>
          <w:szCs w:val="84"/>
        </w:rPr>
        <w:t>包 头 市 地 方</w:t>
      </w:r>
      <w:r>
        <w:rPr>
          <w:rFonts w:ascii="黑体" w:hAnsi="黑体" w:eastAsia="黑体" w:cs="黑体"/>
          <w:spacing w:val="18"/>
          <w:sz w:val="84"/>
          <w:szCs w:val="84"/>
        </w:rPr>
        <w:t xml:space="preserve"> </w:t>
      </w:r>
      <w:r>
        <w:rPr>
          <w:rFonts w:ascii="黑体" w:hAnsi="黑体" w:eastAsia="黑体" w:cs="黑体"/>
          <w:spacing w:val="-33"/>
          <w:sz w:val="84"/>
          <w:szCs w:val="84"/>
        </w:rPr>
        <w:t>标</w:t>
      </w:r>
      <w:r>
        <w:rPr>
          <w:rFonts w:ascii="黑体" w:hAnsi="黑体" w:eastAsia="黑体" w:cs="黑体"/>
          <w:spacing w:val="36"/>
          <w:sz w:val="84"/>
          <w:szCs w:val="84"/>
        </w:rPr>
        <w:t xml:space="preserve"> </w:t>
      </w:r>
      <w:r>
        <w:rPr>
          <w:rFonts w:ascii="黑体" w:hAnsi="黑体" w:eastAsia="黑体" w:cs="黑体"/>
          <w:spacing w:val="-33"/>
          <w:sz w:val="84"/>
          <w:szCs w:val="84"/>
        </w:rPr>
        <w:t>准</w:t>
      </w:r>
    </w:p>
    <w:p>
      <w:pPr>
        <w:spacing w:line="261" w:lineRule="auto"/>
        <w:rPr>
          <w:rFonts w:ascii="宋体"/>
        </w:rPr>
      </w:pPr>
    </w:p>
    <w:p>
      <w:pPr>
        <w:spacing w:line="262" w:lineRule="auto"/>
        <w:rPr>
          <w:rFonts w:ascii="宋体"/>
        </w:rPr>
      </w:pPr>
    </w:p>
    <w:p>
      <w:pPr>
        <w:spacing w:before="92" w:line="185" w:lineRule="auto"/>
        <w:ind w:firstLine="6766"/>
        <w:rPr>
          <w:rFonts w:ascii="黑体" w:hAnsi="黑体" w:eastAsia="黑体" w:cs="黑体"/>
          <w:sz w:val="28"/>
          <w:szCs w:val="28"/>
        </w:rPr>
      </w:pPr>
      <w:r>
        <w:rPr>
          <w:rFonts w:hint="eastAsia" w:ascii="黑体" w:hAnsi="黑体" w:eastAsia="黑体" w:cs="黑体"/>
          <w:spacing w:val="-1"/>
          <w:sz w:val="28"/>
          <w:szCs w:val="28"/>
        </w:rPr>
        <w:t>DB 1502/XXX XXX</w:t>
      </w:r>
    </w:p>
    <w:p>
      <w:pPr>
        <w:spacing w:before="221" w:line="41" w:lineRule="exact"/>
        <w:textAlignment w:val="center"/>
      </w:pPr>
      <w:r>
        <w:drawing>
          <wp:inline distT="0" distB="0" distL="0" distR="0">
            <wp:extent cx="5794375" cy="74295"/>
            <wp:effectExtent l="0" t="0" r="9525" b="19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flipV="1">
                      <a:off x="0" y="0"/>
                      <a:ext cx="7059968" cy="90679"/>
                    </a:xfrm>
                    <a:prstGeom prst="rect">
                      <a:avLst/>
                    </a:prstGeom>
                  </pic:spPr>
                </pic:pic>
              </a:graphicData>
            </a:graphic>
          </wp:inline>
        </w:drawing>
      </w:r>
    </w:p>
    <w:p>
      <w:pPr>
        <w:spacing w:line="256" w:lineRule="auto"/>
        <w:rPr>
          <w:rFonts w:ascii="宋体"/>
        </w:rPr>
      </w:pPr>
    </w:p>
    <w:p>
      <w:pPr>
        <w:spacing w:line="256" w:lineRule="auto"/>
        <w:rPr>
          <w:rFonts w:ascii="宋体"/>
        </w:rPr>
      </w:pPr>
    </w:p>
    <w:p>
      <w:pPr>
        <w:spacing w:line="256" w:lineRule="auto"/>
        <w:rPr>
          <w:rFonts w:ascii="宋体"/>
        </w:rPr>
      </w:pPr>
    </w:p>
    <w:p>
      <w:pPr>
        <w:spacing w:line="257" w:lineRule="auto"/>
        <w:rPr>
          <w:rFonts w:ascii="宋体"/>
        </w:rPr>
      </w:pPr>
    </w:p>
    <w:p>
      <w:pPr>
        <w:spacing w:line="257" w:lineRule="auto"/>
        <w:rPr>
          <w:rFonts w:ascii="宋体"/>
        </w:rPr>
      </w:pPr>
    </w:p>
    <w:p>
      <w:pPr>
        <w:spacing w:line="257" w:lineRule="auto"/>
        <w:rPr>
          <w:rFonts w:ascii="宋体"/>
        </w:rPr>
      </w:pPr>
    </w:p>
    <w:p>
      <w:pPr>
        <w:spacing w:before="143" w:line="184" w:lineRule="auto"/>
        <w:ind w:firstLine="991"/>
        <w:rPr>
          <w:rFonts w:ascii="黑体" w:hAnsi="黑体" w:eastAsia="黑体" w:cs="黑体"/>
          <w:sz w:val="44"/>
          <w:szCs w:val="44"/>
        </w:rPr>
      </w:pPr>
      <w:r>
        <w:rPr>
          <w:rFonts w:ascii="黑体" w:hAnsi="黑体" w:eastAsia="黑体" w:cs="黑体"/>
          <w:spacing w:val="-3"/>
          <w:sz w:val="44"/>
          <w:szCs w:val="44"/>
        </w:rPr>
        <w:t>电动中重卡共享换电站建设及换电车辆</w:t>
      </w:r>
    </w:p>
    <w:p>
      <w:pPr>
        <w:spacing w:before="184" w:line="625" w:lineRule="exact"/>
        <w:ind w:firstLine="3825"/>
        <w:rPr>
          <w:rFonts w:ascii="黑体" w:hAnsi="黑体" w:eastAsia="黑体" w:cs="黑体"/>
          <w:sz w:val="44"/>
          <w:szCs w:val="44"/>
        </w:rPr>
      </w:pPr>
      <w:r>
        <w:rPr>
          <w:rFonts w:ascii="黑体" w:hAnsi="黑体" w:eastAsia="黑体" w:cs="黑体"/>
          <w:spacing w:val="-5"/>
          <w:position w:val="12"/>
          <w:sz w:val="44"/>
          <w:szCs w:val="44"/>
        </w:rPr>
        <w:t>技术规范</w:t>
      </w:r>
    </w:p>
    <w:p>
      <w:pPr>
        <w:spacing w:line="204" w:lineRule="auto"/>
        <w:jc w:val="center"/>
        <w:rPr>
          <w:rFonts w:hint="default" w:ascii="黑体" w:hAnsi="黑体" w:eastAsia="黑体" w:cs="黑体"/>
          <w:sz w:val="44"/>
          <w:szCs w:val="44"/>
          <w:lang w:val="en-US" w:eastAsia="zh-CN"/>
        </w:rPr>
      </w:pPr>
      <w:r>
        <w:rPr>
          <w:rFonts w:ascii="黑体" w:hAnsi="黑体" w:eastAsia="黑体" w:cs="黑体"/>
          <w:spacing w:val="-19"/>
          <w:w w:val="87"/>
          <w:sz w:val="44"/>
          <w:szCs w:val="44"/>
        </w:rPr>
        <w:t>第</w:t>
      </w:r>
      <w:r>
        <w:rPr>
          <w:rFonts w:ascii="黑体" w:hAnsi="黑体" w:eastAsia="黑体" w:cs="黑体"/>
          <w:spacing w:val="-61"/>
          <w:sz w:val="44"/>
          <w:szCs w:val="44"/>
        </w:rPr>
        <w:t xml:space="preserve"> </w:t>
      </w:r>
      <w:r>
        <w:rPr>
          <w:rFonts w:hint="eastAsia" w:ascii="黑体" w:hAnsi="黑体" w:eastAsia="黑体" w:cs="黑体"/>
          <w:spacing w:val="-19"/>
          <w:w w:val="87"/>
          <w:sz w:val="44"/>
          <w:szCs w:val="44"/>
          <w:lang w:val="en-US" w:eastAsia="zh-CN"/>
        </w:rPr>
        <w:t>3</w:t>
      </w:r>
      <w:r>
        <w:rPr>
          <w:rFonts w:ascii="黑体" w:hAnsi="黑体" w:eastAsia="黑体" w:cs="黑体"/>
          <w:spacing w:val="-19"/>
          <w:w w:val="87"/>
          <w:sz w:val="44"/>
          <w:szCs w:val="44"/>
        </w:rPr>
        <w:t>部分：</w:t>
      </w:r>
      <w:r>
        <w:rPr>
          <w:rFonts w:ascii="黑体" w:hAnsi="黑体" w:eastAsia="黑体" w:cs="黑体"/>
          <w:spacing w:val="43"/>
          <w:sz w:val="44"/>
          <w:szCs w:val="44"/>
        </w:rPr>
        <w:t xml:space="preserve"> </w:t>
      </w:r>
      <w:r>
        <w:rPr>
          <w:rFonts w:hint="eastAsia" w:ascii="黑体" w:hAnsi="黑体" w:eastAsia="黑体" w:cs="黑体"/>
          <w:spacing w:val="-19"/>
          <w:w w:val="87"/>
          <w:sz w:val="44"/>
          <w:szCs w:val="44"/>
          <w:lang w:val="en-US" w:eastAsia="zh-CN"/>
        </w:rPr>
        <w:t>换电车辆换电连接器技术要求</w:t>
      </w:r>
    </w:p>
    <w:p>
      <w:pPr>
        <w:spacing w:line="316" w:lineRule="auto"/>
        <w:rPr>
          <w:rFonts w:ascii="宋体"/>
        </w:rPr>
      </w:pPr>
    </w:p>
    <w:p>
      <w:pPr>
        <w:spacing w:before="70" w:line="232" w:lineRule="auto"/>
        <w:ind w:left="1752" w:right="277" w:hanging="168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electric</w:t>
      </w:r>
      <w:r>
        <w:rPr>
          <w:rFonts w:ascii="Times New Roman" w:hAnsi="Times New Roman" w:eastAsia="Times New Roman" w:cs="Times New Roman"/>
          <w:spacing w:val="24"/>
          <w:w w:val="101"/>
          <w:sz w:val="24"/>
          <w:szCs w:val="24"/>
        </w:rPr>
        <w:t xml:space="preserve"> </w:t>
      </w:r>
      <w:r>
        <w:rPr>
          <w:rFonts w:ascii="Times New Roman" w:hAnsi="Times New Roman" w:eastAsia="Times New Roman" w:cs="Times New Roman"/>
          <w:spacing w:val="-1"/>
          <w:sz w:val="24"/>
          <w:szCs w:val="24"/>
        </w:rPr>
        <w:t>medium</w:t>
      </w:r>
      <w:r>
        <w:rPr>
          <w:rFonts w:ascii="Times New Roman" w:hAnsi="Times New Roman" w:eastAsia="Times New Roman" w:cs="Times New Roman"/>
          <w:spacing w:val="8"/>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heavy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truck</w:t>
      </w:r>
      <w:r>
        <w:rPr>
          <w:rFonts w:ascii="Times New Roman" w:hAnsi="Times New Roman" w:eastAsia="Times New Roman" w:cs="Times New Roman"/>
          <w:spacing w:val="10"/>
          <w:w w:val="101"/>
          <w:sz w:val="24"/>
          <w:szCs w:val="24"/>
        </w:rPr>
        <w:t xml:space="preserve"> </w:t>
      </w:r>
      <w:r>
        <w:rPr>
          <w:rFonts w:ascii="Times New Roman" w:hAnsi="Times New Roman" w:eastAsia="Times New Roman" w:cs="Times New Roman"/>
          <w:spacing w:val="-1"/>
          <w:sz w:val="24"/>
          <w:szCs w:val="24"/>
        </w:rPr>
        <w:t>sharing replacement power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station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construction</w:t>
      </w:r>
      <w:r>
        <w:rPr>
          <w:rFonts w:ascii="Times New Roman" w:hAnsi="Times New Roman" w:eastAsia="Times New Roman" w:cs="Times New Roman"/>
          <w:spacing w:val="8"/>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technical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specifications</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power</w:t>
      </w:r>
      <w:r>
        <w:rPr>
          <w:rFonts w:ascii="Times New Roman" w:hAnsi="Times New Roman" w:eastAsia="Times New Roman" w:cs="Times New Roman"/>
          <w:spacing w:val="8"/>
          <w:w w:val="101"/>
          <w:sz w:val="24"/>
          <w:szCs w:val="24"/>
        </w:rPr>
        <w:t xml:space="preserve"> </w:t>
      </w:r>
      <w:r>
        <w:rPr>
          <w:rFonts w:ascii="Times New Roman" w:hAnsi="Times New Roman" w:eastAsia="Times New Roman" w:cs="Times New Roman"/>
          <w:spacing w:val="-1"/>
          <w:sz w:val="24"/>
          <w:szCs w:val="24"/>
        </w:rPr>
        <w:t>exchange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vehicles</w:t>
      </w:r>
    </w:p>
    <w:p>
      <w:pPr>
        <w:spacing w:before="91" w:line="587" w:lineRule="exact"/>
        <w:ind w:firstLine="236" w:firstLineChars="100"/>
        <w:rPr>
          <w:rFonts w:ascii="Times New Roman" w:hAnsi="Times New Roman" w:eastAsia="Times New Roman" w:cs="Times New Roman"/>
          <w:sz w:val="24"/>
          <w:szCs w:val="24"/>
        </w:rPr>
      </w:pPr>
      <w:r>
        <w:rPr>
          <w:rFonts w:ascii="Times New Roman" w:hAnsi="Times New Roman" w:eastAsia="Times New Roman" w:cs="Times New Roman"/>
          <w:spacing w:val="-2"/>
          <w:position w:val="27"/>
          <w:sz w:val="24"/>
          <w:szCs w:val="24"/>
        </w:rPr>
        <w:t>part</w:t>
      </w:r>
      <w:r>
        <w:rPr>
          <w:rFonts w:hint="eastAsia" w:ascii="Times New Roman" w:hAnsi="Times New Roman" w:eastAsia="Times New Roman" w:cs="Times New Roman"/>
          <w:spacing w:val="-2"/>
          <w:position w:val="27"/>
          <w:sz w:val="24"/>
          <w:szCs w:val="24"/>
          <w:lang w:val="en-US" w:eastAsia="zh-CN"/>
        </w:rPr>
        <w:t>3：</w:t>
      </w:r>
      <w:r>
        <w:rPr>
          <w:rFonts w:ascii="Times New Roman" w:hAnsi="Times New Roman" w:eastAsia="Times New Roman" w:cs="Times New Roman"/>
          <w:spacing w:val="-2"/>
          <w:position w:val="27"/>
          <w:sz w:val="24"/>
          <w:szCs w:val="24"/>
        </w:rPr>
        <w:t xml:space="preserve">Technical requirements for swappable electrical connector for battery swapping </w:t>
      </w:r>
      <w:r>
        <w:rPr>
          <w:rFonts w:hint="eastAsia" w:ascii="Times New Roman" w:hAnsi="Times New Roman" w:eastAsia="Times New Roman" w:cs="Times New Roman"/>
          <w:spacing w:val="-2"/>
          <w:position w:val="27"/>
          <w:sz w:val="24"/>
          <w:szCs w:val="24"/>
        </w:rPr>
        <w:t>vehicle</w:t>
      </w:r>
    </w:p>
    <w:p>
      <w:pPr>
        <w:spacing w:line="204" w:lineRule="auto"/>
        <w:ind w:firstLine="4162"/>
        <w:rPr>
          <w:rFonts w:ascii="黑体" w:hAnsi="黑体" w:eastAsia="黑体" w:cs="黑体"/>
          <w:sz w:val="24"/>
          <w:szCs w:val="24"/>
        </w:rPr>
      </w:pPr>
      <w:r>
        <w:rPr>
          <w:rFonts w:ascii="黑体" w:hAnsi="黑体" w:eastAsia="黑体" w:cs="黑体"/>
          <w:spacing w:val="-9"/>
          <w:sz w:val="24"/>
          <w:szCs w:val="24"/>
        </w:rPr>
        <w:t>（</w:t>
      </w:r>
      <w:r>
        <w:rPr>
          <w:rFonts w:ascii="黑体" w:hAnsi="黑体" w:eastAsia="黑体" w:cs="黑体"/>
          <w:spacing w:val="11"/>
          <w:sz w:val="24"/>
          <w:szCs w:val="24"/>
        </w:rPr>
        <w:t xml:space="preserve"> </w:t>
      </w:r>
      <w:r>
        <w:rPr>
          <w:rFonts w:ascii="黑体" w:hAnsi="黑体" w:eastAsia="黑体" w:cs="黑体"/>
          <w:spacing w:val="-9"/>
          <w:sz w:val="24"/>
          <w:szCs w:val="24"/>
        </w:rPr>
        <w:t>草案</w:t>
      </w:r>
      <w:r>
        <w:rPr>
          <w:rFonts w:ascii="黑体" w:hAnsi="黑体" w:eastAsia="黑体" w:cs="黑体"/>
          <w:sz w:val="24"/>
          <w:szCs w:val="24"/>
        </w:rPr>
        <w:t xml:space="preserve"> </w:t>
      </w:r>
      <w:r>
        <w:rPr>
          <w:rFonts w:ascii="黑体" w:hAnsi="黑体" w:eastAsia="黑体" w:cs="黑体"/>
          <w:spacing w:val="-9"/>
          <w:sz w:val="24"/>
          <w:szCs w:val="24"/>
        </w:rPr>
        <w:t>）</w:t>
      </w: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9" w:lineRule="auto"/>
        <w:rPr>
          <w:rFonts w:ascii="宋体"/>
        </w:rPr>
      </w:pPr>
    </w:p>
    <w:p>
      <w:pPr>
        <w:spacing w:line="259" w:lineRule="auto"/>
        <w:rPr>
          <w:rFonts w:ascii="宋体"/>
        </w:rPr>
      </w:pPr>
    </w:p>
    <w:p>
      <w:pPr>
        <w:spacing w:line="259" w:lineRule="auto"/>
        <w:rPr>
          <w:rFonts w:ascii="宋体"/>
        </w:rPr>
      </w:pPr>
    </w:p>
    <w:p>
      <w:pPr>
        <w:spacing w:line="259" w:lineRule="auto"/>
        <w:rPr>
          <w:rFonts w:ascii="宋体"/>
        </w:rPr>
      </w:pPr>
    </w:p>
    <w:p>
      <w:pPr>
        <w:spacing w:before="98" w:line="198" w:lineRule="auto"/>
        <w:ind w:firstLine="147"/>
        <w:rPr>
          <w:rFonts w:ascii="黑体" w:hAnsi="黑体" w:eastAsia="黑体" w:cs="黑体"/>
          <w:sz w:val="30"/>
          <w:szCs w:val="30"/>
        </w:rPr>
      </w:pPr>
      <w:r>
        <w:rPr>
          <w:rFonts w:ascii="Times New Roman" w:hAnsi="Times New Roman" w:eastAsia="Times New Roman" w:cs="Times New Roman"/>
          <w:spacing w:val="-2"/>
          <w:sz w:val="30"/>
          <w:szCs w:val="30"/>
        </w:rPr>
        <w:t>xxxx-xx-xx</w:t>
      </w:r>
      <w:r>
        <w:rPr>
          <w:rFonts w:ascii="Times New Roman" w:hAnsi="Times New Roman" w:eastAsia="Times New Roman" w:cs="Times New Roman"/>
          <w:spacing w:val="75"/>
          <w:sz w:val="30"/>
          <w:szCs w:val="30"/>
        </w:rPr>
        <w:t xml:space="preserve"> </w:t>
      </w:r>
      <w:r>
        <w:rPr>
          <w:rFonts w:ascii="黑体" w:hAnsi="黑体" w:eastAsia="黑体" w:cs="黑体"/>
          <w:spacing w:val="-2"/>
          <w:sz w:val="30"/>
          <w:szCs w:val="30"/>
        </w:rPr>
        <w:t>发布</w:t>
      </w:r>
      <w:r>
        <w:rPr>
          <w:rFonts w:ascii="黑体" w:hAnsi="黑体" w:eastAsia="黑体" w:cs="黑体"/>
          <w:sz w:val="30"/>
          <w:szCs w:val="30"/>
        </w:rPr>
        <w:t xml:space="preserve">                               </w:t>
      </w:r>
      <w:r>
        <w:rPr>
          <w:rFonts w:ascii="Times New Roman" w:hAnsi="Times New Roman" w:eastAsia="Times New Roman" w:cs="Times New Roman"/>
          <w:spacing w:val="-2"/>
          <w:sz w:val="30"/>
          <w:szCs w:val="30"/>
        </w:rPr>
        <w:t>xxxx-xx-xx</w:t>
      </w:r>
      <w:r>
        <w:rPr>
          <w:rFonts w:ascii="Times New Roman" w:hAnsi="Times New Roman" w:eastAsia="Times New Roman" w:cs="Times New Roman"/>
          <w:spacing w:val="70"/>
          <w:sz w:val="30"/>
          <w:szCs w:val="30"/>
        </w:rPr>
        <w:t xml:space="preserve"> </w:t>
      </w:r>
      <w:r>
        <w:rPr>
          <w:rFonts w:ascii="黑体" w:hAnsi="黑体" w:eastAsia="黑体" w:cs="黑体"/>
          <w:spacing w:val="-2"/>
          <w:sz w:val="30"/>
          <w:szCs w:val="30"/>
        </w:rPr>
        <w:t>实施</w:t>
      </w:r>
    </w:p>
    <w:p>
      <w:pPr>
        <w:spacing w:line="406" w:lineRule="auto"/>
        <w:rPr>
          <w:rFonts w:ascii="宋体"/>
        </w:rPr>
      </w:pPr>
      <w:r>
        <w:rPr>
          <w:highlight w:val="yellow"/>
        </w:rPr>
        <w:drawing>
          <wp:anchor distT="0" distB="0" distL="0" distR="0" simplePos="0" relativeHeight="251661312" behindDoc="0" locked="0" layoutInCell="0" allowOverlap="1">
            <wp:simplePos x="0" y="0"/>
            <wp:positionH relativeFrom="page">
              <wp:posOffset>923925</wp:posOffset>
            </wp:positionH>
            <wp:positionV relativeFrom="page">
              <wp:posOffset>9813290</wp:posOffset>
            </wp:positionV>
            <wp:extent cx="6017895" cy="45720"/>
            <wp:effectExtent l="0" t="0" r="1905" b="508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stretch>
                      <a:fillRect/>
                    </a:stretch>
                  </pic:blipFill>
                  <pic:spPr>
                    <a:xfrm>
                      <a:off x="0" y="0"/>
                      <a:ext cx="6018028" cy="45719"/>
                    </a:xfrm>
                    <a:prstGeom prst="rect">
                      <a:avLst/>
                    </a:prstGeom>
                  </pic:spPr>
                </pic:pic>
              </a:graphicData>
            </a:graphic>
          </wp:anchor>
        </w:drawing>
      </w:r>
    </w:p>
    <w:p>
      <w:pPr>
        <w:spacing w:before="92" w:line="185" w:lineRule="auto"/>
        <w:ind w:firstLine="2659"/>
        <w:rPr>
          <w:rFonts w:ascii="黑体" w:hAnsi="黑体" w:eastAsia="黑体" w:cs="黑体"/>
          <w:sz w:val="24"/>
          <w:szCs w:val="24"/>
        </w:rPr>
      </w:pPr>
      <w:r>
        <w:rPr>
          <w:rFonts w:hint="eastAsia" w:ascii="黑体" w:hAnsi="黑体" w:eastAsia="黑体" w:cs="黑体"/>
          <w:spacing w:val="32"/>
          <w:sz w:val="28"/>
          <w:szCs w:val="28"/>
          <w:highlight w:val="yellow"/>
        </w:rPr>
        <w:t>包头市市场监督管理局</w:t>
      </w:r>
      <w:r>
        <w:rPr>
          <w:rFonts w:ascii="黑体" w:hAnsi="黑体" w:eastAsia="黑体" w:cs="黑体"/>
          <w:spacing w:val="32"/>
          <w:sz w:val="28"/>
          <w:szCs w:val="28"/>
          <w:highlight w:val="yellow"/>
        </w:rPr>
        <w:t xml:space="preserve">   </w:t>
      </w:r>
      <w:r>
        <w:rPr>
          <w:rFonts w:ascii="黑体" w:hAnsi="黑体" w:eastAsia="黑体" w:cs="黑体"/>
          <w:spacing w:val="51"/>
          <w:w w:val="125"/>
          <w:sz w:val="24"/>
          <w:szCs w:val="24"/>
          <w:highlight w:val="yellow"/>
        </w:rPr>
        <w:t>发布</w:t>
      </w:r>
    </w:p>
    <w:p>
      <w:pPr>
        <w:sectPr>
          <w:pgSz w:w="11907" w:h="16839"/>
          <w:pgMar w:top="567" w:right="1129" w:bottom="0" w:left="1357" w:header="0" w:footer="0" w:gutter="0"/>
          <w:cols w:space="720" w:num="1"/>
        </w:sectPr>
      </w:pPr>
    </w:p>
    <w:p>
      <w:pPr>
        <w:pStyle w:val="29"/>
      </w:pPr>
      <w:r>
        <w:rPr>
          <w:rFonts w:hint="eastAsia"/>
        </w:rPr>
        <w:t>目</w:t>
      </w:r>
      <w:bookmarkStart w:id="8" w:name="BKML"/>
      <w:r>
        <w:rPr>
          <w:rFonts w:hAnsi="黑体"/>
        </w:rPr>
        <w:t>  </w:t>
      </w:r>
      <w:bookmarkEnd w:id="0"/>
      <w:bookmarkEnd w:id="1"/>
      <w:bookmarkEnd w:id="2"/>
      <w:bookmarkEnd w:id="8"/>
      <w:r>
        <w:rPr>
          <w:rFonts w:hint="eastAsia" w:hAnsi="黑体"/>
          <w:lang w:eastAsia="zh-CN"/>
        </w:rPr>
        <w:t>录</w:t>
      </w:r>
      <w:r>
        <w:rPr>
          <w:rFonts w:asciiTheme="minorEastAsia" w:hAnsiTheme="minorEastAsia" w:cstheme="minorEastAsia"/>
          <w:sz w:val="24"/>
        </w:rPr>
        <w:fldChar w:fldCharType="begin"/>
      </w:r>
      <w:r>
        <w:rPr>
          <w:rFonts w:asciiTheme="minorEastAsia" w:hAnsiTheme="minorEastAsia" w:cstheme="minorEastAsia"/>
          <w:sz w:val="24"/>
        </w:rPr>
        <w:instrText xml:space="preserve"> </w:instrText>
      </w:r>
      <w:r>
        <w:rPr>
          <w:rFonts w:hint="eastAsia" w:asciiTheme="minorEastAsia" w:hAnsiTheme="minorEastAsia" w:cstheme="minorEastAsia"/>
          <w:sz w:val="24"/>
        </w:rPr>
        <w:instrText xml:space="preserve">TOC \o "1-2" \h \z \t "一级条标题,2"</w:instrText>
      </w:r>
      <w:r>
        <w:rPr>
          <w:rFonts w:asciiTheme="minorEastAsia" w:hAnsiTheme="minorEastAsia" w:cstheme="minorEastAsia"/>
          <w:sz w:val="24"/>
        </w:rPr>
        <w:instrText xml:space="preserve"> </w:instrText>
      </w:r>
      <w:r>
        <w:rPr>
          <w:rFonts w:asciiTheme="minorEastAsia" w:hAnsiTheme="minorEastAsia" w:cstheme="minorEastAsia"/>
          <w:sz w:val="24"/>
        </w:rPr>
        <w:fldChar w:fldCharType="separate"/>
      </w:r>
      <w:r>
        <w:fldChar w:fldCharType="begin"/>
      </w:r>
      <w:r>
        <w:instrText xml:space="preserve"> HYPERLINK \l "_Toc98696212" </w:instrText>
      </w:r>
      <w:r>
        <w:fldChar w:fldCharType="separate"/>
      </w:r>
      <w:r>
        <w:fldChar w:fldCharType="end"/>
      </w:r>
    </w:p>
    <w:p>
      <w:pPr>
        <w:pStyle w:val="13"/>
        <w:tabs>
          <w:tab w:val="right" w:leader="dot" w:pos="9344"/>
        </w:tabs>
        <w:spacing w:line="360" w:lineRule="auto"/>
        <w:rPr>
          <w:szCs w:val="22"/>
        </w:rPr>
      </w:pPr>
      <w:r>
        <w:fldChar w:fldCharType="begin"/>
      </w:r>
      <w:r>
        <w:instrText xml:space="preserve"> HYPERLINK \l "_Toc98696213" </w:instrText>
      </w:r>
      <w:r>
        <w:fldChar w:fldCharType="separate"/>
      </w:r>
      <w:r>
        <w:rPr>
          <w:rStyle w:val="26"/>
        </w:rPr>
        <w:t>前</w:t>
      </w:r>
      <w:r>
        <w:rPr>
          <w:rStyle w:val="26"/>
          <w:rFonts w:hAnsi="黑体"/>
        </w:rPr>
        <w:t>  </w:t>
      </w:r>
      <w:r>
        <w:rPr>
          <w:rStyle w:val="26"/>
        </w:rPr>
        <w:t>言</w:t>
      </w:r>
      <w:r>
        <w:tab/>
      </w:r>
      <w:r>
        <w:fldChar w:fldCharType="begin"/>
      </w:r>
      <w:r>
        <w:instrText xml:space="preserve"> PAGEREF _Toc98696213 \h </w:instrText>
      </w:r>
      <w:r>
        <w:fldChar w:fldCharType="separate"/>
      </w:r>
      <w:r>
        <w:t>III</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"_Toc98696215" </w:instrText>
      </w:r>
      <w:r>
        <w:fldChar w:fldCharType="separate"/>
      </w:r>
      <w:r>
        <w:rPr>
          <w:rStyle w:val="26"/>
        </w:rPr>
        <w:t>1 范围</w:t>
      </w:r>
      <w:r>
        <w:tab/>
      </w:r>
      <w:r>
        <w:fldChar w:fldCharType="begin"/>
      </w:r>
      <w:r>
        <w:instrText xml:space="preserve"> PAGEREF _Toc98696215 \h </w:instrText>
      </w:r>
      <w:r>
        <w:fldChar w:fldCharType="separate"/>
      </w:r>
      <w:r>
        <w:t>1</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"_Toc98696216" </w:instrText>
      </w:r>
      <w:r>
        <w:fldChar w:fldCharType="separate"/>
      </w:r>
      <w:r>
        <w:rPr>
          <w:rStyle w:val="26"/>
        </w:rPr>
        <w:t>2 规范性引用文件</w:t>
      </w:r>
      <w:r>
        <w:tab/>
      </w:r>
      <w:r>
        <w:fldChar w:fldCharType="begin"/>
      </w:r>
      <w:r>
        <w:instrText xml:space="preserve"> PAGEREF _Toc98696216 \h </w:instrText>
      </w:r>
      <w:r>
        <w:fldChar w:fldCharType="separate"/>
      </w:r>
      <w:r>
        <w:t>1</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"_Toc98696217" </w:instrText>
      </w:r>
      <w:r>
        <w:fldChar w:fldCharType="separate"/>
      </w:r>
      <w:r>
        <w:rPr>
          <w:rStyle w:val="26"/>
        </w:rPr>
        <w:t>3 术语和定义</w:t>
      </w:r>
      <w:r>
        <w:tab/>
      </w:r>
      <w:r>
        <w:fldChar w:fldCharType="begin"/>
      </w:r>
      <w:r>
        <w:instrText xml:space="preserve"> PAGEREF _Toc98696217 \h </w:instrText>
      </w:r>
      <w:r>
        <w:fldChar w:fldCharType="separate"/>
      </w:r>
      <w:r>
        <w:t>1</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"_Toc98696224" </w:instrText>
      </w:r>
      <w:r>
        <w:fldChar w:fldCharType="separate"/>
      </w:r>
      <w:r>
        <w:rPr>
          <w:rStyle w:val="26"/>
        </w:rPr>
        <w:t>4 技术要求</w:t>
      </w:r>
      <w:r>
        <w:tab/>
      </w:r>
      <w:r>
        <w:fldChar w:fldCharType="begin"/>
      </w:r>
      <w:r>
        <w:instrText xml:space="preserve"> PAGEREF _Toc98696224 \h </w:instrText>
      </w:r>
      <w:r>
        <w:fldChar w:fldCharType="separate"/>
      </w:r>
      <w:r>
        <w:t>2</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"_Toc98696225" </w:instrText>
      </w:r>
      <w:r>
        <w:fldChar w:fldCharType="separate"/>
      </w:r>
      <w:r>
        <w:rPr>
          <w:rStyle w:val="26"/>
        </w:rPr>
        <w:t>4.1 工作电压和电流</w:t>
      </w:r>
      <w:r>
        <w:tab/>
      </w:r>
      <w:r>
        <w:fldChar w:fldCharType="begin"/>
      </w:r>
      <w:r>
        <w:instrText xml:space="preserve"> PAGEREF _Toc98696225 \h </w:instrText>
      </w:r>
      <w:r>
        <w:fldChar w:fldCharType="separate"/>
      </w:r>
      <w:r>
        <w:t>2</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"_Toc98696226" </w:instrText>
      </w:r>
      <w:r>
        <w:fldChar w:fldCharType="separate"/>
      </w:r>
      <w:r>
        <w:rPr>
          <w:rStyle w:val="26"/>
        </w:rPr>
        <w:t>4.2 电气连接顺序</w:t>
      </w:r>
      <w:r>
        <w:tab/>
      </w:r>
      <w:r>
        <w:fldChar w:fldCharType="begin"/>
      </w:r>
      <w:r>
        <w:instrText xml:space="preserve"> PAGEREF _Toc98696226 \h </w:instrText>
      </w:r>
      <w:r>
        <w:fldChar w:fldCharType="separate"/>
      </w:r>
      <w:r>
        <w:t>2</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"_Toc98696227" </w:instrText>
      </w:r>
      <w:r>
        <w:fldChar w:fldCharType="separate"/>
      </w:r>
      <w:r>
        <w:rPr>
          <w:rStyle w:val="26"/>
        </w:rPr>
        <w:t>4.3 换电连接器数量及布置</w:t>
      </w:r>
      <w:r>
        <w:tab/>
      </w:r>
      <w:r>
        <w:fldChar w:fldCharType="begin"/>
      </w:r>
      <w:r>
        <w:instrText xml:space="preserve"> PAGEREF _Toc98696227 \h </w:instrText>
      </w:r>
      <w:r>
        <w:fldChar w:fldCharType="separate"/>
      </w:r>
      <w:r>
        <w:t>2</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"_Toc98696228" </w:instrText>
      </w:r>
      <w:r>
        <w:fldChar w:fldCharType="separate"/>
      </w:r>
      <w:r>
        <w:rPr>
          <w:rStyle w:val="26"/>
        </w:rPr>
        <w:t>4.4 换电连接器电气接口</w:t>
      </w:r>
      <w:r>
        <w:tab/>
      </w:r>
      <w:r>
        <w:fldChar w:fldCharType="begin"/>
      </w:r>
      <w:r>
        <w:instrText xml:space="preserve"> PAGEREF _Toc98696228 \h </w:instrText>
      </w:r>
      <w:r>
        <w:fldChar w:fldCharType="separate"/>
      </w:r>
      <w:r>
        <w:t>3</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"_Toc98696229" </w:instrText>
      </w:r>
      <w:r>
        <w:fldChar w:fldCharType="separate"/>
      </w:r>
      <w:r>
        <w:rPr>
          <w:rStyle w:val="26"/>
        </w:rPr>
        <w:t>4.5 换电连接器界面尺寸</w:t>
      </w:r>
      <w:r>
        <w:tab/>
      </w:r>
      <w:r>
        <w:fldChar w:fldCharType="begin"/>
      </w:r>
      <w:r>
        <w:instrText xml:space="preserve"> PAGEREF _Toc98696229 \h </w:instrText>
      </w:r>
      <w:r>
        <w:fldChar w:fldCharType="separate"/>
      </w:r>
      <w:r>
        <w:t>7</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"_Toc98696230" </w:instrText>
      </w:r>
      <w:r>
        <w:fldChar w:fldCharType="separate"/>
      </w:r>
      <w:r>
        <w:rPr>
          <w:rStyle w:val="26"/>
        </w:rPr>
        <w:t>4.6 机械性能</w:t>
      </w:r>
      <w:r>
        <w:tab/>
      </w:r>
      <w:r>
        <w:fldChar w:fldCharType="begin"/>
      </w:r>
      <w:r>
        <w:instrText xml:space="preserve"> PAGEREF _Toc98696230 \h </w:instrText>
      </w:r>
      <w:r>
        <w:fldChar w:fldCharType="separate"/>
      </w:r>
      <w:r>
        <w:t>7</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"_Toc98696231" </w:instrText>
      </w:r>
      <w:r>
        <w:fldChar w:fldCharType="separate"/>
      </w:r>
      <w:r>
        <w:rPr>
          <w:rStyle w:val="26"/>
        </w:rPr>
        <w:t>4.7 电</w:t>
      </w:r>
      <w:r>
        <w:rPr>
          <w:rStyle w:val="26"/>
          <w:rFonts w:hint="eastAsia"/>
        </w:rPr>
        <w:t>气</w:t>
      </w:r>
      <w:r>
        <w:rPr>
          <w:rStyle w:val="26"/>
        </w:rPr>
        <w:t>性能</w:t>
      </w:r>
      <w:r>
        <w:tab/>
      </w:r>
      <w:r>
        <w:fldChar w:fldCharType="begin"/>
      </w:r>
      <w:r>
        <w:instrText xml:space="preserve"> PAGEREF _Toc98696231 \h </w:instrText>
      </w:r>
      <w:r>
        <w:fldChar w:fldCharType="separate"/>
      </w:r>
      <w:r>
        <w:t>7</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"_Toc98696232" </w:instrText>
      </w:r>
      <w:r>
        <w:fldChar w:fldCharType="separate"/>
      </w:r>
      <w:r>
        <w:rPr>
          <w:rStyle w:val="26"/>
        </w:rPr>
        <w:t>4.8 环境性能</w:t>
      </w:r>
      <w:r>
        <w:tab/>
      </w:r>
      <w:r>
        <w:fldChar w:fldCharType="begin"/>
      </w:r>
      <w:r>
        <w:instrText xml:space="preserve"> PAGEREF _Toc98696232 \h </w:instrText>
      </w:r>
      <w:r>
        <w:fldChar w:fldCharType="separate"/>
      </w:r>
      <w:r>
        <w:t>8</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"_Toc98696233" </w:instrText>
      </w:r>
      <w:r>
        <w:fldChar w:fldCharType="separate"/>
      </w:r>
      <w:r>
        <w:rPr>
          <w:rStyle w:val="26"/>
        </w:rPr>
        <w:t>5 试验方法</w:t>
      </w:r>
      <w:r>
        <w:tab/>
      </w:r>
      <w:r>
        <w:fldChar w:fldCharType="begin"/>
      </w:r>
      <w:r>
        <w:instrText xml:space="preserve"> PAGEREF _Toc98696233 \h </w:instrText>
      </w:r>
      <w:r>
        <w:fldChar w:fldCharType="separate"/>
      </w:r>
      <w:r>
        <w:t>9</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"_Toc98696234" </w:instrText>
      </w:r>
      <w:r>
        <w:fldChar w:fldCharType="separate"/>
      </w:r>
      <w:r>
        <w:rPr>
          <w:rStyle w:val="26"/>
        </w:rPr>
        <w:t>5.1 结构外观</w:t>
      </w:r>
      <w:r>
        <w:tab/>
      </w:r>
      <w:r>
        <w:fldChar w:fldCharType="begin"/>
      </w:r>
      <w:r>
        <w:instrText xml:space="preserve"> PAGEREF _Toc98696234 \h </w:instrText>
      </w:r>
      <w:r>
        <w:fldChar w:fldCharType="separate"/>
      </w:r>
      <w:r>
        <w:t>9</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"_Toc98696235" </w:instrText>
      </w:r>
      <w:r>
        <w:fldChar w:fldCharType="separate"/>
      </w:r>
      <w:r>
        <w:rPr>
          <w:rStyle w:val="26"/>
        </w:rPr>
        <w:t>5.2 导向浮动</w:t>
      </w:r>
      <w:r>
        <w:tab/>
      </w:r>
      <w:r>
        <w:fldChar w:fldCharType="begin"/>
      </w:r>
      <w:r>
        <w:instrText xml:space="preserve"> PAGEREF _Toc98696235 \h </w:instrText>
      </w:r>
      <w:r>
        <w:fldChar w:fldCharType="separate"/>
      </w:r>
      <w:r>
        <w:t>9</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"_Toc98696236" </w:instrText>
      </w:r>
      <w:r>
        <w:fldChar w:fldCharType="separate"/>
      </w:r>
      <w:r>
        <w:rPr>
          <w:rStyle w:val="26"/>
        </w:rPr>
        <w:t>5.3 插拔力</w:t>
      </w:r>
      <w:r>
        <w:tab/>
      </w:r>
      <w:r>
        <w:fldChar w:fldCharType="begin"/>
      </w:r>
      <w:r>
        <w:instrText xml:space="preserve"> PAGEREF _Toc98696236 \h </w:instrText>
      </w:r>
      <w:r>
        <w:fldChar w:fldCharType="separate"/>
      </w:r>
      <w:r>
        <w:t>9</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"_Toc98696237" </w:instrText>
      </w:r>
      <w:r>
        <w:fldChar w:fldCharType="separate"/>
      </w:r>
      <w:r>
        <w:rPr>
          <w:rStyle w:val="26"/>
        </w:rPr>
        <w:t>5.4 IP 防护等级</w:t>
      </w:r>
      <w:r>
        <w:tab/>
      </w:r>
      <w:r>
        <w:fldChar w:fldCharType="begin"/>
      </w:r>
      <w:r>
        <w:instrText xml:space="preserve"> PAGEREF _Toc98696237 \h </w:instrText>
      </w:r>
      <w:r>
        <w:fldChar w:fldCharType="separate"/>
      </w:r>
      <w:r>
        <w:t>9</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"_Toc98696238" </w:instrText>
      </w:r>
      <w:r>
        <w:fldChar w:fldCharType="separate"/>
      </w:r>
      <w:r>
        <w:rPr>
          <w:rStyle w:val="26"/>
        </w:rPr>
        <w:t>5.5 机械强度</w:t>
      </w:r>
      <w:r>
        <w:tab/>
      </w:r>
      <w:r>
        <w:fldChar w:fldCharType="begin"/>
      </w:r>
      <w:r>
        <w:instrText xml:space="preserve"> PAGEREF _Toc98696238 \h </w:instrText>
      </w:r>
      <w:r>
        <w:fldChar w:fldCharType="separate"/>
      </w:r>
      <w:r>
        <w:t>9</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"_Toc98696239" </w:instrText>
      </w:r>
      <w:r>
        <w:fldChar w:fldCharType="separate"/>
      </w:r>
      <w:r>
        <w:rPr>
          <w:rStyle w:val="26"/>
        </w:rPr>
        <w:t>5.6 振动冲击</w:t>
      </w:r>
      <w:r>
        <w:tab/>
      </w:r>
      <w:r>
        <w:fldChar w:fldCharType="begin"/>
      </w:r>
      <w:r>
        <w:instrText xml:space="preserve"> PAGEREF _Toc98696239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"_Toc98696240" </w:instrText>
      </w:r>
      <w:r>
        <w:fldChar w:fldCharType="separate"/>
      </w:r>
      <w:r>
        <w:rPr>
          <w:rStyle w:val="26"/>
        </w:rPr>
        <w:t>5.7 机械寿命</w:t>
      </w:r>
      <w:r>
        <w:tab/>
      </w:r>
      <w:r>
        <w:fldChar w:fldCharType="begin"/>
      </w:r>
      <w:r>
        <w:instrText xml:space="preserve"> PAGEREF _Toc98696240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"_Toc98696241" </w:instrText>
      </w:r>
      <w:r>
        <w:fldChar w:fldCharType="separate"/>
      </w:r>
      <w:r>
        <w:rPr>
          <w:rStyle w:val="26"/>
        </w:rPr>
        <w:t>5.8 绝缘电阻</w:t>
      </w:r>
      <w:r>
        <w:tab/>
      </w:r>
      <w:r>
        <w:fldChar w:fldCharType="begin"/>
      </w:r>
      <w:r>
        <w:instrText xml:space="preserve"> PAGEREF _Toc98696241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"_Toc98696242" </w:instrText>
      </w:r>
      <w:r>
        <w:fldChar w:fldCharType="separate"/>
      </w:r>
      <w:r>
        <w:rPr>
          <w:rStyle w:val="26"/>
        </w:rPr>
        <w:t>5.9 分断能力</w:t>
      </w:r>
      <w:r>
        <w:tab/>
      </w:r>
      <w:r>
        <w:fldChar w:fldCharType="begin"/>
      </w:r>
      <w:r>
        <w:instrText xml:space="preserve"> PAGEREF _Toc98696242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"_Toc98696243" </w:instrText>
      </w:r>
      <w:r>
        <w:fldChar w:fldCharType="separate"/>
      </w:r>
      <w:r>
        <w:rPr>
          <w:rStyle w:val="26"/>
        </w:rPr>
        <w:t>5.10 介电强度</w:t>
      </w:r>
      <w:r>
        <w:tab/>
      </w:r>
      <w:r>
        <w:fldChar w:fldCharType="begin"/>
      </w:r>
      <w:r>
        <w:instrText xml:space="preserve"> PAGEREF _Toc98696243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"_Toc98696244" </w:instrText>
      </w:r>
      <w:r>
        <w:fldChar w:fldCharType="separate"/>
      </w:r>
      <w:r>
        <w:rPr>
          <w:rStyle w:val="26"/>
        </w:rPr>
        <w:t>5.11 接触电阻</w:t>
      </w:r>
      <w:r>
        <w:tab/>
      </w:r>
      <w:r>
        <w:fldChar w:fldCharType="begin"/>
      </w:r>
      <w:r>
        <w:instrText xml:space="preserve"> PAGEREF _Toc98696244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"_Toc98696245" </w:instrText>
      </w:r>
      <w:r>
        <w:fldChar w:fldCharType="separate"/>
      </w:r>
      <w:r>
        <w:rPr>
          <w:rStyle w:val="26"/>
        </w:rPr>
        <w:t>5.12 温升</w:t>
      </w:r>
      <w:r>
        <w:tab/>
      </w:r>
      <w:r>
        <w:fldChar w:fldCharType="begin"/>
      </w:r>
      <w:r>
        <w:instrText xml:space="preserve"> PAGEREF _Toc98696245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"_Toc98696246" </w:instrText>
      </w:r>
      <w:r>
        <w:fldChar w:fldCharType="separate"/>
      </w:r>
      <w:r>
        <w:rPr>
          <w:rStyle w:val="26"/>
        </w:rPr>
        <w:t>5.13 拉脱力</w:t>
      </w:r>
      <w:r>
        <w:tab/>
      </w:r>
      <w:r>
        <w:fldChar w:fldCharType="begin"/>
      </w:r>
      <w:r>
        <w:instrText xml:space="preserve"> PAGEREF _Toc98696246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"_Toc98696247" </w:instrText>
      </w:r>
      <w:r>
        <w:fldChar w:fldCharType="separate"/>
      </w:r>
      <w:r>
        <w:rPr>
          <w:rStyle w:val="26"/>
        </w:rPr>
        <w:t>5.14 耐低温</w:t>
      </w:r>
      <w:r>
        <w:tab/>
      </w:r>
      <w:r>
        <w:fldChar w:fldCharType="begin"/>
      </w:r>
      <w:r>
        <w:instrText xml:space="preserve"> PAGEREF _Toc98696247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"_Toc98696248" </w:instrText>
      </w:r>
      <w:r>
        <w:fldChar w:fldCharType="separate"/>
      </w:r>
      <w:r>
        <w:rPr>
          <w:rStyle w:val="26"/>
        </w:rPr>
        <w:t>5.15 耐高温</w:t>
      </w:r>
      <w:r>
        <w:tab/>
      </w:r>
      <w:r>
        <w:fldChar w:fldCharType="begin"/>
      </w:r>
      <w:r>
        <w:instrText xml:space="preserve"> PAGEREF _Toc98696248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"_Toc98696249" </w:instrText>
      </w:r>
      <w:r>
        <w:fldChar w:fldCharType="separate"/>
      </w:r>
      <w:r>
        <w:rPr>
          <w:rStyle w:val="26"/>
        </w:rPr>
        <w:t xml:space="preserve">5.16 </w:t>
      </w:r>
      <w:r>
        <w:rPr>
          <w:rStyle w:val="26"/>
          <w:rFonts w:hint="eastAsia"/>
        </w:rPr>
        <w:t>耐</w:t>
      </w:r>
      <w:r>
        <w:rPr>
          <w:rStyle w:val="26"/>
        </w:rPr>
        <w:t>温度冲击</w:t>
      </w:r>
      <w:r>
        <w:tab/>
      </w:r>
      <w:r>
        <w:fldChar w:fldCharType="begin"/>
      </w:r>
      <w:r>
        <w:instrText xml:space="preserve"> PAGEREF _Toc98696249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"_Toc98696250" </w:instrText>
      </w:r>
      <w:r>
        <w:fldChar w:fldCharType="separate"/>
      </w:r>
      <w:r>
        <w:rPr>
          <w:rStyle w:val="26"/>
        </w:rPr>
        <w:t>5.17 耐温湿度循环</w:t>
      </w:r>
      <w:r>
        <w:tab/>
      </w:r>
      <w:r>
        <w:fldChar w:fldCharType="begin"/>
      </w:r>
      <w:r>
        <w:instrText xml:space="preserve"> PAGEREF _Toc98696250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"_Toc98696251" </w:instrText>
      </w:r>
      <w:r>
        <w:fldChar w:fldCharType="separate"/>
      </w:r>
      <w:r>
        <w:rPr>
          <w:rStyle w:val="26"/>
        </w:rPr>
        <w:t>5.18 耐老化</w:t>
      </w:r>
      <w:r>
        <w:tab/>
      </w:r>
      <w:r>
        <w:fldChar w:fldCharType="begin"/>
      </w:r>
      <w:r>
        <w:instrText xml:space="preserve"> PAGEREF _Toc98696251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"_Toc98696252" </w:instrText>
      </w:r>
      <w:r>
        <w:fldChar w:fldCharType="separate"/>
      </w:r>
      <w:r>
        <w:rPr>
          <w:rStyle w:val="26"/>
        </w:rPr>
        <w:t>5.19 耐盐雾</w:t>
      </w:r>
      <w:r>
        <w:tab/>
      </w:r>
      <w:r>
        <w:fldChar w:fldCharType="begin"/>
      </w:r>
      <w:r>
        <w:instrText xml:space="preserve"> PAGEREF _Toc98696252 \h </w:instrText>
      </w:r>
      <w:r>
        <w:fldChar w:fldCharType="separate"/>
      </w:r>
      <w:r>
        <w:t>10</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"_Toc98696253" </w:instrText>
      </w:r>
      <w:r>
        <w:fldChar w:fldCharType="separate"/>
      </w:r>
      <w:r>
        <w:rPr>
          <w:rStyle w:val="26"/>
        </w:rPr>
        <w:t>5.20 耐腐蚀和防锈</w:t>
      </w:r>
      <w:r>
        <w:tab/>
      </w:r>
      <w:r>
        <w:fldChar w:fldCharType="begin"/>
      </w:r>
      <w:r>
        <w:instrText xml:space="preserve"> PAGEREF _Toc98696253 \h </w:instrText>
      </w:r>
      <w:r>
        <w:fldChar w:fldCharType="separate"/>
      </w:r>
      <w:r>
        <w:t>11</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"_Toc98696254" </w:instrText>
      </w:r>
      <w:r>
        <w:fldChar w:fldCharType="separate"/>
      </w:r>
      <w:r>
        <w:rPr>
          <w:rStyle w:val="26"/>
        </w:rPr>
        <w:t>5.21 阻燃</w:t>
      </w:r>
      <w:r>
        <w:tab/>
      </w:r>
      <w:r>
        <w:fldChar w:fldCharType="begin"/>
      </w:r>
      <w:r>
        <w:instrText xml:space="preserve"> PAGEREF _Toc98696254 \h </w:instrText>
      </w:r>
      <w:r>
        <w:fldChar w:fldCharType="separate"/>
      </w:r>
      <w:r>
        <w:t>11</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"_Toc98696255" </w:instrText>
      </w:r>
      <w:r>
        <w:fldChar w:fldCharType="separate"/>
      </w:r>
      <w:r>
        <w:rPr>
          <w:rStyle w:val="26"/>
        </w:rPr>
        <w:t>5.22 禁用物质</w:t>
      </w:r>
      <w:r>
        <w:tab/>
      </w:r>
      <w:r>
        <w:fldChar w:fldCharType="begin"/>
      </w:r>
      <w:r>
        <w:instrText xml:space="preserve"> PAGEREF _Toc98696255 \h </w:instrText>
      </w:r>
      <w:r>
        <w:fldChar w:fldCharType="separate"/>
      </w:r>
      <w:r>
        <w:t>11</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"_Toc98696256" </w:instrText>
      </w:r>
      <w:r>
        <w:fldChar w:fldCharType="separate"/>
      </w:r>
      <w:r>
        <w:rPr>
          <w:rStyle w:val="26"/>
        </w:rPr>
        <w:t>6 检验规则</w:t>
      </w:r>
      <w:r>
        <w:tab/>
      </w:r>
      <w:r>
        <w:fldChar w:fldCharType="begin"/>
      </w:r>
      <w:r>
        <w:instrText xml:space="preserve"> PAGEREF _Toc98696256 \h </w:instrText>
      </w:r>
      <w:r>
        <w:fldChar w:fldCharType="separate"/>
      </w:r>
      <w:r>
        <w:t>11</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"_Toc98696257" </w:instrText>
      </w:r>
      <w:r>
        <w:fldChar w:fldCharType="separate"/>
      </w:r>
      <w:r>
        <w:rPr>
          <w:rStyle w:val="26"/>
        </w:rPr>
        <w:t>6.1 产品试验分类</w:t>
      </w:r>
      <w:r>
        <w:tab/>
      </w:r>
      <w:r>
        <w:fldChar w:fldCharType="begin"/>
      </w:r>
      <w:r>
        <w:instrText xml:space="preserve"> PAGEREF _Toc98696257 \h </w:instrText>
      </w:r>
      <w:r>
        <w:fldChar w:fldCharType="separate"/>
      </w:r>
      <w:r>
        <w:t>11</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"_Toc98696258" </w:instrText>
      </w:r>
      <w:r>
        <w:fldChar w:fldCharType="separate"/>
      </w:r>
      <w:r>
        <w:rPr>
          <w:rStyle w:val="26"/>
        </w:rPr>
        <w:t>6.2 型式试验</w:t>
      </w:r>
      <w:r>
        <w:tab/>
      </w:r>
      <w:r>
        <w:fldChar w:fldCharType="begin"/>
      </w:r>
      <w:r>
        <w:instrText xml:space="preserve"> PAGEREF _Toc98696258 \h </w:instrText>
      </w:r>
      <w:r>
        <w:fldChar w:fldCharType="separate"/>
      </w:r>
      <w:r>
        <w:t>11</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"_Toc98696259" </w:instrText>
      </w:r>
      <w:r>
        <w:fldChar w:fldCharType="separate"/>
      </w:r>
      <w:r>
        <w:rPr>
          <w:rStyle w:val="26"/>
        </w:rPr>
        <w:t>6.3 出厂检验</w:t>
      </w:r>
      <w:r>
        <w:tab/>
      </w:r>
      <w:r>
        <w:fldChar w:fldCharType="begin"/>
      </w:r>
      <w:r>
        <w:instrText xml:space="preserve"> PAGEREF _Toc98696259 \h </w:instrText>
      </w:r>
      <w:r>
        <w:fldChar w:fldCharType="separate"/>
      </w:r>
      <w:r>
        <w:t>11</w:t>
      </w:r>
      <w:r>
        <w:fldChar w:fldCharType="end"/>
      </w:r>
      <w:r>
        <w:fldChar w:fldCharType="end"/>
      </w:r>
    </w:p>
    <w:p>
      <w:pPr>
        <w:pStyle w:val="16"/>
        <w:tabs>
          <w:tab w:val="right" w:leader="dot" w:pos="9344"/>
        </w:tabs>
        <w:spacing w:line="360" w:lineRule="auto"/>
        <w:ind w:left="0" w:leftChars="0"/>
        <w:rPr>
          <w:szCs w:val="22"/>
        </w:rPr>
      </w:pPr>
      <w:r>
        <w:fldChar w:fldCharType="begin"/>
      </w:r>
      <w:r>
        <w:instrText xml:space="preserve"> HYPERLINK \l "_Toc98696260" </w:instrText>
      </w:r>
      <w:r>
        <w:fldChar w:fldCharType="separate"/>
      </w:r>
      <w:r>
        <w:rPr>
          <w:rStyle w:val="26"/>
        </w:rPr>
        <w:t>7 标识、包装、运输和存储</w:t>
      </w:r>
      <w:r>
        <w:tab/>
      </w:r>
      <w:r>
        <w:fldChar w:fldCharType="begin"/>
      </w:r>
      <w:r>
        <w:instrText xml:space="preserve"> PAGEREF _Toc98696260 \h </w:instrText>
      </w:r>
      <w:r>
        <w:fldChar w:fldCharType="separate"/>
      </w:r>
      <w:r>
        <w:t>11</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"_Toc98696261" </w:instrText>
      </w:r>
      <w:r>
        <w:fldChar w:fldCharType="separate"/>
      </w:r>
      <w:r>
        <w:rPr>
          <w:rStyle w:val="26"/>
        </w:rPr>
        <w:t>7.1 标识</w:t>
      </w:r>
      <w:r>
        <w:tab/>
      </w:r>
      <w:r>
        <w:fldChar w:fldCharType="begin"/>
      </w:r>
      <w:r>
        <w:instrText xml:space="preserve"> PAGEREF _Toc98696261 \h </w:instrText>
      </w:r>
      <w:r>
        <w:fldChar w:fldCharType="separate"/>
      </w:r>
      <w:r>
        <w:t>12</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"_Toc98696262" </w:instrText>
      </w:r>
      <w:r>
        <w:fldChar w:fldCharType="separate"/>
      </w:r>
      <w:r>
        <w:rPr>
          <w:rStyle w:val="26"/>
        </w:rPr>
        <w:t>7.2 包装、运输</w:t>
      </w:r>
      <w:r>
        <w:tab/>
      </w:r>
      <w:r>
        <w:fldChar w:fldCharType="begin"/>
      </w:r>
      <w:r>
        <w:instrText xml:space="preserve"> PAGEREF _Toc98696262 \h </w:instrText>
      </w:r>
      <w:r>
        <w:fldChar w:fldCharType="separate"/>
      </w:r>
      <w:r>
        <w:t>12</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"_Toc98696263" </w:instrText>
      </w:r>
      <w:r>
        <w:fldChar w:fldCharType="separate"/>
      </w:r>
      <w:r>
        <w:rPr>
          <w:rStyle w:val="26"/>
        </w:rPr>
        <w:t>7.3 存储</w:t>
      </w:r>
      <w:r>
        <w:tab/>
      </w:r>
      <w:r>
        <w:fldChar w:fldCharType="begin"/>
      </w:r>
      <w:r>
        <w:instrText xml:space="preserve"> PAGEREF _Toc98696263 \h </w:instrText>
      </w:r>
      <w:r>
        <w:fldChar w:fldCharType="separate"/>
      </w:r>
      <w:r>
        <w:t>12</w:t>
      </w:r>
      <w:r>
        <w:fldChar w:fldCharType="end"/>
      </w:r>
      <w:r>
        <w:fldChar w:fldCharType="end"/>
      </w:r>
    </w:p>
    <w:p>
      <w:pPr>
        <w:pStyle w:val="13"/>
        <w:tabs>
          <w:tab w:val="right" w:leader="dot" w:pos="9344"/>
        </w:tabs>
        <w:spacing w:line="360" w:lineRule="auto"/>
        <w:rPr>
          <w:szCs w:val="22"/>
        </w:rPr>
      </w:pPr>
      <w:r>
        <w:fldChar w:fldCharType="begin"/>
      </w:r>
      <w:r>
        <w:instrText xml:space="preserve"> HYPERLINK \l "_Toc98696264" </w:instrText>
      </w:r>
      <w:r>
        <w:fldChar w:fldCharType="separate"/>
      </w:r>
      <w:r>
        <w:rPr>
          <w:rStyle w:val="26"/>
          <w:rFonts w:ascii="黑体" w:hAnsi="Times New Roman" w:eastAsia="黑体"/>
        </w:rPr>
        <w:t>附　录　A</w:t>
      </w:r>
      <w:r>
        <w:rPr>
          <w:rStyle w:val="26"/>
          <w:rFonts w:ascii="黑体" w:hAnsi="黑体" w:eastAsia="黑体"/>
        </w:rPr>
        <w:t xml:space="preserve"> （规范性）</w:t>
      </w:r>
      <w:r>
        <w:rPr>
          <w:rStyle w:val="26"/>
        </w:rPr>
        <w:t xml:space="preserve"> 换电连接器界面尺寸</w:t>
      </w:r>
      <w:r>
        <w:tab/>
      </w:r>
      <w:r>
        <w:fldChar w:fldCharType="begin"/>
      </w:r>
      <w:r>
        <w:instrText xml:space="preserve"> PAGEREF _Toc98696264 \h </w:instrText>
      </w:r>
      <w:r>
        <w:fldChar w:fldCharType="separate"/>
      </w:r>
      <w:r>
        <w:t>13</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"_Toc98696265" </w:instrText>
      </w:r>
      <w:r>
        <w:fldChar w:fldCharType="separate"/>
      </w:r>
      <w:r>
        <w:rPr>
          <w:rStyle w:val="26"/>
        </w:rPr>
        <w:t>A.1 换电连接器界面尺寸要求（12PIN低压触头</w:t>
      </w:r>
      <w:r>
        <w:rPr>
          <w:rStyle w:val="26"/>
          <w:rFonts w:hint="eastAsia"/>
        </w:rPr>
        <w:t>形式</w:t>
      </w:r>
      <w:r>
        <w:rPr>
          <w:rStyle w:val="26"/>
        </w:rPr>
        <w:t>）</w:t>
      </w:r>
      <w:r>
        <w:tab/>
      </w:r>
      <w:r>
        <w:fldChar w:fldCharType="begin"/>
      </w:r>
      <w:r>
        <w:instrText xml:space="preserve"> PAGEREF _Toc98696265 \h </w:instrText>
      </w:r>
      <w:r>
        <w:fldChar w:fldCharType="separate"/>
      </w:r>
      <w:r>
        <w:t>13</w:t>
      </w:r>
      <w:r>
        <w:fldChar w:fldCharType="end"/>
      </w:r>
      <w:r>
        <w:fldChar w:fldCharType="end"/>
      </w:r>
    </w:p>
    <w:p>
      <w:pPr>
        <w:pStyle w:val="16"/>
        <w:tabs>
          <w:tab w:val="right" w:leader="dot" w:pos="9344"/>
        </w:tabs>
        <w:spacing w:line="360" w:lineRule="auto"/>
        <w:rPr>
          <w:szCs w:val="22"/>
        </w:rPr>
      </w:pPr>
      <w:r>
        <w:fldChar w:fldCharType="begin"/>
      </w:r>
      <w:r>
        <w:instrText xml:space="preserve"> HYPERLINK \l "_Toc98696266" </w:instrText>
      </w:r>
      <w:r>
        <w:fldChar w:fldCharType="separate"/>
      </w:r>
      <w:r>
        <w:rPr>
          <w:rStyle w:val="26"/>
        </w:rPr>
        <w:t>A.2 换电连接器</w:t>
      </w:r>
      <w:r>
        <w:rPr>
          <w:rStyle w:val="26"/>
          <w:rFonts w:hint="eastAsia"/>
        </w:rPr>
        <w:t>界面</w:t>
      </w:r>
      <w:r>
        <w:rPr>
          <w:rStyle w:val="26"/>
        </w:rPr>
        <w:t>尺寸要求（23PIN低压触头形式）</w:t>
      </w:r>
      <w:r>
        <w:tab/>
      </w:r>
      <w:r>
        <w:fldChar w:fldCharType="begin"/>
      </w:r>
      <w:r>
        <w:instrText xml:space="preserve"> PAGEREF _Toc98696266 \h </w:instrText>
      </w:r>
      <w:r>
        <w:fldChar w:fldCharType="separate"/>
      </w:r>
      <w:r>
        <w:t>14</w:t>
      </w:r>
      <w:r>
        <w:fldChar w:fldCharType="end"/>
      </w:r>
      <w:r>
        <w:fldChar w:fldCharType="end"/>
      </w:r>
    </w:p>
    <w:p>
      <w:pPr>
        <w:spacing w:line="274" w:lineRule="auto"/>
        <w:rPr>
          <w:rFonts w:hint="default" w:ascii="宋体" w:eastAsiaTheme="minorEastAsia"/>
          <w:lang w:val="en-US"/>
        </w:rPr>
      </w:pPr>
      <w:r>
        <w:rPr>
          <w:rFonts w:asciiTheme="minorEastAsia" w:hAnsiTheme="minorEastAsia" w:eastAsiaTheme="minorEastAsia" w:cstheme="minorEastAsia"/>
          <w:kern w:val="2"/>
          <w:sz w:val="24"/>
          <w:szCs w:val="24"/>
        </w:rPr>
        <w:fldChar w:fldCharType="end"/>
      </w:r>
      <w:r>
        <w:rPr>
          <w:rFonts w:hint="eastAsia" w:asciiTheme="minorEastAsia" w:hAnsiTheme="minorEastAsia" w:eastAsiaTheme="minorEastAsia" w:cstheme="minorEastAsia"/>
          <w:kern w:val="2"/>
          <w:sz w:val="24"/>
          <w:szCs w:val="24"/>
          <w:lang w:val="en-US" w:eastAsia="zh-CN"/>
        </w:rPr>
        <w:t xml:space="preserve">   </w:t>
      </w:r>
      <w:r>
        <w:rPr>
          <w:rFonts w:asciiTheme="minorHAnsi" w:hAnsiTheme="minorHAnsi" w:eastAsiaTheme="minorEastAsia" w:cstheme="minorBidi"/>
          <w:kern w:val="2"/>
          <w:sz w:val="21"/>
          <w:szCs w:val="24"/>
          <w:lang w:val="en-US" w:eastAsia="zh-CN" w:bidi="ar-SA"/>
        </w:rPr>
        <w:fldChar w:fldCharType="begin"/>
      </w:r>
      <w:r>
        <w:rPr>
          <w:rFonts w:asciiTheme="minorHAnsi" w:hAnsiTheme="minorHAnsi" w:eastAsiaTheme="minorEastAsia" w:cstheme="minorBidi"/>
          <w:kern w:val="2"/>
          <w:sz w:val="21"/>
          <w:szCs w:val="24"/>
          <w:lang w:val="en-US" w:eastAsia="zh-CN" w:bidi="ar-SA"/>
        </w:rPr>
        <w:instrText xml:space="preserve"> HYPERLINK \l "_Toc98696266" </w:instrText>
      </w:r>
      <w:r>
        <w:rPr>
          <w:rFonts w:asciiTheme="minorHAnsi" w:hAnsiTheme="minorHAnsi" w:eastAsiaTheme="minorEastAsia" w:cstheme="minorBidi"/>
          <w:kern w:val="2"/>
          <w:sz w:val="21"/>
          <w:szCs w:val="24"/>
          <w:lang w:val="en-US" w:eastAsia="zh-CN" w:bidi="ar-SA"/>
        </w:rPr>
        <w:fldChar w:fldCharType="separate"/>
      </w:r>
      <w:r>
        <w:rPr>
          <w:rFonts w:asciiTheme="minorHAnsi" w:hAnsiTheme="minorHAnsi" w:eastAsiaTheme="minorEastAsia" w:cstheme="minorBidi"/>
          <w:kern w:val="2"/>
          <w:sz w:val="21"/>
          <w:szCs w:val="24"/>
          <w:lang w:val="en-US" w:eastAsia="zh-CN" w:bidi="ar-SA"/>
        </w:rPr>
        <w:t>A.2 换电连接器</w:t>
      </w:r>
      <w:r>
        <w:rPr>
          <w:rFonts w:hint="eastAsia" w:asciiTheme="minorHAnsi" w:hAnsiTheme="minorHAnsi" w:eastAsiaTheme="minorEastAsia" w:cstheme="minorBidi"/>
          <w:kern w:val="2"/>
          <w:sz w:val="21"/>
          <w:szCs w:val="24"/>
          <w:lang w:val="en-US" w:eastAsia="zh-CN" w:bidi="ar-SA"/>
        </w:rPr>
        <w:t>界面</w:t>
      </w:r>
      <w:r>
        <w:rPr>
          <w:rFonts w:asciiTheme="minorHAnsi" w:hAnsiTheme="minorHAnsi" w:eastAsiaTheme="minorEastAsia" w:cstheme="minorBidi"/>
          <w:kern w:val="2"/>
          <w:sz w:val="21"/>
          <w:szCs w:val="24"/>
          <w:lang w:val="en-US" w:eastAsia="zh-CN" w:bidi="ar-SA"/>
        </w:rPr>
        <w:t>尺寸要求（</w:t>
      </w:r>
      <w:r>
        <w:rPr>
          <w:rFonts w:hint="eastAsia" w:asciiTheme="minorHAnsi" w:hAnsiTheme="minorHAnsi" w:eastAsiaTheme="minorEastAsia" w:cstheme="minorBidi"/>
          <w:kern w:val="2"/>
          <w:sz w:val="21"/>
          <w:szCs w:val="24"/>
          <w:lang w:val="en-US" w:eastAsia="zh-CN" w:bidi="ar-SA"/>
        </w:rPr>
        <w:t>36</w:t>
      </w:r>
      <w:r>
        <w:rPr>
          <w:rFonts w:asciiTheme="minorHAnsi" w:hAnsiTheme="minorHAnsi" w:eastAsiaTheme="minorEastAsia" w:cstheme="minorBidi"/>
          <w:kern w:val="2"/>
          <w:sz w:val="21"/>
          <w:szCs w:val="24"/>
          <w:lang w:val="en-US" w:eastAsia="zh-CN" w:bidi="ar-SA"/>
        </w:rPr>
        <w:t>PIN低压触头形式）</w:t>
      </w:r>
      <w:r>
        <w:rPr>
          <w:rFonts w:hint="eastAsia" w:asciiTheme="minorHAnsi" w:hAnsiTheme="minorHAnsi" w:eastAsiaTheme="minorEastAsia" w:cstheme="minorBidi"/>
          <w:kern w:val="2"/>
          <w:sz w:val="21"/>
          <w:szCs w:val="24"/>
          <w:lang w:val="en-US" w:eastAsia="zh-CN" w:bidi="ar-SA"/>
        </w:rPr>
        <w:t xml:space="preserve"> </w:t>
      </w:r>
      <w:r>
        <w:rPr>
          <w:rFonts w:asciiTheme="minorHAnsi" w:hAnsiTheme="minorHAnsi" w:eastAsiaTheme="minorEastAsia" w:cstheme="minorBidi"/>
          <w:kern w:val="2"/>
          <w:sz w:val="21"/>
          <w:szCs w:val="24"/>
          <w:lang w:val="en-US" w:eastAsia="zh-CN" w:bidi="ar-SA"/>
        </w:rPr>
        <w:fldChar w:fldCharType="end"/>
      </w:r>
      <w:bookmarkEnd w:id="3"/>
      <w:bookmarkEnd w:id="4"/>
      <w:bookmarkEnd w:id="5"/>
      <w:bookmarkEnd w:id="6"/>
      <w:bookmarkEnd w:id="7"/>
      <w:r>
        <w:rPr>
          <w:rFonts w:hint="eastAsia" w:cstheme="minorBidi"/>
          <w:kern w:val="2"/>
          <w:sz w:val="21"/>
          <w:szCs w:val="24"/>
          <w:lang w:val="en-US" w:eastAsia="zh-CN" w:bidi="ar-SA"/>
        </w:rPr>
        <w:t>......................................................................22</w:t>
      </w:r>
    </w:p>
    <w:p>
      <w:pPr>
        <w:spacing w:before="104" w:line="184" w:lineRule="auto"/>
        <w:ind w:firstLine="4078"/>
        <w:rPr>
          <w:rFonts w:ascii="黑体" w:hAnsi="黑体" w:eastAsia="黑体" w:cs="黑体"/>
          <w:spacing w:val="-7"/>
          <w:sz w:val="32"/>
          <w:szCs w:val="32"/>
        </w:rPr>
      </w:pPr>
      <w:bookmarkStart w:id="9" w:name="_bookmark2"/>
      <w:bookmarkEnd w:id="9"/>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z w:val="32"/>
          <w:szCs w:val="32"/>
        </w:rPr>
      </w:pPr>
      <w:bookmarkStart w:id="10" w:name="_Toc98569669"/>
      <w:bookmarkStart w:id="11" w:name="_Toc98696214"/>
      <w:bookmarkStart w:id="12" w:name="_Toc98620949"/>
      <w:r>
        <w:rPr>
          <w:rFonts w:ascii="黑体" w:hAnsi="黑体" w:eastAsia="黑体" w:cs="黑体"/>
          <w:spacing w:val="-7"/>
          <w:sz w:val="32"/>
          <w:szCs w:val="32"/>
        </w:rPr>
        <w:t>前</w:t>
      </w:r>
      <w:r>
        <w:rPr>
          <w:rFonts w:ascii="黑体" w:hAnsi="黑体" w:eastAsia="黑体" w:cs="黑体"/>
          <w:spacing w:val="6"/>
          <w:sz w:val="32"/>
          <w:szCs w:val="32"/>
        </w:rPr>
        <w:t xml:space="preserve">    </w:t>
      </w:r>
      <w:r>
        <w:rPr>
          <w:rFonts w:ascii="黑体" w:hAnsi="黑体" w:eastAsia="黑体" w:cs="黑体"/>
          <w:spacing w:val="-7"/>
          <w:sz w:val="32"/>
          <w:szCs w:val="32"/>
        </w:rPr>
        <w:t>言</w:t>
      </w:r>
    </w:p>
    <w:p>
      <w:pPr>
        <w:spacing w:line="306" w:lineRule="auto"/>
        <w:rPr>
          <w:rFonts w:ascii="宋体"/>
        </w:rPr>
      </w:pPr>
    </w:p>
    <w:p>
      <w:pPr>
        <w:spacing w:line="306" w:lineRule="auto"/>
        <w:rPr>
          <w:rFonts w:ascii="宋体"/>
        </w:rPr>
      </w:pPr>
    </w:p>
    <w:p>
      <w:pPr>
        <w:spacing w:line="360" w:lineRule="auto"/>
        <w:ind w:left="36" w:right="24" w:firstLine="421"/>
        <w:rPr>
          <w:rFonts w:ascii="宋体" w:hAnsi="宋体" w:eastAsia="宋体" w:cs="宋体"/>
          <w:spacing w:val="-5"/>
        </w:rPr>
      </w:pPr>
      <w:r>
        <w:rPr>
          <w:rFonts w:ascii="宋体" w:hAnsi="宋体" w:eastAsia="宋体" w:cs="宋体"/>
          <w:spacing w:val="-5"/>
        </w:rPr>
        <w:t>本文件对车端及站端硬件接口及通信协议等相关技术条件进行统一，遵循行业技术先进性、前瞻性 及通用性原则，实现“车&amp;站互通互换”目的，满足市场车电分离需求。</w:t>
      </w:r>
    </w:p>
    <w:p>
      <w:pPr>
        <w:spacing w:line="360" w:lineRule="auto"/>
        <w:ind w:left="36" w:right="24" w:firstLine="421"/>
        <w:rPr>
          <w:rFonts w:ascii="宋体" w:hAnsi="宋体" w:eastAsia="宋体" w:cs="宋体"/>
          <w:spacing w:val="-5"/>
        </w:rPr>
      </w:pPr>
      <w:r>
        <w:rPr>
          <w:rFonts w:ascii="宋体" w:hAnsi="宋体" w:eastAsia="宋体" w:cs="宋体"/>
          <w:spacing w:val="-5"/>
        </w:rPr>
        <w:t>本文件适用于电动中重卡</w:t>
      </w:r>
      <w:r>
        <w:rPr>
          <w:rFonts w:ascii="宋体" w:hAnsi="宋体" w:eastAsia="宋体" w:cs="宋体"/>
          <w:spacing w:val="-5"/>
          <w:highlight w:val="none"/>
        </w:rPr>
        <w:t>吊装式</w:t>
      </w:r>
      <w:r>
        <w:rPr>
          <w:rFonts w:ascii="宋体" w:hAnsi="宋体" w:eastAsia="宋体" w:cs="宋体"/>
          <w:spacing w:val="-5"/>
        </w:rPr>
        <w:t>换电车辆，其它车型可参照使用。</w:t>
      </w:r>
    </w:p>
    <w:p>
      <w:pPr>
        <w:spacing w:line="360" w:lineRule="auto"/>
        <w:ind w:left="36" w:right="24" w:firstLine="421"/>
        <w:rPr>
          <w:rFonts w:ascii="宋体" w:hAnsi="宋体" w:eastAsia="宋体" w:cs="宋体"/>
          <w:spacing w:val="-5"/>
        </w:rPr>
      </w:pPr>
      <w:bookmarkStart w:id="89" w:name="_GoBack"/>
      <w:bookmarkEnd w:id="89"/>
      <w:r>
        <w:rPr>
          <w:rFonts w:ascii="宋体" w:hAnsi="宋体" w:eastAsia="宋体" w:cs="宋体"/>
          <w:spacing w:val="-5"/>
          <w:highlight w:val="none"/>
        </w:rPr>
        <w:t xml:space="preserve"> XX《电动中重卡共享换电站建设及换电车辆技术规范》共分为</w:t>
      </w:r>
      <w:r>
        <w:rPr>
          <w:rFonts w:hint="eastAsia" w:ascii="宋体" w:hAnsi="宋体" w:eastAsia="宋体" w:cs="宋体"/>
          <w:spacing w:val="-5"/>
          <w:highlight w:val="none"/>
          <w:lang w:val="en-US" w:eastAsia="zh-CN"/>
        </w:rPr>
        <w:t>8</w:t>
      </w:r>
      <w:r>
        <w:rPr>
          <w:rFonts w:ascii="宋体" w:hAnsi="宋体" w:eastAsia="宋体" w:cs="宋体"/>
          <w:spacing w:val="-5"/>
          <w:highlight w:val="none"/>
        </w:rPr>
        <w:t>部分</w:t>
      </w:r>
      <w:r>
        <w:rPr>
          <w:rFonts w:hint="eastAsia" w:ascii="宋体" w:hAnsi="宋体" w:eastAsia="宋体" w:cs="宋体"/>
          <w:spacing w:val="-5"/>
          <w:highlight w:val="none"/>
          <w:lang w:eastAsia="zh-CN"/>
        </w:rPr>
        <w:t>。</w:t>
      </w:r>
      <w:r>
        <w:rPr>
          <w:rFonts w:ascii="宋体" w:hAnsi="宋体" w:eastAsia="宋体" w:cs="宋体"/>
          <w:spacing w:val="-5"/>
        </w:rPr>
        <w:t>规定了电动中重型卡车共享换电站建设及换电车辆的相关技术规范</w:t>
      </w:r>
      <w:r>
        <w:rPr>
          <w:rFonts w:hint="eastAsia" w:ascii="宋体" w:hAnsi="宋体" w:eastAsia="宋体" w:cs="宋体"/>
          <w:spacing w:val="-5"/>
          <w:lang w:eastAsia="zh-CN"/>
        </w:rPr>
        <w:t>的</w:t>
      </w:r>
      <w:r>
        <w:rPr>
          <w:rFonts w:ascii="宋体" w:hAnsi="宋体" w:eastAsia="宋体" w:cs="宋体"/>
          <w:spacing w:val="-5"/>
        </w:rPr>
        <w:t>要求：</w:t>
      </w:r>
    </w:p>
    <w:p>
      <w:pPr>
        <w:spacing w:line="360" w:lineRule="auto"/>
        <w:ind w:left="36" w:right="24" w:firstLine="421"/>
        <w:rPr>
          <w:rFonts w:ascii="宋体" w:hAnsi="宋体" w:eastAsia="宋体" w:cs="宋体"/>
          <w:spacing w:val="-5"/>
        </w:rPr>
      </w:pPr>
      <w:r>
        <w:rPr>
          <w:rFonts w:ascii="宋体" w:hAnsi="宋体" w:eastAsia="宋体" w:cs="宋体"/>
          <w:spacing w:val="-5"/>
        </w:rPr>
        <w:t>——第</w:t>
      </w:r>
      <w:r>
        <w:rPr>
          <w:rFonts w:hint="eastAsia" w:ascii="宋体" w:hAnsi="宋体" w:eastAsia="宋体" w:cs="宋体"/>
          <w:spacing w:val="-5"/>
        </w:rPr>
        <w:t>一</w:t>
      </w:r>
      <w:r>
        <w:rPr>
          <w:rFonts w:ascii="宋体" w:hAnsi="宋体" w:eastAsia="宋体" w:cs="宋体"/>
          <w:spacing w:val="-5"/>
        </w:rPr>
        <w:t>部分：总则</w:t>
      </w:r>
      <w:r>
        <w:rPr>
          <w:rFonts w:hint="eastAsia" w:ascii="宋体" w:hAnsi="宋体" w:eastAsia="宋体" w:cs="宋体"/>
          <w:spacing w:val="-5"/>
        </w:rPr>
        <w:t>；</w:t>
      </w:r>
    </w:p>
    <w:p>
      <w:pPr>
        <w:spacing w:line="360" w:lineRule="auto"/>
        <w:ind w:left="36" w:right="24" w:firstLine="421"/>
        <w:rPr>
          <w:rFonts w:ascii="宋体" w:hAnsi="宋体" w:eastAsia="宋体" w:cs="宋体"/>
          <w:spacing w:val="-5"/>
        </w:rPr>
      </w:pPr>
      <w:r>
        <w:rPr>
          <w:rFonts w:ascii="宋体" w:hAnsi="宋体" w:eastAsia="宋体" w:cs="宋体"/>
          <w:spacing w:val="-5"/>
        </w:rPr>
        <w:t>——第二部分：换电车辆换电箱体与换电底托技术要求</w:t>
      </w:r>
      <w:r>
        <w:rPr>
          <w:rFonts w:hint="eastAsia" w:ascii="宋体" w:hAnsi="宋体" w:eastAsia="宋体" w:cs="宋体"/>
          <w:spacing w:val="-5"/>
        </w:rPr>
        <w:t>；</w:t>
      </w:r>
    </w:p>
    <w:p>
      <w:pPr>
        <w:spacing w:line="360" w:lineRule="auto"/>
        <w:ind w:left="36" w:right="24" w:firstLine="421"/>
        <w:rPr>
          <w:rFonts w:ascii="宋体" w:hAnsi="宋体" w:eastAsia="宋体" w:cs="宋体"/>
          <w:spacing w:val="-5"/>
        </w:rPr>
      </w:pPr>
      <w:r>
        <w:rPr>
          <w:rFonts w:ascii="宋体" w:hAnsi="宋体" w:eastAsia="宋体" w:cs="宋体"/>
          <w:spacing w:val="-5"/>
        </w:rPr>
        <w:t>——第三部分：换电车辆换电连接器技术要求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——第四部分：换电车辆换电控制器技术要求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w:t>
      </w:r>
      <w:r>
        <w:rPr>
          <w:rFonts w:hint="eastAsia" w:ascii="宋体" w:hAnsi="宋体" w:eastAsia="宋体" w:cs="宋体"/>
          <w:spacing w:val="-5"/>
          <w:lang w:eastAsia="zh-CN"/>
        </w:rPr>
        <w:t>五</w:t>
      </w:r>
      <w:r>
        <w:rPr>
          <w:rFonts w:ascii="宋体" w:hAnsi="宋体" w:eastAsia="宋体" w:cs="宋体"/>
          <w:spacing w:val="-5"/>
        </w:rPr>
        <w:t>部分：换电系统设备技术安全</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w:t>
      </w:r>
      <w:r>
        <w:rPr>
          <w:rFonts w:hint="eastAsia" w:ascii="宋体" w:hAnsi="宋体" w:eastAsia="宋体" w:cs="宋体"/>
          <w:spacing w:val="-5"/>
          <w:lang w:eastAsia="zh-CN"/>
        </w:rPr>
        <w:t>六</w:t>
      </w:r>
      <w:r>
        <w:rPr>
          <w:rFonts w:ascii="宋体" w:hAnsi="宋体" w:eastAsia="宋体" w:cs="宋体"/>
          <w:spacing w:val="-5"/>
        </w:rPr>
        <w:t>部分：换电系统通讯协议技术要求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w:t>
      </w:r>
      <w:r>
        <w:rPr>
          <w:rFonts w:hint="eastAsia" w:ascii="宋体" w:hAnsi="宋体" w:eastAsia="宋体" w:cs="宋体"/>
          <w:spacing w:val="-5"/>
          <w:lang w:eastAsia="zh-CN"/>
        </w:rPr>
        <w:t>七</w:t>
      </w:r>
      <w:r>
        <w:rPr>
          <w:rFonts w:ascii="宋体" w:hAnsi="宋体" w:eastAsia="宋体" w:cs="宋体"/>
          <w:spacing w:val="-5"/>
        </w:rPr>
        <w:t>部分：数据安全管理，风险预警分析技术要求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lang w:eastAsia="zh-CN"/>
        </w:rPr>
      </w:pPr>
      <w:r>
        <w:rPr>
          <w:rFonts w:ascii="宋体" w:hAnsi="宋体" w:eastAsia="宋体" w:cs="宋体"/>
          <w:spacing w:val="-5"/>
        </w:rPr>
        <w:t>——第</w:t>
      </w:r>
      <w:r>
        <w:rPr>
          <w:rFonts w:hint="eastAsia" w:ascii="宋体" w:hAnsi="宋体" w:eastAsia="宋体" w:cs="宋体"/>
          <w:spacing w:val="-5"/>
          <w:lang w:eastAsia="zh-CN"/>
        </w:rPr>
        <w:t>八</w:t>
      </w:r>
      <w:r>
        <w:rPr>
          <w:rFonts w:ascii="宋体" w:hAnsi="宋体" w:eastAsia="宋体" w:cs="宋体"/>
          <w:spacing w:val="-5"/>
        </w:rPr>
        <w:t>部分：换电站的规划布局及安装防护要求</w:t>
      </w:r>
      <w:r>
        <w:rPr>
          <w:rFonts w:hint="eastAsia" w:ascii="宋体" w:hAnsi="宋体" w:eastAsia="宋体" w:cs="宋体"/>
          <w:spacing w:val="-5"/>
          <w:lang w:eastAsia="zh-CN"/>
        </w:rPr>
        <w:t>。</w:t>
      </w:r>
    </w:p>
    <w:p>
      <w:pPr>
        <w:spacing w:line="360" w:lineRule="auto"/>
        <w:ind w:left="36" w:right="24" w:firstLine="421"/>
        <w:rPr>
          <w:rFonts w:ascii="宋体" w:hAnsi="宋体" w:eastAsia="宋体" w:cs="宋体"/>
          <w:spacing w:val="-5"/>
          <w:highlight w:val="none"/>
        </w:rPr>
      </w:pPr>
      <w:r>
        <w:rPr>
          <w:rFonts w:ascii="宋体" w:hAnsi="宋体" w:eastAsia="宋体" w:cs="宋体"/>
          <w:spacing w:val="-5"/>
          <w:highlight w:val="none"/>
        </w:rPr>
        <w:t>本文件按照GB/T 1.1 ―2020 《标准化工作导则第1 部分： 标准化文件的结构和起草规则》给出的规则起草。</w:t>
      </w:r>
    </w:p>
    <w:p>
      <w:pPr>
        <w:spacing w:line="360" w:lineRule="auto"/>
        <w:ind w:left="36" w:right="24" w:firstLine="421"/>
        <w:rPr>
          <w:rFonts w:ascii="宋体" w:hAnsi="宋体" w:eastAsia="宋体" w:cs="宋体"/>
          <w:spacing w:val="-5"/>
          <w:highlight w:val="none"/>
        </w:rPr>
      </w:pPr>
      <w:r>
        <w:rPr>
          <w:rFonts w:ascii="宋体" w:hAnsi="宋体" w:eastAsia="宋体" w:cs="宋体"/>
          <w:spacing w:val="-5"/>
          <w:highlight w:val="none"/>
        </w:rPr>
        <w:t>本文件由</w:t>
      </w:r>
      <w:r>
        <w:rPr>
          <w:rFonts w:hint="eastAsia" w:ascii="宋体" w:hAnsi="宋体" w:eastAsia="宋体" w:cs="宋体"/>
          <w:color w:val="auto"/>
          <w:spacing w:val="-5"/>
          <w:highlight w:val="none"/>
        </w:rPr>
        <w:t>北奔重</w:t>
      </w:r>
      <w:r>
        <w:rPr>
          <w:rFonts w:hint="eastAsia" w:ascii="宋体" w:hAnsi="宋体" w:eastAsia="宋体" w:cs="宋体"/>
          <w:color w:val="auto"/>
          <w:spacing w:val="-5"/>
          <w:highlight w:val="none"/>
          <w:lang w:eastAsia="zh-CN"/>
        </w:rPr>
        <w:t>型汽车集团有限公司</w:t>
      </w:r>
      <w:r>
        <w:rPr>
          <w:rFonts w:ascii="宋体" w:hAnsi="宋体" w:eastAsia="宋体" w:cs="宋体"/>
          <w:spacing w:val="-5"/>
          <w:highlight w:val="none"/>
        </w:rPr>
        <w:t>提出</w:t>
      </w:r>
      <w:r>
        <w:rPr>
          <w:rFonts w:hint="eastAsia" w:ascii="宋体" w:hAnsi="宋体" w:eastAsia="宋体" w:cs="宋体"/>
          <w:spacing w:val="-5"/>
          <w:highlight w:val="none"/>
        </w:rPr>
        <w:t>,包头市市场监督管理局</w:t>
      </w:r>
      <w:r>
        <w:rPr>
          <w:rFonts w:ascii="宋体" w:hAnsi="宋体" w:eastAsia="宋体" w:cs="宋体"/>
          <w:spacing w:val="-5"/>
          <w:highlight w:val="none"/>
        </w:rPr>
        <w:t>归口</w:t>
      </w:r>
      <w:r>
        <w:rPr>
          <w:rFonts w:hint="eastAsia" w:ascii="宋体" w:hAnsi="宋体" w:eastAsia="宋体" w:cs="宋体"/>
          <w:spacing w:val="-5"/>
          <w:highlight w:val="none"/>
        </w:rPr>
        <w:t>管理</w:t>
      </w:r>
      <w:r>
        <w:rPr>
          <w:rFonts w:ascii="宋体" w:hAnsi="宋体" w:eastAsia="宋体" w:cs="宋体"/>
          <w:spacing w:val="-5"/>
          <w:highlight w:val="none"/>
        </w:rPr>
        <w:t>。</w:t>
      </w:r>
    </w:p>
    <w:p>
      <w:pPr>
        <w:spacing w:line="360" w:lineRule="auto"/>
        <w:ind w:left="36" w:right="24" w:firstLine="421"/>
        <w:rPr>
          <w:rFonts w:hint="default" w:ascii="宋体" w:hAnsi="宋体" w:eastAsia="宋体" w:cs="宋体"/>
          <w:spacing w:val="-5"/>
          <w:highlight w:val="none"/>
          <w:lang w:val="en-US" w:eastAsia="zh-CN"/>
        </w:rPr>
      </w:pPr>
      <w:r>
        <w:rPr>
          <w:rFonts w:ascii="宋体" w:hAnsi="宋体" w:eastAsia="宋体" w:cs="宋体"/>
          <w:spacing w:val="-5"/>
          <w:highlight w:val="none"/>
        </w:rPr>
        <w:t>本文件起草单位：</w:t>
      </w:r>
    </w:p>
    <w:p>
      <w:pPr>
        <w:spacing w:line="360" w:lineRule="auto"/>
        <w:ind w:left="36" w:right="24" w:firstLine="421"/>
        <w:rPr>
          <w:rFonts w:ascii="宋体" w:hAnsi="宋体" w:eastAsia="宋体" w:cs="宋体"/>
          <w:spacing w:val="-5"/>
          <w:highlight w:val="yellow"/>
        </w:rPr>
      </w:pPr>
      <w:r>
        <w:rPr>
          <w:rFonts w:ascii="宋体" w:hAnsi="宋体" w:eastAsia="宋体" w:cs="宋体"/>
          <w:spacing w:val="-5"/>
          <w:highlight w:val="yellow"/>
        </w:rPr>
        <w:t>本文件主要起草人：</w:t>
      </w:r>
    </w:p>
    <w:p>
      <w:pPr>
        <w:spacing w:line="360" w:lineRule="auto"/>
        <w:ind w:left="36" w:right="24" w:firstLine="421"/>
        <w:rPr>
          <w:rFonts w:ascii="宋体" w:hAnsi="宋体" w:eastAsia="宋体" w:cs="宋体"/>
          <w:spacing w:val="-5"/>
        </w:rPr>
      </w:pPr>
      <w:r>
        <w:rPr>
          <w:rFonts w:ascii="宋体" w:hAnsi="宋体" w:eastAsia="宋体" w:cs="宋体"/>
          <w:spacing w:val="-5"/>
          <w:highlight w:val="yellow"/>
        </w:rPr>
        <w:t>本文件为首次发布。</w:t>
      </w:r>
    </w:p>
    <w:p>
      <w:pPr>
        <w:spacing w:line="274" w:lineRule="auto"/>
        <w:ind w:left="36" w:right="24" w:firstLine="421"/>
        <w:rPr>
          <w:rFonts w:ascii="宋体" w:hAnsi="宋体" w:eastAsia="宋体" w:cs="宋体"/>
          <w:spacing w:val="-5"/>
        </w:rPr>
        <w:sectPr>
          <w:footerReference r:id="rId3" w:type="default"/>
          <w:pgSz w:w="11907" w:h="16839"/>
          <w:pgMar w:top="1431" w:right="1103" w:bottom="1291" w:left="1390" w:header="0" w:footer="1175" w:gutter="0"/>
          <w:pgNumType w:fmt="decimal"/>
          <w:cols w:space="720" w:num="1"/>
        </w:sectPr>
      </w:pPr>
    </w:p>
    <w:p>
      <w:pPr>
        <w:pStyle w:val="29"/>
        <w:spacing w:after="0"/>
        <w:outlineLvl w:val="9"/>
      </w:pPr>
      <w:r>
        <w:rPr>
          <w:rFonts w:hint="eastAsia"/>
        </w:rPr>
        <w:t>电动中重卡共享换电站建设及换电车辆技术规范</w:t>
      </w:r>
      <w:bookmarkEnd w:id="10"/>
      <w:bookmarkEnd w:id="11"/>
      <w:bookmarkEnd w:id="12"/>
    </w:p>
    <w:p>
      <w:pPr>
        <w:pStyle w:val="30"/>
        <w:spacing w:line="360" w:lineRule="auto"/>
        <w:ind w:firstLine="0" w:firstLineChars="0"/>
        <w:jc w:val="center"/>
        <w:rPr>
          <w:rFonts w:ascii="黑体" w:hAnsi="宋体" w:eastAsia="黑体" w:cs="黑体"/>
          <w:sz w:val="32"/>
          <w:szCs w:val="32"/>
        </w:rPr>
      </w:pPr>
      <w:r>
        <w:rPr>
          <w:rFonts w:hint="eastAsia" w:ascii="黑体" w:hAnsi="宋体" w:eastAsia="黑体" w:cs="黑体"/>
          <w:sz w:val="32"/>
          <w:szCs w:val="32"/>
        </w:rPr>
        <w:t>第</w:t>
      </w:r>
      <w:r>
        <w:rPr>
          <w:rFonts w:hint="eastAsia" w:ascii="黑体" w:hAnsi="宋体" w:eastAsia="黑体" w:cs="黑体"/>
          <w:sz w:val="32"/>
          <w:szCs w:val="32"/>
          <w:lang w:val="en-US" w:eastAsia="zh-CN"/>
        </w:rPr>
        <w:t>3</w:t>
      </w:r>
      <w:r>
        <w:rPr>
          <w:rFonts w:hint="eastAsia" w:ascii="黑体" w:hAnsi="宋体" w:eastAsia="黑体" w:cs="黑体"/>
          <w:sz w:val="32"/>
          <w:szCs w:val="32"/>
        </w:rPr>
        <w:t>部分：</w:t>
      </w:r>
      <w:r>
        <w:rPr>
          <w:rFonts w:hint="eastAsia" w:ascii="黑体" w:hAnsi="宋体" w:eastAsia="黑体" w:cs="黑体"/>
          <w:sz w:val="32"/>
          <w:szCs w:val="32"/>
          <w:lang w:val="en-US" w:eastAsia="zh-CN"/>
        </w:rPr>
        <w:t>换电车辆</w:t>
      </w:r>
      <w:r>
        <w:rPr>
          <w:rFonts w:hint="eastAsia" w:ascii="黑体" w:hAnsi="宋体" w:eastAsia="黑体" w:cs="黑体"/>
          <w:sz w:val="32"/>
          <w:szCs w:val="32"/>
        </w:rPr>
        <w:t>换电连接器技术要求</w:t>
      </w:r>
    </w:p>
    <w:p>
      <w:pPr>
        <w:pStyle w:val="32"/>
        <w:spacing w:before="312" w:after="312"/>
        <w:ind w:left="0"/>
        <w:outlineLvl w:val="0"/>
      </w:pPr>
      <w:bookmarkStart w:id="13" w:name="_Toc2675405"/>
      <w:bookmarkStart w:id="14" w:name="_Toc2615015"/>
      <w:bookmarkStart w:id="15" w:name="_Toc1910462"/>
      <w:bookmarkStart w:id="16" w:name="_Toc1910588"/>
      <w:bookmarkStart w:id="17" w:name="_Toc2613713"/>
      <w:bookmarkStart w:id="18" w:name="_Toc1484809"/>
      <w:bookmarkStart w:id="19" w:name="_Toc98696215"/>
      <w:r>
        <w:rPr>
          <w:rFonts w:hint="eastAsia"/>
        </w:rPr>
        <w:t>范围</w:t>
      </w:r>
      <w:bookmarkEnd w:id="13"/>
      <w:bookmarkEnd w:id="14"/>
      <w:bookmarkEnd w:id="15"/>
      <w:bookmarkEnd w:id="16"/>
      <w:bookmarkEnd w:id="17"/>
      <w:bookmarkEnd w:id="18"/>
      <w:bookmarkEnd w:id="19"/>
    </w:p>
    <w:p>
      <w:pPr>
        <w:ind w:firstLine="420" w:firstLineChars="200"/>
      </w:pPr>
      <w:r>
        <w:rPr>
          <w:rFonts w:hint="eastAsia"/>
        </w:rPr>
        <w:t>本文件规定了电动中重卡换电车辆换电连接器的技术要求、试验方法、检验规则以及标识、包装、运输和存储。</w:t>
      </w:r>
    </w:p>
    <w:p>
      <w:pPr>
        <w:ind w:firstLine="420" w:firstLineChars="200"/>
      </w:pPr>
      <w:r>
        <w:rPr>
          <w:rFonts w:hint="eastAsia"/>
        </w:rPr>
        <w:t>本文件适用于电动中重卡吊装式换电车辆。</w:t>
      </w:r>
    </w:p>
    <w:p>
      <w:pPr>
        <w:pStyle w:val="32"/>
        <w:spacing w:before="312" w:after="312"/>
        <w:ind w:left="0"/>
        <w:outlineLvl w:val="0"/>
      </w:pPr>
      <w:bookmarkStart w:id="20" w:name="_Toc2613714"/>
      <w:bookmarkStart w:id="21" w:name="_Toc1910589"/>
      <w:bookmarkStart w:id="22" w:name="_Toc98696216"/>
      <w:bookmarkStart w:id="23" w:name="_Toc2675406"/>
      <w:bookmarkStart w:id="24" w:name="_Toc1910463"/>
      <w:bookmarkStart w:id="25" w:name="_Toc1484810"/>
      <w:bookmarkStart w:id="26" w:name="_Toc2615016"/>
      <w:r>
        <w:rPr>
          <w:rFonts w:hint="eastAsia"/>
        </w:rPr>
        <w:t>规范性引用文件</w:t>
      </w:r>
      <w:bookmarkEnd w:id="20"/>
      <w:bookmarkEnd w:id="21"/>
      <w:bookmarkEnd w:id="22"/>
      <w:bookmarkEnd w:id="23"/>
      <w:bookmarkEnd w:id="24"/>
      <w:bookmarkEnd w:id="25"/>
      <w:bookmarkEnd w:id="26"/>
    </w:p>
    <w:p>
      <w:pPr>
        <w:pStyle w:val="3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30"/>
      </w:pPr>
      <w:r>
        <w:rPr>
          <w:rFonts w:hint="eastAsia"/>
        </w:rPr>
        <w:t>GB/T 2408 塑料 燃烧性能的测定水平法和垂直法</w:t>
      </w:r>
    </w:p>
    <w:p>
      <w:pPr>
        <w:pStyle w:val="30"/>
      </w:pPr>
      <w:r>
        <w:t xml:space="preserve">GB/T </w:t>
      </w:r>
      <w:r>
        <w:rPr>
          <w:rFonts w:hint="eastAsia"/>
        </w:rPr>
        <w:t>2423.17</w:t>
      </w:r>
      <w:r>
        <w:t xml:space="preserve"> </w:t>
      </w:r>
      <w:r>
        <w:rPr>
          <w:rFonts w:hint="eastAsia"/>
        </w:rPr>
        <w:t>电工电子产品环境试验 第2部分：试验方法 试验Ka：盐雾</w:t>
      </w:r>
    </w:p>
    <w:p>
      <w:pPr>
        <w:pStyle w:val="30"/>
      </w:pPr>
      <w:r>
        <w:t xml:space="preserve">GB/T 5095.2 </w:t>
      </w:r>
      <w:r>
        <w:rPr>
          <w:rFonts w:hint="eastAsia"/>
        </w:rPr>
        <w:t>电子设备用机电元件基本试验规程及测量方法 第</w:t>
      </w:r>
      <w:r>
        <w:t>2</w:t>
      </w:r>
      <w:r>
        <w:rPr>
          <w:rFonts w:hint="eastAsia"/>
        </w:rPr>
        <w:t>部分：一般检</w:t>
      </w:r>
    </w:p>
    <w:p>
      <w:pPr>
        <w:pStyle w:val="30"/>
      </w:pPr>
      <w:r>
        <w:rPr>
          <w:rFonts w:hint="eastAsia"/>
        </w:rPr>
        <w:t>查、电连续性试验试验</w:t>
      </w:r>
    </w:p>
    <w:p>
      <w:pPr>
        <w:pStyle w:val="30"/>
      </w:pPr>
      <w:r>
        <w:t xml:space="preserve">GB/T 11918.1 </w:t>
      </w:r>
      <w:r>
        <w:rPr>
          <w:rFonts w:hint="eastAsia"/>
        </w:rPr>
        <w:t>工业用插头插座和耦合器 第</w:t>
      </w:r>
      <w:r>
        <w:t>1</w:t>
      </w:r>
      <w:r>
        <w:rPr>
          <w:rFonts w:hint="eastAsia"/>
        </w:rPr>
        <w:t>部分：通用要求</w:t>
      </w:r>
    </w:p>
    <w:p>
      <w:pPr>
        <w:pStyle w:val="30"/>
      </w:pPr>
      <w:r>
        <w:t xml:space="preserve">GB/T </w:t>
      </w:r>
      <w:r>
        <w:rPr>
          <w:rFonts w:hint="eastAsia"/>
        </w:rPr>
        <w:t>16935.1 低压系统内设备的绝缘配合 第一部分：原理、要求和试验</w:t>
      </w:r>
    </w:p>
    <w:p>
      <w:pPr>
        <w:pStyle w:val="30"/>
      </w:pPr>
      <w:r>
        <w:t xml:space="preserve">GB/T 28046.3 </w:t>
      </w:r>
      <w:r>
        <w:rPr>
          <w:rFonts w:hint="eastAsia"/>
        </w:rPr>
        <w:t>道路车辆电气及电子设备的环境条件和试验 第</w:t>
      </w:r>
      <w:r>
        <w:t>3</w:t>
      </w:r>
      <w:r>
        <w:rPr>
          <w:rFonts w:hint="eastAsia"/>
        </w:rPr>
        <w:t>部分：机械负荷</w:t>
      </w:r>
    </w:p>
    <w:p>
      <w:pPr>
        <w:pStyle w:val="30"/>
      </w:pPr>
      <w:r>
        <w:t xml:space="preserve">GB/T 30038 </w:t>
      </w:r>
      <w:r>
        <w:rPr>
          <w:rFonts w:hint="eastAsia"/>
        </w:rPr>
        <w:t>道路车辆电气电子设备防护等级（</w:t>
      </w:r>
      <w:r>
        <w:t xml:space="preserve">IP </w:t>
      </w:r>
      <w:r>
        <w:rPr>
          <w:rFonts w:hint="eastAsia"/>
        </w:rPr>
        <w:t>代码）</w:t>
      </w:r>
    </w:p>
    <w:p>
      <w:pPr>
        <w:pStyle w:val="30"/>
      </w:pPr>
      <w:r>
        <w:t xml:space="preserve">GB/T 30512 </w:t>
      </w:r>
      <w:r>
        <w:rPr>
          <w:rFonts w:hint="eastAsia"/>
        </w:rPr>
        <w:t>汽车禁用物质要求</w:t>
      </w:r>
    </w:p>
    <w:p>
      <w:pPr>
        <w:pStyle w:val="30"/>
      </w:pPr>
      <w:r>
        <w:t xml:space="preserve">GB/T 32879 </w:t>
      </w:r>
      <w:r>
        <w:rPr>
          <w:rFonts w:hint="eastAsia"/>
        </w:rPr>
        <w:t>电动汽车更换用电池箱连接器通用技术要求</w:t>
      </w:r>
    </w:p>
    <w:p>
      <w:pPr>
        <w:pStyle w:val="30"/>
      </w:pPr>
      <w:r>
        <w:t xml:space="preserve">GB/T </w:t>
      </w:r>
      <w:r>
        <w:rPr>
          <w:rFonts w:hint="eastAsia"/>
        </w:rPr>
        <w:t>37133</w:t>
      </w:r>
      <w:r>
        <w:t xml:space="preserve"> </w:t>
      </w:r>
      <w:r>
        <w:rPr>
          <w:rFonts w:hint="eastAsia"/>
        </w:rPr>
        <w:t>电动汽车用高压大电流线束和连接器技术要求</w:t>
      </w:r>
    </w:p>
    <w:p>
      <w:pPr>
        <w:pStyle w:val="30"/>
      </w:pPr>
      <w:r>
        <w:t xml:space="preserve">QC/T 413 </w:t>
      </w:r>
      <w:r>
        <w:rPr>
          <w:rFonts w:hint="eastAsia"/>
        </w:rPr>
        <w:t>汽车电气设备基本技术条件</w:t>
      </w:r>
    </w:p>
    <w:p>
      <w:pPr>
        <w:pStyle w:val="30"/>
      </w:pPr>
      <w:r>
        <w:t xml:space="preserve">QC/T 1067.1 </w:t>
      </w:r>
      <w:r>
        <w:rPr>
          <w:rFonts w:hint="eastAsia"/>
        </w:rPr>
        <w:t>汽车电线束和电气设备连接器</w:t>
      </w:r>
    </w:p>
    <w:p>
      <w:pPr>
        <w:pStyle w:val="30"/>
      </w:pPr>
      <w:r>
        <w:t xml:space="preserve">QC/T 29106 </w:t>
      </w:r>
      <w:r>
        <w:rPr>
          <w:rFonts w:hint="eastAsia"/>
        </w:rPr>
        <w:t>汽车电线束技术条件</w:t>
      </w:r>
    </w:p>
    <w:p>
      <w:pPr>
        <w:pStyle w:val="30"/>
      </w:pPr>
      <w:r>
        <w:rPr>
          <w:rFonts w:hint="eastAsia"/>
        </w:rPr>
        <w:t>CSAE 178 电动汽车高压连接器技术条件</w:t>
      </w:r>
    </w:p>
    <w:p>
      <w:pPr>
        <w:pStyle w:val="32"/>
        <w:spacing w:before="312" w:after="312"/>
        <w:ind w:left="0"/>
        <w:outlineLvl w:val="0"/>
      </w:pPr>
      <w:bookmarkStart w:id="27" w:name="_Toc1910464"/>
      <w:bookmarkStart w:id="28" w:name="_Toc98696217"/>
      <w:bookmarkStart w:id="29" w:name="_Toc1484811"/>
      <w:bookmarkStart w:id="30" w:name="_Toc2615017"/>
      <w:bookmarkStart w:id="31" w:name="_Toc1910590"/>
      <w:bookmarkStart w:id="32" w:name="_Toc2613715"/>
      <w:bookmarkStart w:id="33" w:name="_Toc2675407"/>
      <w:r>
        <w:rPr>
          <w:rFonts w:hint="eastAsia"/>
        </w:rPr>
        <w:t>术语和定义</w:t>
      </w:r>
      <w:bookmarkEnd w:id="27"/>
      <w:bookmarkEnd w:id="28"/>
      <w:bookmarkEnd w:id="29"/>
      <w:bookmarkEnd w:id="30"/>
      <w:bookmarkEnd w:id="31"/>
      <w:bookmarkEnd w:id="32"/>
      <w:bookmarkEnd w:id="33"/>
    </w:p>
    <w:p>
      <w:pPr>
        <w:pStyle w:val="30"/>
        <w:rPr>
          <w:rFonts w:cs="宋体"/>
          <w:szCs w:val="21"/>
        </w:rPr>
      </w:pPr>
      <w:r>
        <w:rPr>
          <w:rFonts w:hint="eastAsia"/>
        </w:rPr>
        <w:t>下列</w:t>
      </w:r>
      <w:r>
        <w:rPr>
          <w:rFonts w:hint="eastAsia" w:cs="宋体"/>
          <w:szCs w:val="21"/>
        </w:rPr>
        <w:t>术语和定义适用于本文件。</w:t>
      </w:r>
    </w:p>
    <w:p>
      <w:pPr>
        <w:pStyle w:val="33"/>
        <w:spacing w:before="156" w:after="156"/>
      </w:pPr>
      <w:bookmarkStart w:id="34" w:name="_Toc98696218"/>
      <w:bookmarkEnd w:id="34"/>
      <w:bookmarkStart w:id="35" w:name="_Toc98620953"/>
      <w:bookmarkEnd w:id="35"/>
    </w:p>
    <w:p>
      <w:pPr>
        <w:pStyle w:val="33"/>
        <w:numPr>
          <w:ilvl w:val="0"/>
          <w:numId w:val="0"/>
        </w:numPr>
        <w:spacing w:before="156" w:afterLines="0"/>
        <w:ind w:firstLine="420" w:firstLineChars="200"/>
      </w:pPr>
      <w:bookmarkStart w:id="36" w:name="_Toc98620954"/>
      <w:bookmarkStart w:id="37" w:name="_Toc98696219"/>
      <w:r>
        <w:rPr>
          <w:rFonts w:hint="eastAsia"/>
        </w:rPr>
        <w:t xml:space="preserve">换电连接器 </w:t>
      </w:r>
      <w:r>
        <w:t>swappable electrical connector</w:t>
      </w:r>
      <w:bookmarkEnd w:id="36"/>
      <w:bookmarkEnd w:id="37"/>
    </w:p>
    <w:p>
      <w:pPr>
        <w:pStyle w:val="30"/>
      </w:pPr>
      <w:r>
        <w:rPr>
          <w:rFonts w:hint="eastAsia"/>
        </w:rPr>
        <w:t>实现换电电池箱与车载换电底托、换电电池箱与换电站充电装置之间传导式连接的专用电连接器，由换电连接器插头和换电连接器插座组成。</w:t>
      </w:r>
    </w:p>
    <w:p>
      <w:pPr>
        <w:pStyle w:val="33"/>
        <w:spacing w:before="156" w:after="156"/>
      </w:pPr>
      <w:bookmarkStart w:id="38" w:name="_Toc98620955"/>
      <w:bookmarkEnd w:id="38"/>
      <w:bookmarkStart w:id="39" w:name="_Toc98696220"/>
      <w:bookmarkEnd w:id="39"/>
    </w:p>
    <w:p>
      <w:pPr>
        <w:pStyle w:val="33"/>
        <w:numPr>
          <w:ilvl w:val="0"/>
          <w:numId w:val="0"/>
        </w:numPr>
        <w:spacing w:before="156" w:afterLines="0"/>
        <w:ind w:firstLine="420" w:firstLineChars="200"/>
      </w:pPr>
      <w:bookmarkStart w:id="40" w:name="_Toc98696221"/>
      <w:bookmarkStart w:id="41" w:name="_Toc98620956"/>
      <w:r>
        <w:rPr>
          <w:rFonts w:hint="eastAsia"/>
        </w:rPr>
        <w:t xml:space="preserve">换电连接器插头 </w:t>
      </w:r>
      <w:r>
        <w:t>swappable electrical connector plug</w:t>
      </w:r>
      <w:bookmarkEnd w:id="40"/>
      <w:bookmarkEnd w:id="41"/>
    </w:p>
    <w:p>
      <w:pPr>
        <w:pStyle w:val="30"/>
      </w:pPr>
      <w:r>
        <w:rPr>
          <w:rFonts w:hint="eastAsia"/>
          <w:color w:val="000000" w:themeColor="text1"/>
          <w14:textFill>
            <w14:solidFill>
              <w14:schemeClr w14:val="tx1"/>
            </w14:solidFill>
          </w14:textFill>
        </w:rPr>
        <w:t>一般是指换电连接器中和换电电池箱连接在一起的部分，一般会包含导向特征</w:t>
      </w:r>
      <w:r>
        <w:rPr>
          <w:rFonts w:hint="eastAsia"/>
        </w:rPr>
        <w:t>。</w:t>
      </w:r>
    </w:p>
    <w:p>
      <w:pPr>
        <w:pStyle w:val="33"/>
        <w:spacing w:before="156" w:after="156"/>
      </w:pPr>
      <w:bookmarkStart w:id="42" w:name="_Toc98620957"/>
      <w:bookmarkEnd w:id="42"/>
      <w:bookmarkStart w:id="43" w:name="_Toc98696222"/>
      <w:bookmarkEnd w:id="43"/>
    </w:p>
    <w:p>
      <w:pPr>
        <w:pStyle w:val="33"/>
        <w:numPr>
          <w:ilvl w:val="0"/>
          <w:numId w:val="0"/>
        </w:numPr>
        <w:spacing w:before="156" w:afterLines="0"/>
        <w:ind w:firstLine="420" w:firstLineChars="200"/>
      </w:pPr>
      <w:bookmarkStart w:id="44" w:name="_Toc98620958"/>
      <w:bookmarkStart w:id="45" w:name="_Toc98696223"/>
      <w:r>
        <w:rPr>
          <w:rFonts w:hint="eastAsia"/>
        </w:rPr>
        <w:t xml:space="preserve">换电连接器插座 </w:t>
      </w:r>
      <w:r>
        <w:t>swappable electrical connector socket-outlet</w:t>
      </w:r>
      <w:bookmarkEnd w:id="44"/>
      <w:bookmarkEnd w:id="45"/>
    </w:p>
    <w:p>
      <w:pPr>
        <w:pStyle w:val="30"/>
      </w:pPr>
      <w:r>
        <w:rPr>
          <w:rFonts w:hint="eastAsia"/>
        </w:rPr>
        <w:t>一般是指换电连接器中和车载换电底托或换电站充电装置连接在一起的部分，一般会包含浮动机构特征。</w:t>
      </w:r>
    </w:p>
    <w:p>
      <w:pPr>
        <w:pStyle w:val="32"/>
        <w:spacing w:before="312" w:after="312"/>
        <w:ind w:left="0"/>
        <w:outlineLvl w:val="0"/>
      </w:pPr>
      <w:bookmarkStart w:id="46" w:name="_Toc98696224"/>
      <w:r>
        <w:rPr>
          <w:rFonts w:hint="eastAsia"/>
        </w:rPr>
        <w:t>技术要求</w:t>
      </w:r>
      <w:bookmarkEnd w:id="46"/>
    </w:p>
    <w:p>
      <w:pPr>
        <w:pStyle w:val="33"/>
        <w:spacing w:before="156" w:after="156"/>
      </w:pPr>
      <w:bookmarkStart w:id="47" w:name="_Toc98696225"/>
      <w:r>
        <w:rPr>
          <w:rFonts w:hint="eastAsia"/>
        </w:rPr>
        <w:t>工作电压和电流</w:t>
      </w:r>
      <w:bookmarkEnd w:id="47"/>
    </w:p>
    <w:p>
      <w:pPr>
        <w:pStyle w:val="30"/>
      </w:pPr>
      <w:r>
        <w:rPr>
          <w:rFonts w:hint="eastAsia"/>
        </w:rPr>
        <w:t>换电连接器高压电路额定工作电压不低于1000</w:t>
      </w:r>
      <w:r>
        <w:t xml:space="preserve"> V/DC</w:t>
      </w:r>
      <w:r>
        <w:rPr>
          <w:rFonts w:hint="eastAsia"/>
        </w:rPr>
        <w:t>，低压电路最大工作电压不低于30</w:t>
      </w:r>
      <w:r>
        <w:t xml:space="preserve"> V/DC</w:t>
      </w:r>
      <w:r>
        <w:rPr>
          <w:rFonts w:hint="eastAsia"/>
        </w:rPr>
        <w:t>。</w:t>
      </w:r>
    </w:p>
    <w:p>
      <w:pPr>
        <w:pStyle w:val="30"/>
      </w:pPr>
      <w:r>
        <w:rPr>
          <w:rFonts w:hint="eastAsia"/>
        </w:rPr>
        <w:t>换电连接器高压电路单端子额定工作电流不低于250</w:t>
      </w:r>
      <w:r>
        <w:t xml:space="preserve"> A</w:t>
      </w:r>
      <w:r>
        <w:rPr>
          <w:rFonts w:hint="eastAsia"/>
        </w:rPr>
        <w:t>，低压控制电路单端子最大工作电流不低于8</w:t>
      </w:r>
      <w:r>
        <w:t xml:space="preserve"> A</w:t>
      </w:r>
      <w:r>
        <w:rPr>
          <w:rFonts w:hint="eastAsia"/>
        </w:rPr>
        <w:t>，辅助电源单端子最大工作电流不低于30</w:t>
      </w:r>
      <w:r>
        <w:t xml:space="preserve"> A</w:t>
      </w:r>
      <w:r>
        <w:rPr>
          <w:rFonts w:hint="eastAsia"/>
        </w:rPr>
        <w:t>。</w:t>
      </w:r>
    </w:p>
    <w:p>
      <w:pPr>
        <w:pStyle w:val="33"/>
        <w:spacing w:before="156" w:after="156"/>
      </w:pPr>
      <w:bookmarkStart w:id="48" w:name="_Toc98696226"/>
      <w:r>
        <w:rPr>
          <w:rFonts w:hint="eastAsia"/>
        </w:rPr>
        <w:t>电气连接顺序</w:t>
      </w:r>
      <w:bookmarkEnd w:id="48"/>
    </w:p>
    <w:p>
      <w:pPr>
        <w:pStyle w:val="30"/>
        <w:rPr>
          <w:rFonts w:cs="宋体"/>
          <w:szCs w:val="21"/>
        </w:rPr>
      </w:pPr>
      <w:r>
        <w:rPr>
          <w:rFonts w:hint="eastAsia"/>
        </w:rPr>
        <w:t>在耦合过程中，应保证触头耦合的顺序为：导向销-保护接地</w:t>
      </w:r>
      <w:r>
        <w:t>-</w:t>
      </w:r>
      <w:r>
        <w:rPr>
          <w:rFonts w:hint="eastAsia"/>
        </w:rPr>
        <w:t>高压功率端子</w:t>
      </w:r>
      <w:r>
        <w:t>-</w:t>
      </w:r>
      <w:r>
        <w:rPr>
          <w:rFonts w:hint="eastAsia"/>
        </w:rPr>
        <w:t>低压电源、信号</w:t>
      </w:r>
      <w:r>
        <w:t>-</w:t>
      </w:r>
      <w:r>
        <w:rPr>
          <w:rFonts w:hint="eastAsia"/>
        </w:rPr>
        <w:t>互锁。脱开过程</w:t>
      </w:r>
      <w:r>
        <w:rPr>
          <w:rFonts w:hint="eastAsia" w:cs="宋体"/>
          <w:szCs w:val="21"/>
        </w:rPr>
        <w:t>与耦合过程相反。</w:t>
      </w:r>
    </w:p>
    <w:p>
      <w:pPr>
        <w:pStyle w:val="33"/>
        <w:spacing w:before="156" w:after="156"/>
        <w:rPr>
          <w:rFonts w:hint="eastAsia"/>
        </w:rPr>
      </w:pPr>
      <w:bookmarkStart w:id="49" w:name="_Toc98696227"/>
      <w:r>
        <w:rPr>
          <w:rFonts w:hint="eastAsia"/>
        </w:rPr>
        <w:t>换电连接器数量及布置</w:t>
      </w:r>
      <w:bookmarkEnd w:id="49"/>
    </w:p>
    <w:p>
      <w:pPr>
        <w:pStyle w:val="30"/>
      </w:pPr>
      <w:r>
        <w:rPr>
          <w:rFonts w:hint="eastAsia"/>
          <w:highlight w:val="yellow"/>
        </w:rPr>
        <w:t>4.3.1  I型换</w:t>
      </w:r>
      <w:r>
        <w:rPr>
          <w:rFonts w:hint="eastAsia" w:cs="宋体"/>
          <w:szCs w:val="21"/>
          <w:highlight w:val="yellow"/>
        </w:rPr>
        <w:t>电连接器</w:t>
      </w:r>
    </w:p>
    <w:p>
      <w:pPr>
        <w:pStyle w:val="30"/>
        <w:rPr>
          <w:rFonts w:cs="宋体"/>
          <w:szCs w:val="21"/>
        </w:rPr>
      </w:pPr>
      <w:r>
        <w:rPr>
          <w:rFonts w:hint="eastAsia"/>
        </w:rPr>
        <w:t>I型换</w:t>
      </w:r>
      <w:r>
        <w:rPr>
          <w:rFonts w:hint="eastAsia" w:cs="宋体"/>
          <w:szCs w:val="21"/>
        </w:rPr>
        <w:t>电连接器数量采用4个，放电连接器Ⅰ、放电连接器Ⅱ、充电连接器Ⅰ、充电连接器Ⅱ，4个换电连接器在车载换电底托上的布置方式见图1。</w:t>
      </w:r>
    </w:p>
    <w:p>
      <w:pPr>
        <w:pStyle w:val="30"/>
        <w:jc w:val="center"/>
        <w:rPr>
          <w:rFonts w:cs="宋体"/>
          <w:szCs w:val="21"/>
        </w:rPr>
      </w:pPr>
      <w:r>
        <w:rPr>
          <w:rFonts w:cs="宋体"/>
          <w:szCs w:val="21"/>
        </w:rPr>
        <mc:AlternateContent>
          <mc:Choice Requires="wps">
            <w:drawing>
              <wp:anchor distT="0" distB="0" distL="114300" distR="114300" simplePos="0" relativeHeight="251669504" behindDoc="0" locked="0" layoutInCell="1" allowOverlap="1">
                <wp:simplePos x="0" y="0"/>
                <wp:positionH relativeFrom="column">
                  <wp:posOffset>3752850</wp:posOffset>
                </wp:positionH>
                <wp:positionV relativeFrom="paragraph">
                  <wp:posOffset>309880</wp:posOffset>
                </wp:positionV>
                <wp:extent cx="698500" cy="571500"/>
                <wp:effectExtent l="3175" t="0" r="3175" b="19050"/>
                <wp:wrapNone/>
                <wp:docPr id="5" name="直接箭头连接符 5"/>
                <wp:cNvGraphicFramePr/>
                <a:graphic xmlns:a="http://schemas.openxmlformats.org/drawingml/2006/main">
                  <a:graphicData uri="http://schemas.microsoft.com/office/word/2010/wordprocessingShape">
                    <wps:wsp>
                      <wps:cNvCnPr/>
                      <wps:spPr>
                        <a:xfrm flipV="1">
                          <a:off x="0" y="0"/>
                          <a:ext cx="698500" cy="57150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y;margin-left:295.5pt;margin-top:24.4pt;height:45pt;width:55pt;z-index:251669504;mso-width-relative:page;mso-height-relative:page;" filled="f" stroked="t" coordsize="21600,21600" o:gfxdata="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A8+M1wAAAAoBAAAPAAAAAAAA&#10;AAEAIAAAACIAAABkcnMvZG93bnJldi54bWxQSwECFAAUAAAACACHTuJAQd51OxMCAAD9AwAADgAA&#10;AAAAAAABACAAAAAmAQAAZHJzL2Uyb0RvYy54bWxQSwUGAAAAAAYABgBZAQAAqwUAAAAA&#10;">
                <v:fill on="f" focussize="0,0"/>
                <v:stroke weight="0.5pt" color="#000000" miterlimit="8" joinstyle="miter" endarrow="block"/>
                <v:imagedata o:title=""/>
                <o:lock v:ext="edit" aspectratio="f"/>
              </v:shape>
            </w:pict>
          </mc:Fallback>
        </mc:AlternateContent>
      </w:r>
      <w:r>
        <w:rPr>
          <w:rFonts w:cs="宋体"/>
          <w:szCs w:val="21"/>
        </w:rPr>
        <mc:AlternateContent>
          <mc:Choice Requires="wps">
            <w:drawing>
              <wp:anchor distT="0" distB="0" distL="114300" distR="114300" simplePos="0" relativeHeight="251665408" behindDoc="0" locked="0" layoutInCell="1" allowOverlap="1">
                <wp:simplePos x="0" y="0"/>
                <wp:positionH relativeFrom="column">
                  <wp:posOffset>4079240</wp:posOffset>
                </wp:positionH>
                <wp:positionV relativeFrom="paragraph">
                  <wp:posOffset>98425</wp:posOffset>
                </wp:positionV>
                <wp:extent cx="1270000" cy="41656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270000" cy="416560"/>
                        </a:xfrm>
                        <a:prstGeom prst="rect">
                          <a:avLst/>
                        </a:prstGeom>
                        <a:noFill/>
                        <a:ln w="6350">
                          <a:noFill/>
                        </a:ln>
                        <a:effectLst/>
                      </wps:spPr>
                      <wps:txbx>
                        <w:txbxContent>
                          <w:p>
                            <w:pPr>
                              <w:pStyle w:val="30"/>
                              <w:rPr>
                                <w:sz w:val="15"/>
                              </w:rPr>
                            </w:pPr>
                            <w:r>
                              <w:rPr>
                                <w:rFonts w:hint="eastAsia" w:cs="宋体"/>
                                <w:szCs w:val="21"/>
                              </w:rPr>
                              <w:t>充电连接器Ⅱ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2pt;margin-top:7.75pt;height:32.8pt;width:100pt;z-index:251665408;mso-width-relative:page;mso-height-relative:page;" filled="f" stroked="f" coordsize="21600,21600" o:gfxdata="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7P7RDZAAAACQEAAA8AAAAAAAAAAQAgAAAA&#10;IgAAAGRycy9kb3ducmV2LnhtbFBLAQIUABQAAAAIAIdO4kA82XvLQwIAAHYEAAAOAAAAAAAAAAEA&#10;IAAAACgBAABkcnMvZTJvRG9jLnhtbFBLBQYAAAAABgAGAFkBAADdBQAAAAA=&#10;">
                <v:fill on="f" focussize="0,0"/>
                <v:stroke on="f" weight="0.5pt"/>
                <v:imagedata o:title=""/>
                <o:lock v:ext="edit" aspectratio="f"/>
                <v:textbox>
                  <w:txbxContent>
                    <w:p>
                      <w:pPr>
                        <w:pStyle w:val="30"/>
                        <w:rPr>
                          <w:sz w:val="15"/>
                        </w:rPr>
                      </w:pPr>
                      <w:r>
                        <w:rPr>
                          <w:rFonts w:hint="eastAsia" w:cs="宋体"/>
                          <w:szCs w:val="21"/>
                        </w:rPr>
                        <w:t>充电连接器Ⅱ</w:t>
                      </w:r>
                    </w:p>
                  </w:txbxContent>
                </v:textbox>
              </v:shape>
            </w:pict>
          </mc:Fallback>
        </mc:AlternateContent>
      </w:r>
      <w:r>
        <w:rPr>
          <w:rFonts w:cs="宋体"/>
          <w:szCs w:val="21"/>
        </w:rPr>
        <mc:AlternateContent>
          <mc:Choice Requires="wps">
            <w:drawing>
              <wp:anchor distT="0" distB="0" distL="114300" distR="114300" simplePos="0" relativeHeight="251671552" behindDoc="0" locked="0" layoutInCell="1" allowOverlap="1">
                <wp:simplePos x="0" y="0"/>
                <wp:positionH relativeFrom="column">
                  <wp:posOffset>1009650</wp:posOffset>
                </wp:positionH>
                <wp:positionV relativeFrom="paragraph">
                  <wp:posOffset>354330</wp:posOffset>
                </wp:positionV>
                <wp:extent cx="806450" cy="495300"/>
                <wp:effectExtent l="0" t="0" r="12700" b="19050"/>
                <wp:wrapNone/>
                <wp:docPr id="12" name="直接箭头连接符 12"/>
                <wp:cNvGraphicFramePr/>
                <a:graphic xmlns:a="http://schemas.openxmlformats.org/drawingml/2006/main">
                  <a:graphicData uri="http://schemas.microsoft.com/office/word/2010/wordprocessingShape">
                    <wps:wsp>
                      <wps:cNvCnPr/>
                      <wps:spPr>
                        <a:xfrm flipH="1" flipV="1">
                          <a:off x="0" y="0"/>
                          <a:ext cx="806450" cy="49530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79.5pt;margin-top:27.9pt;height:39pt;width:63.5pt;z-index:251671552;mso-width-relative:page;mso-height-relative:page;" filled="f" stroked="t" coordsize="21600,21600" o:gfxdata="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PdGKdgAAAAKAQAA&#10;DwAAAAAAAAABACAAAAAiAAAAZHJzL2Rvd25yZXYueG1sUEsBAhQAFAAAAAgAh07iQE7ZIUYZAgAA&#10;CQQAAA4AAAAAAAAAAQAgAAAAJwEAAGRycy9lMm9Eb2MueG1sUEsFBgAAAAAGAAYAWQEAALIFAAAA&#10;AA==&#10;">
                <v:fill on="f" focussize="0,0"/>
                <v:stroke weight="0.5pt" color="#000000" miterlimit="8" joinstyle="miter" endarrow="block"/>
                <v:imagedata o:title=""/>
                <o:lock v:ext="edit" aspectratio="f"/>
              </v:shape>
            </w:pict>
          </mc:Fallback>
        </mc:AlternateContent>
      </w:r>
      <w:r>
        <w:rPr>
          <w:rFonts w:cs="宋体"/>
          <w:szCs w:val="21"/>
        </w:rPr>
        <mc:AlternateContent>
          <mc:Choice Requires="wps">
            <w:drawing>
              <wp:anchor distT="0" distB="0" distL="114300" distR="114300" simplePos="0" relativeHeight="251664384" behindDoc="0" locked="0" layoutInCell="1" allowOverlap="1">
                <wp:simplePos x="0" y="0"/>
                <wp:positionH relativeFrom="column">
                  <wp:posOffset>-76835</wp:posOffset>
                </wp:positionH>
                <wp:positionV relativeFrom="paragraph">
                  <wp:posOffset>102870</wp:posOffset>
                </wp:positionV>
                <wp:extent cx="1270000" cy="4165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270000" cy="416560"/>
                        </a:xfrm>
                        <a:prstGeom prst="rect">
                          <a:avLst/>
                        </a:prstGeom>
                        <a:noFill/>
                        <a:ln w="6350">
                          <a:noFill/>
                        </a:ln>
                        <a:effectLst/>
                      </wps:spPr>
                      <wps:txbx>
                        <w:txbxContent>
                          <w:p>
                            <w:pPr>
                              <w:pStyle w:val="30"/>
                              <w:rPr>
                                <w:sz w:val="15"/>
                              </w:rPr>
                            </w:pPr>
                            <w:r>
                              <w:rPr>
                                <w:rFonts w:hint="eastAsia" w:cs="宋体"/>
                                <w:szCs w:val="21"/>
                              </w:rPr>
                              <w:t>放电连接器Ⅱ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8.1pt;height:32.8pt;width:100pt;z-index:251664384;mso-width-relative:page;mso-height-relative:page;" filled="f" stroked="f" coordsize="21600,21600" o:gfxdata="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NyZEHZAAAACQEAAA8AAAAAAAAAAQAgAAAA&#10;IgAAAGRycy9kb3ducmV2LnhtbFBLAQIUABQAAAAIAIdO4kBnTpZeQwIAAHYEAAAOAAAAAAAAAAEA&#10;IAAAACgBAABkcnMvZTJvRG9jLnhtbFBLBQYAAAAABgAGAFkBAADdBQAAAAA=&#10;">
                <v:fill on="f" focussize="0,0"/>
                <v:stroke on="f" weight="0.5pt"/>
                <v:imagedata o:title=""/>
                <o:lock v:ext="edit" aspectratio="f"/>
                <v:textbox>
                  <w:txbxContent>
                    <w:p>
                      <w:pPr>
                        <w:pStyle w:val="30"/>
                        <w:rPr>
                          <w:sz w:val="15"/>
                        </w:rPr>
                      </w:pPr>
                      <w:r>
                        <w:rPr>
                          <w:rFonts w:hint="eastAsia" w:cs="宋体"/>
                          <w:szCs w:val="21"/>
                        </w:rPr>
                        <w:t>放电连接器Ⅱ</w:t>
                      </w:r>
                    </w:p>
                  </w:txbxContent>
                </v:textbox>
              </v:shape>
            </w:pict>
          </mc:Fallback>
        </mc:AlternateContent>
      </w:r>
      <w:r>
        <w:rPr>
          <w:rFonts w:cs="宋体"/>
          <w:szCs w:val="21"/>
        </w:rPr>
        <mc:AlternateContent>
          <mc:Choice Requires="wps">
            <w:drawing>
              <wp:anchor distT="0" distB="0" distL="114300" distR="114300" simplePos="0" relativeHeight="251670528" behindDoc="0" locked="0" layoutInCell="1" allowOverlap="1">
                <wp:simplePos x="0" y="0"/>
                <wp:positionH relativeFrom="column">
                  <wp:posOffset>3784600</wp:posOffset>
                </wp:positionH>
                <wp:positionV relativeFrom="paragraph">
                  <wp:posOffset>2252980</wp:posOffset>
                </wp:positionV>
                <wp:extent cx="711200" cy="368300"/>
                <wp:effectExtent l="1905" t="4445" r="10795" b="8255"/>
                <wp:wrapNone/>
                <wp:docPr id="11" name="直接箭头连接符 11"/>
                <wp:cNvGraphicFramePr/>
                <a:graphic xmlns:a="http://schemas.openxmlformats.org/drawingml/2006/main">
                  <a:graphicData uri="http://schemas.microsoft.com/office/word/2010/wordprocessingShape">
                    <wps:wsp>
                      <wps:cNvCnPr/>
                      <wps:spPr>
                        <a:xfrm>
                          <a:off x="0" y="0"/>
                          <a:ext cx="711200" cy="36830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298pt;margin-top:177.4pt;height:29pt;width:56pt;z-index:251670528;mso-width-relative:page;mso-height-relative:page;" filled="f" stroked="t" coordsize="21600,21600" o:gfxdata="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X79kAAAALAQAADwAAAAAAAAABACAA&#10;AAAiAAAAZHJzL2Rvd25yZXYueG1sUEsBAhQAFAAAAAgAh07iQBlv0WUMAgAA9QMAAA4AAAAAAAAA&#10;AQAgAAAAKAEAAGRycy9lMm9Eb2MueG1sUEsFBgAAAAAGAAYAWQEAAKYFAAAAAA==&#10;">
                <v:fill on="f" focussize="0,0"/>
                <v:stroke weight="0.5pt" color="#000000" miterlimit="8" joinstyle="miter" endarrow="block"/>
                <v:imagedata o:title=""/>
                <o:lock v:ext="edit" aspectratio="f"/>
              </v:shape>
            </w:pict>
          </mc:Fallback>
        </mc:AlternateContent>
      </w:r>
      <w:r>
        <w:rPr>
          <w:rFonts w:cs="宋体"/>
          <w:szCs w:val="21"/>
        </w:rPr>
        <mc:AlternateContent>
          <mc:Choice Requires="wps">
            <w:drawing>
              <wp:anchor distT="0" distB="0" distL="114300" distR="114300" simplePos="0" relativeHeight="251667456" behindDoc="0" locked="0" layoutInCell="1" allowOverlap="1">
                <wp:simplePos x="0" y="0"/>
                <wp:positionH relativeFrom="column">
                  <wp:posOffset>4133850</wp:posOffset>
                </wp:positionH>
                <wp:positionV relativeFrom="paragraph">
                  <wp:posOffset>2623820</wp:posOffset>
                </wp:positionV>
                <wp:extent cx="1270000" cy="41656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270000" cy="416560"/>
                        </a:xfrm>
                        <a:prstGeom prst="rect">
                          <a:avLst/>
                        </a:prstGeom>
                        <a:noFill/>
                        <a:ln w="6350">
                          <a:noFill/>
                        </a:ln>
                        <a:effectLst/>
                      </wps:spPr>
                      <wps:txbx>
                        <w:txbxContent>
                          <w:p>
                            <w:pPr>
                              <w:pStyle w:val="30"/>
                              <w:rPr>
                                <w:sz w:val="15"/>
                              </w:rPr>
                            </w:pPr>
                            <w:r>
                              <w:rPr>
                                <w:rFonts w:hint="eastAsia" w:cs="宋体"/>
                                <w:szCs w:val="21"/>
                              </w:rPr>
                              <w:t>充电连接器Ⅰ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5pt;margin-top:206.6pt;height:32.8pt;width:100pt;z-index:251667456;mso-width-relative:page;mso-height-relative:page;" filled="f" stroked="f" coordsize="21600,21600" o:gfxdata="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IDt79sAAAALAQAADwAAAAAAAAABACAA&#10;AAAiAAAAZHJzL2Rvd25yZXYueG1sUEsBAhQAFAAAAAgAh07iQJu4uGdDAgAAdgQAAA4AAAAAAAAA&#10;AQAgAAAAKgEAAGRycy9lMm9Eb2MueG1sUEsFBgAAAAAGAAYAWQEAAN8FAAAAAA==&#10;">
                <v:fill on="f" focussize="0,0"/>
                <v:stroke on="f" weight="0.5pt"/>
                <v:imagedata o:title=""/>
                <o:lock v:ext="edit" aspectratio="f"/>
                <v:textbox>
                  <w:txbxContent>
                    <w:p>
                      <w:pPr>
                        <w:pStyle w:val="30"/>
                        <w:rPr>
                          <w:sz w:val="15"/>
                        </w:rPr>
                      </w:pPr>
                      <w:r>
                        <w:rPr>
                          <w:rFonts w:hint="eastAsia" w:cs="宋体"/>
                          <w:szCs w:val="21"/>
                        </w:rPr>
                        <w:t>充电连接器Ⅰ</w:t>
                      </w:r>
                    </w:p>
                  </w:txbxContent>
                </v:textbox>
              </v:shape>
            </w:pict>
          </mc:Fallback>
        </mc:AlternateContent>
      </w:r>
      <w:r>
        <w:rPr>
          <w:rFonts w:cs="宋体"/>
          <w:szCs w:val="21"/>
        </w:rPr>
        <mc:AlternateContent>
          <mc:Choice Requires="wps">
            <w:drawing>
              <wp:anchor distT="0" distB="0" distL="114300" distR="114300" simplePos="0" relativeHeight="251672576" behindDoc="0" locked="0" layoutInCell="1" allowOverlap="1">
                <wp:simplePos x="0" y="0"/>
                <wp:positionH relativeFrom="column">
                  <wp:posOffset>1047750</wp:posOffset>
                </wp:positionH>
                <wp:positionV relativeFrom="paragraph">
                  <wp:posOffset>2329180</wp:posOffset>
                </wp:positionV>
                <wp:extent cx="810260" cy="349250"/>
                <wp:effectExtent l="0" t="4445" r="8890" b="8255"/>
                <wp:wrapNone/>
                <wp:docPr id="13" name="直接箭头连接符 13"/>
                <wp:cNvGraphicFramePr/>
                <a:graphic xmlns:a="http://schemas.openxmlformats.org/drawingml/2006/main">
                  <a:graphicData uri="http://schemas.microsoft.com/office/word/2010/wordprocessingShape">
                    <wps:wsp>
                      <wps:cNvCnPr/>
                      <wps:spPr>
                        <a:xfrm flipH="1">
                          <a:off x="0" y="0"/>
                          <a:ext cx="810260" cy="34925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82.5pt;margin-top:183.4pt;height:27.5pt;width:63.8pt;z-index:251672576;mso-width-relative:page;mso-height-relative:page;" filled="f" stroked="t" coordsize="21600,21600" o:gfxdata="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mf1a2gAAAAsBAAAP&#10;AAAAAAAAAAEAIAAAACIAAABkcnMvZG93bnJldi54bWxQSwECFAAUAAAACACHTuJA45FHHBYCAAD/&#10;AwAADgAAAAAAAAABACAAAAApAQAAZHJzL2Uyb0RvYy54bWxQSwUGAAAAAAYABgBZAQAAsQUAAAAA&#10;">
                <v:fill on="f" focussize="0,0"/>
                <v:stroke weight="0.5pt" color="#000000" miterlimit="8" joinstyle="miter" endarrow="block"/>
                <v:imagedata o:title=""/>
                <o:lock v:ext="edit" aspectratio="f"/>
              </v:shape>
            </w:pict>
          </mc:Fallback>
        </mc:AlternateContent>
      </w:r>
      <w:r>
        <w:rPr>
          <w:rFonts w:cs="宋体"/>
          <w:szCs w:val="21"/>
        </w:rP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2681605</wp:posOffset>
                </wp:positionV>
                <wp:extent cx="1270000" cy="41656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270000" cy="416560"/>
                        </a:xfrm>
                        <a:prstGeom prst="rect">
                          <a:avLst/>
                        </a:prstGeom>
                        <a:noFill/>
                        <a:ln w="6350">
                          <a:noFill/>
                        </a:ln>
                        <a:effectLst/>
                      </wps:spPr>
                      <wps:txbx>
                        <w:txbxContent>
                          <w:p>
                            <w:pPr>
                              <w:pStyle w:val="30"/>
                              <w:rPr>
                                <w:sz w:val="15"/>
                              </w:rPr>
                            </w:pPr>
                            <w:r>
                              <w:rPr>
                                <w:rFonts w:hint="eastAsia" w:cs="宋体"/>
                                <w:szCs w:val="21"/>
                              </w:rPr>
                              <w:t>放电连接器Ⅰ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211.15pt;height:32.8pt;width:100pt;z-index:251666432;mso-width-relative:page;mso-height-relative:page;" filled="f" stroked="f" coordsize="21600,21600" o:gfxdata="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PeLA2gAAAAkBAAAPAAAAAAAAAAEAIAAA&#10;ACIAAABkcnMvZG93bnJldi54bWxQSwECFAAUAAAACACHTuJAz+qicEMCAAB2BAAADgAAAAAAAAAB&#10;ACAAAAApAQAAZHJzL2Uyb0RvYy54bWxQSwUGAAAAAAYABgBZAQAA3gUAAAAA&#10;">
                <v:fill on="f" focussize="0,0"/>
                <v:stroke on="f" weight="0.5pt"/>
                <v:imagedata o:title=""/>
                <o:lock v:ext="edit" aspectratio="f"/>
                <v:textbox>
                  <w:txbxContent>
                    <w:p>
                      <w:pPr>
                        <w:pStyle w:val="30"/>
                        <w:rPr>
                          <w:sz w:val="15"/>
                        </w:rPr>
                      </w:pPr>
                      <w:r>
                        <w:rPr>
                          <w:rFonts w:hint="eastAsia" w:cs="宋体"/>
                          <w:szCs w:val="21"/>
                        </w:rPr>
                        <w:t>放电连接器Ⅰ</w:t>
                      </w:r>
                    </w:p>
                  </w:txbxContent>
                </v:textbox>
              </v:shape>
            </w:pict>
          </mc:Fallback>
        </mc:AlternateContent>
      </w:r>
      <w:r>
        <w:rPr>
          <w:rFonts w:cs="宋体"/>
          <w:szCs w:val="21"/>
        </w:rPr>
        <mc:AlternateContent>
          <mc:Choice Requires="wps">
            <w:drawing>
              <wp:anchor distT="0" distB="0" distL="114300" distR="114300" simplePos="0" relativeHeight="251668480" behindDoc="0" locked="0" layoutInCell="1" allowOverlap="1">
                <wp:simplePos x="0" y="0"/>
                <wp:positionH relativeFrom="column">
                  <wp:posOffset>1428750</wp:posOffset>
                </wp:positionH>
                <wp:positionV relativeFrom="paragraph">
                  <wp:posOffset>745490</wp:posOffset>
                </wp:positionV>
                <wp:extent cx="0" cy="1080135"/>
                <wp:effectExtent l="38100" t="0" r="38100" b="5715"/>
                <wp:wrapNone/>
                <wp:docPr id="27" name="直接箭头连接符 27"/>
                <wp:cNvGraphicFramePr/>
                <a:graphic xmlns:a="http://schemas.openxmlformats.org/drawingml/2006/main">
                  <a:graphicData uri="http://schemas.microsoft.com/office/word/2010/wordprocessingShape">
                    <wps:wsp>
                      <wps:cNvCnPr/>
                      <wps:spPr>
                        <a:xfrm>
                          <a:off x="0" y="0"/>
                          <a:ext cx="0" cy="1080000"/>
                        </a:xfrm>
                        <a:prstGeom prst="straightConnector1">
                          <a:avLst/>
                        </a:prstGeom>
                        <a:noFill/>
                        <a:ln w="1270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12.5pt;margin-top:58.7pt;height:85.05pt;width:0pt;z-index:251668480;mso-width-relative:page;mso-height-relative:page;" filled="f" stroked="t" coordsize="21600,21600" o:gfxdata="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&#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88lC9gAAAALAQAADwAAAAAAAAABACAAAAAiAAAA&#10;ZHJzL2Rvd25yZXYueG1sUEsBAhQAFAAAAAgAh07iQP0YqIAHAgAA8gMAAA4AAAAAAAAAAQAgAAAA&#10;JwEAAGRycy9lMm9Eb2MueG1sUEsFBgAAAAAGAAYAWQEAAKAFAAAAAA==&#10;">
                <v:fill on="f" focussize="0,0"/>
                <v:stroke weight="1pt" color="#000000" miterlimit="8" joinstyle="miter" endarrow="block"/>
                <v:imagedata o:title=""/>
                <o:lock v:ext="edit" aspectratio="f"/>
              </v:shape>
            </w:pict>
          </mc:Fallback>
        </mc:AlternateContent>
      </w:r>
      <w:r>
        <w:rPr>
          <w:rFonts w:cs="宋体"/>
          <w:szCs w:val="21"/>
        </w:rPr>
        <mc:AlternateContent>
          <mc:Choice Requires="wps">
            <w:drawing>
              <wp:anchor distT="0" distB="0" distL="114300" distR="114300" simplePos="0" relativeHeight="251663360" behindDoc="0" locked="0" layoutInCell="1" allowOverlap="1">
                <wp:simplePos x="0" y="0"/>
                <wp:positionH relativeFrom="column">
                  <wp:posOffset>928370</wp:posOffset>
                </wp:positionH>
                <wp:positionV relativeFrom="paragraph">
                  <wp:posOffset>1795780</wp:posOffset>
                </wp:positionV>
                <wp:extent cx="1056640" cy="41656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56640" cy="416560"/>
                        </a:xfrm>
                        <a:prstGeom prst="rect">
                          <a:avLst/>
                        </a:prstGeom>
                        <a:noFill/>
                        <a:ln w="6350">
                          <a:noFill/>
                        </a:ln>
                        <a:effectLst/>
                      </wps:spPr>
                      <wps:txbx>
                        <w:txbxContent>
                          <w:p>
                            <w:pPr>
                              <w:pStyle w:val="30"/>
                              <w:rPr>
                                <w:sz w:val="15"/>
                              </w:rPr>
                            </w:pPr>
                            <w:r>
                              <w:rPr>
                                <w:rFonts w:hint="eastAsia" w:cs="宋体"/>
                                <w:szCs w:val="21"/>
                              </w:rPr>
                              <w:t>车头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1pt;margin-top:141.4pt;height:32.8pt;width:83.2pt;z-index:251663360;mso-width-relative:page;mso-height-relative:page;" filled="f" stroked="f" coordsize="21600,21600" o:gfxdata="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0wGw2gAAAAsBAAAPAAAAAAAAAAEAIAAAACIA&#10;AABkcnMvZG93bnJldi54bWxQSwECFAAUAAAACACHTuJABPSbpUACAAB0BAAADgAAAAAAAAABACAA&#10;AAApAQAAZHJzL2Uyb0RvYy54bWxQSwUGAAAAAAYABgBZAQAA2wUAAAAA&#10;">
                <v:fill on="f" focussize="0,0"/>
                <v:stroke on="f" weight="0.5pt"/>
                <v:imagedata o:title=""/>
                <o:lock v:ext="edit" aspectratio="f"/>
                <v:textbox>
                  <w:txbxContent>
                    <w:p>
                      <w:pPr>
                        <w:pStyle w:val="30"/>
                        <w:rPr>
                          <w:sz w:val="15"/>
                        </w:rPr>
                      </w:pPr>
                      <w:r>
                        <w:rPr>
                          <w:rFonts w:hint="eastAsia" w:cs="宋体"/>
                          <w:szCs w:val="21"/>
                        </w:rPr>
                        <w:t>车头</w:t>
                      </w:r>
                    </w:p>
                  </w:txbxContent>
                </v:textbox>
              </v:shape>
            </w:pict>
          </mc:Fallback>
        </mc:AlternateContent>
      </w:r>
      <w:r>
        <w:t xml:space="preserve"> </w:t>
      </w:r>
      <w:r>
        <w:drawing>
          <wp:inline distT="0" distB="0" distL="0" distR="0">
            <wp:extent cx="3221990" cy="3096895"/>
            <wp:effectExtent l="0" t="0" r="825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cstate="print"/>
                    <a:srcRect t="1526"/>
                    <a:stretch>
                      <a:fillRect/>
                    </a:stretch>
                  </pic:blipFill>
                  <pic:spPr>
                    <a:xfrm rot="16200000">
                      <a:off x="0" y="0"/>
                      <a:ext cx="3232495" cy="3106637"/>
                    </a:xfrm>
                    <a:prstGeom prst="rect">
                      <a:avLst/>
                    </a:prstGeom>
                    <a:ln>
                      <a:noFill/>
                    </a:ln>
                  </pic:spPr>
                </pic:pic>
              </a:graphicData>
            </a:graphic>
          </wp:inline>
        </w:drawing>
      </w:r>
    </w:p>
    <w:p>
      <w:pPr>
        <w:pStyle w:val="68"/>
        <w:ind w:firstLine="0" w:firstLineChars="0"/>
        <w:jc w:val="center"/>
        <w:rPr>
          <w:rFonts w:ascii="黑体" w:hAnsi="黑体" w:eastAsia="黑体"/>
          <w:color w:val="000000" w:themeColor="text1"/>
          <w14:textFill>
            <w14:solidFill>
              <w14:schemeClr w14:val="tx1"/>
            </w14:solidFill>
          </w14:textFill>
        </w:rPr>
      </w:pPr>
      <w:r>
        <w:rPr>
          <w:rFonts w:hint="eastAsia" w:ascii="黑体" w:hAnsi="黑体" w:eastAsia="黑体"/>
        </w:rPr>
        <w:t xml:space="preserve">图1  </w:t>
      </w:r>
      <w:r>
        <w:rPr>
          <w:rFonts w:hint="eastAsia" w:ascii="黑体" w:hAnsi="黑体" w:eastAsia="黑体"/>
          <w:color w:val="000000" w:themeColor="text1"/>
          <w14:textFill>
            <w14:solidFill>
              <w14:schemeClr w14:val="tx1"/>
            </w14:solidFill>
          </w14:textFill>
        </w:rPr>
        <w:t>换电连接器布置方式</w:t>
      </w:r>
    </w:p>
    <w:p>
      <w:pPr>
        <w:pStyle w:val="30"/>
        <w:rPr>
          <w:rFonts w:hint="eastAsia" w:cs="宋体"/>
          <w:szCs w:val="21"/>
          <w:highlight w:val="yellow"/>
        </w:rPr>
      </w:pPr>
      <w:r>
        <w:rPr>
          <w:rFonts w:hint="eastAsia"/>
          <w:highlight w:val="yellow"/>
        </w:rPr>
        <w:t>4.3.2  II型换</w:t>
      </w:r>
      <w:r>
        <w:rPr>
          <w:rFonts w:hint="eastAsia" w:cs="宋体"/>
          <w:szCs w:val="21"/>
          <w:highlight w:val="yellow"/>
        </w:rPr>
        <w:t>电连接器</w:t>
      </w:r>
    </w:p>
    <w:p>
      <w:pPr>
        <w:pStyle w:val="30"/>
        <w:rPr>
          <w:rFonts w:hint="eastAsia" w:cs="宋体"/>
          <w:szCs w:val="21"/>
        </w:rPr>
      </w:pPr>
      <w:r>
        <w:rPr>
          <w:rFonts w:hint="eastAsia"/>
          <w:highlight w:val="yellow"/>
        </w:rPr>
        <w:t>II型换</w:t>
      </w:r>
      <w:r>
        <w:rPr>
          <w:rFonts w:hint="eastAsia" w:cs="宋体"/>
          <w:szCs w:val="21"/>
          <w:highlight w:val="yellow"/>
        </w:rPr>
        <w:t>电连接器数量采用1个，充电连接器与放电连接器为同一个，换电连接器在车载换电底托上的布置方式见图2。</w:t>
      </w:r>
    </w:p>
    <w:p>
      <w:pPr>
        <w:pStyle w:val="30"/>
        <w:jc w:val="center"/>
        <w:rPr>
          <w:rFonts w:hint="eastAsia" w:cs="宋体"/>
          <w:szCs w:val="21"/>
        </w:rPr>
      </w:pPr>
      <w:r>
        <mc:AlternateContent>
          <mc:Choice Requires="wps">
            <w:drawing>
              <wp:anchor distT="0" distB="0" distL="114300" distR="114300" simplePos="0" relativeHeight="251674624" behindDoc="0" locked="0" layoutInCell="1" allowOverlap="1">
                <wp:simplePos x="0" y="0"/>
                <wp:positionH relativeFrom="column">
                  <wp:posOffset>-577215</wp:posOffset>
                </wp:positionH>
                <wp:positionV relativeFrom="paragraph">
                  <wp:posOffset>964565</wp:posOffset>
                </wp:positionV>
                <wp:extent cx="1270000" cy="4165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70000" cy="416560"/>
                        </a:xfrm>
                        <a:prstGeom prst="rect">
                          <a:avLst/>
                        </a:prstGeom>
                        <a:noFill/>
                        <a:ln w="6350">
                          <a:noFill/>
                        </a:ln>
                        <a:effectLst/>
                      </wps:spPr>
                      <wps:txbx>
                        <w:txbxContent>
                          <w:p>
                            <w:pPr>
                              <w:pStyle w:val="30"/>
                              <w:rPr>
                                <w:sz w:val="15"/>
                              </w:rPr>
                            </w:pPr>
                            <w:r>
                              <w:rPr>
                                <w:rFonts w:hint="eastAsia" w:cs="宋体"/>
                                <w:szCs w:val="21"/>
                              </w:rPr>
                              <w:t>放电连接器Ⅰ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75.95pt;height:32.8pt;width:100pt;z-index:251674624;mso-width-relative:page;mso-height-relative:page;" filled="f" stroked="f" coordsize="21600,21600" o:gfxdata="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BRYO2wAAAAsBAAAPAAAAAAAAAAEAIAAA&#10;ACIAAABkcnMvZG93bnJldi54bWxQSwECFAAUAAAACACHTuJAcGWzHEICAAB2BAAADgAAAAAAAAAB&#10;ACAAAAAqAQAAZHJzL2Uyb0RvYy54bWxQSwUGAAAAAAYABgBZAQAA3gUAAAAA&#10;">
                <v:fill on="f" focussize="0,0"/>
                <v:stroke on="f" weight="0.5pt"/>
                <v:imagedata o:title=""/>
                <o:lock v:ext="edit" aspectratio="f"/>
                <v:textbox>
                  <w:txbxContent>
                    <w:p>
                      <w:pPr>
                        <w:pStyle w:val="30"/>
                        <w:rPr>
                          <w:sz w:val="15"/>
                        </w:rPr>
                      </w:pPr>
                      <w:r>
                        <w:rPr>
                          <w:rFonts w:hint="eastAsia" w:cs="宋体"/>
                          <w:szCs w:val="21"/>
                        </w:rPr>
                        <w:t>放电连接器Ⅰ</w:t>
                      </w:r>
                    </w:p>
                  </w:txbxContent>
                </v:textbox>
              </v:shape>
            </w:pict>
          </mc:Fallback>
        </mc:AlternateContent>
      </w:r>
      <w:r>
        <w:rPr>
          <w:rFonts w:cs="宋体"/>
          <w:szCs w:val="21"/>
        </w:rPr>
        <mc:AlternateContent>
          <mc:Choice Requires="wps">
            <w:drawing>
              <wp:anchor distT="0" distB="0" distL="114300" distR="114300" simplePos="0" relativeHeight="251673600" behindDoc="0" locked="0" layoutInCell="1" allowOverlap="1">
                <wp:simplePos x="0" y="0"/>
                <wp:positionH relativeFrom="column">
                  <wp:posOffset>600075</wp:posOffset>
                </wp:positionH>
                <wp:positionV relativeFrom="paragraph">
                  <wp:posOffset>1085850</wp:posOffset>
                </wp:positionV>
                <wp:extent cx="1685925" cy="352425"/>
                <wp:effectExtent l="0" t="38100" r="9525" b="9525"/>
                <wp:wrapNone/>
                <wp:docPr id="18" name="肘形连接符 18"/>
                <wp:cNvGraphicFramePr/>
                <a:graphic xmlns:a="http://schemas.openxmlformats.org/drawingml/2006/main">
                  <a:graphicData uri="http://schemas.microsoft.com/office/word/2010/wordprocessingShape">
                    <wps:wsp>
                      <wps:cNvCnPr/>
                      <wps:spPr>
                        <a:xfrm rot="10800000">
                          <a:off x="0" y="0"/>
                          <a:ext cx="1685925" cy="352425"/>
                        </a:xfrm>
                        <a:prstGeom prst="bentConnector3">
                          <a:avLst>
                            <a:gd name="adj1" fmla="val 4998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7.25pt;margin-top:85.5pt;height:27.75pt;width:132.75pt;rotation:11796480f;z-index:251673600;mso-width-relative:page;mso-height-relative:page;" filled="f" stroked="t" coordsize="21600,21600" o:gfxdata="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zQ9hbZAAAACgEAAA8AAAAAAAAAAQAgAAAAIgAAAGRycy9kb3ducmV2LnhtbFBLAQIU&#10;ABQAAAAIAIdO4kClav58KwIAADMEAAAOAAAAAAAAAAEAIAAAACgBAABkcnMvZTJvRG9jLnhtbFBL&#10;BQYAAAAABgAGAFkBAADFBQAAAAA=&#10;" adj="10796">
                <v:fill on="f" focussize="0,0"/>
                <v:stroke weight="0.5pt" color="#000000" joinstyle="miter" endarrow="block"/>
                <v:imagedata o:title=""/>
                <o:lock v:ext="edit" aspectratio="f"/>
              </v:shape>
            </w:pict>
          </mc:Fallback>
        </mc:AlternateContent>
      </w:r>
      <w:r>
        <w:rPr>
          <w:rFonts w:hint="eastAsia" w:cs="宋体"/>
          <w:szCs w:val="21"/>
        </w:rPr>
        <w:drawing>
          <wp:inline distT="0" distB="0" distL="0" distR="0">
            <wp:extent cx="3676650" cy="2572385"/>
            <wp:effectExtent l="0" t="0" r="0" b="18415"/>
            <wp:docPr id="3" name="图片 2" descr="RTX截图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RTX截图未命名.png"/>
                    <pic:cNvPicPr>
                      <a:picLocks noChangeAspect="1"/>
                    </pic:cNvPicPr>
                  </pic:nvPicPr>
                  <pic:blipFill>
                    <a:blip r:embed="rId10" cstate="print"/>
                    <a:srcRect b="11437"/>
                    <a:stretch>
                      <a:fillRect/>
                    </a:stretch>
                  </pic:blipFill>
                  <pic:spPr>
                    <a:xfrm>
                      <a:off x="0" y="0"/>
                      <a:ext cx="3676650" cy="2572853"/>
                    </a:xfrm>
                    <a:prstGeom prst="rect">
                      <a:avLst/>
                    </a:prstGeom>
                  </pic:spPr>
                </pic:pic>
              </a:graphicData>
            </a:graphic>
          </wp:inline>
        </w:drawing>
      </w:r>
    </w:p>
    <w:p>
      <w:pPr>
        <w:pStyle w:val="68"/>
        <w:ind w:firstLine="0" w:firstLineChars="0"/>
        <w:jc w:val="center"/>
        <w:rPr>
          <w:rFonts w:ascii="黑体" w:hAnsi="黑体" w:eastAsia="黑体"/>
          <w:color w:val="000000" w:themeColor="text1"/>
          <w14:textFill>
            <w14:solidFill>
              <w14:schemeClr w14:val="tx1"/>
            </w14:solidFill>
          </w14:textFill>
        </w:rPr>
      </w:pPr>
      <w:r>
        <w:rPr>
          <w:rFonts w:hint="eastAsia" w:ascii="黑体" w:hAnsi="黑体" w:eastAsia="黑体"/>
        </w:rPr>
        <w:t xml:space="preserve">图2  </w:t>
      </w:r>
      <w:r>
        <w:rPr>
          <w:rFonts w:hint="eastAsia" w:ascii="黑体" w:hAnsi="黑体" w:eastAsia="黑体"/>
          <w:color w:val="000000" w:themeColor="text1"/>
          <w14:textFill>
            <w14:solidFill>
              <w14:schemeClr w14:val="tx1"/>
            </w14:solidFill>
          </w14:textFill>
        </w:rPr>
        <w:t>换电连接器布置方式</w:t>
      </w:r>
    </w:p>
    <w:p>
      <w:pPr>
        <w:pStyle w:val="33"/>
        <w:spacing w:before="156" w:after="156"/>
      </w:pPr>
      <w:bookmarkStart w:id="50" w:name="_Toc98696228"/>
      <w:r>
        <w:rPr>
          <w:rFonts w:hint="eastAsia"/>
        </w:rPr>
        <w:t>换电连接器电气接口</w:t>
      </w:r>
      <w:bookmarkEnd w:id="50"/>
    </w:p>
    <w:p>
      <w:pPr>
        <w:pStyle w:val="42"/>
      </w:pPr>
      <w:r>
        <w:rPr>
          <w:rFonts w:hint="eastAsia"/>
          <w:highlight w:val="yellow"/>
        </w:rPr>
        <w:t>I型</w:t>
      </w:r>
      <w:r>
        <w:rPr>
          <w:rFonts w:hint="eastAsia"/>
        </w:rPr>
        <w:t>换电连接器一般包含高压触头2个，接地触头1个，低压触头一般为12个或23个两种形式。</w:t>
      </w:r>
    </w:p>
    <w:p>
      <w:pPr>
        <w:pStyle w:val="42"/>
        <w:numPr>
          <w:ilvl w:val="0"/>
          <w:numId w:val="0"/>
        </w:numPr>
        <w:ind w:firstLine="735" w:firstLineChars="350"/>
      </w:pPr>
      <w:r>
        <w:rPr>
          <w:rFonts w:hint="eastAsia"/>
        </w:rPr>
        <w:t>当换电连接器为12个低压触头形式时，放电连接器Ⅰ、放电连接器Ⅱ、充电连接器Ⅰ、充电连接器Ⅱ的接口定义分别见表1、表2、表3、表4。</w:t>
      </w:r>
    </w:p>
    <w:p>
      <w:pPr>
        <w:pStyle w:val="42"/>
        <w:numPr>
          <w:ilvl w:val="0"/>
          <w:numId w:val="0"/>
        </w:numPr>
      </w:pPr>
    </w:p>
    <w:p>
      <w:pPr>
        <w:pStyle w:val="30"/>
        <w:jc w:val="center"/>
        <w:rPr>
          <w:rFonts w:ascii="黑体" w:hAnsi="黑体" w:eastAsia="黑体"/>
        </w:rPr>
      </w:pPr>
      <w:r>
        <w:rPr>
          <w:rFonts w:hint="eastAsia" w:ascii="黑体" w:hAnsi="黑体" w:eastAsia="黑体"/>
        </w:rPr>
        <w:t>表1</w:t>
      </w:r>
      <w:r>
        <w:rPr>
          <w:rFonts w:ascii="黑体" w:hAnsi="黑体" w:eastAsia="黑体"/>
        </w:rPr>
        <w:t xml:space="preserve">  </w:t>
      </w:r>
      <w:r>
        <w:rPr>
          <w:rFonts w:hint="eastAsia" w:ascii="黑体" w:hAnsi="黑体" w:eastAsia="黑体"/>
        </w:rPr>
        <w:t>放电连接器Ⅰ接口定义列表（12</w:t>
      </w:r>
      <w:r>
        <w:rPr>
          <w:rFonts w:ascii="黑体" w:hAnsi="黑体" w:eastAsia="黑体"/>
        </w:rPr>
        <w:t>PIN</w:t>
      </w:r>
      <w:r>
        <w:rPr>
          <w:rFonts w:hint="eastAsia" w:ascii="黑体" w:hAnsi="黑体" w:eastAsia="黑体"/>
        </w:rPr>
        <w:t>低压触头形式）</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701"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747"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47"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7</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V/2 A</w:t>
            </w:r>
          </w:p>
        </w:tc>
        <w:tc>
          <w:tcPr>
            <w:tcW w:w="4747"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放电功率端子连接到位反馈信号，高压互锁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3"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12</w:t>
            </w:r>
          </w:p>
        </w:tc>
        <w:tc>
          <w:tcPr>
            <w:tcW w:w="1701" w:type="dxa"/>
            <w:tcBorders>
              <w:top w:val="single" w:color="auto" w:sz="4" w:space="0"/>
              <w:left w:val="single" w:color="auto" w:sz="4" w:space="0"/>
              <w:bottom w:val="single" w:color="auto" w:sz="12" w:space="0"/>
              <w:right w:val="single" w:color="auto" w:sz="4" w:space="0"/>
            </w:tcBorders>
            <w:vAlign w:val="center"/>
          </w:tcPr>
          <w:p>
            <w:pPr>
              <w:jc w:val="center"/>
              <w:rPr>
                <w:sz w:val="18"/>
                <w:szCs w:val="18"/>
              </w:rPr>
            </w:pPr>
            <w:r>
              <w:rPr>
                <w:sz w:val="18"/>
                <w:szCs w:val="18"/>
              </w:rPr>
              <w:t>30 V/2 A</w:t>
            </w:r>
          </w:p>
        </w:tc>
        <w:tc>
          <w:tcPr>
            <w:tcW w:w="4747"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放电功率端子连接到位反馈信号，高压互锁</w:t>
            </w:r>
          </w:p>
        </w:tc>
      </w:tr>
    </w:tbl>
    <w:p>
      <w:pPr>
        <w:pStyle w:val="30"/>
        <w:ind w:firstLine="0" w:firstLineChars="0"/>
      </w:pPr>
    </w:p>
    <w:p>
      <w:pPr>
        <w:pStyle w:val="30"/>
        <w:jc w:val="center"/>
        <w:rPr>
          <w:rFonts w:ascii="黑体" w:hAnsi="黑体" w:eastAsia="黑体"/>
        </w:rPr>
      </w:pPr>
      <w:r>
        <w:rPr>
          <w:rFonts w:hint="eastAsia" w:ascii="黑体" w:hAnsi="黑体" w:eastAsia="黑体"/>
        </w:rPr>
        <w:t>表2</w:t>
      </w:r>
      <w:r>
        <w:rPr>
          <w:rFonts w:ascii="黑体" w:hAnsi="黑体" w:eastAsia="黑体"/>
        </w:rPr>
        <w:t xml:space="preserve">  </w:t>
      </w:r>
      <w:r>
        <w:rPr>
          <w:rFonts w:hint="eastAsia" w:ascii="黑体" w:hAnsi="黑体" w:eastAsia="黑体"/>
        </w:rPr>
        <w:t>放电连接器Ⅱ接口定义列表（12</w:t>
      </w:r>
      <w:r>
        <w:rPr>
          <w:rFonts w:ascii="黑体" w:hAnsi="黑体" w:eastAsia="黑体"/>
        </w:rPr>
        <w:t>PIN</w:t>
      </w:r>
      <w:r>
        <w:rPr>
          <w:rFonts w:hint="eastAsia" w:ascii="黑体" w:hAnsi="黑体" w:eastAsia="黑体"/>
        </w:rPr>
        <w:t>低压触头形式）</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69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738"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行车激活电池系统信号，车辆激活电池管理系统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V/10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低压供电电源负极，为电池系统控制电源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3</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充电座1正极端子温度检测正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充电座1负极端子温度检测正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通信CANL 用车辆与电池系统通讯的信号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6</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通信CANH用车辆与电池系统通讯的信号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7</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充电CANL，用于电池系统与充电设备通讯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充电CANH，用于电池系统与充电设备通讯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9</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站内充电机激活电池管理系统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充电时电池系统给整车系统的硬线使能信号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11</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放电功率端子连接到位反馈信号，高压互锁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12</w:t>
            </w:r>
          </w:p>
        </w:tc>
        <w:tc>
          <w:tcPr>
            <w:tcW w:w="1698" w:type="dxa"/>
            <w:tcBorders>
              <w:top w:val="single" w:color="auto" w:sz="4" w:space="0"/>
              <w:left w:val="single" w:color="auto" w:sz="4" w:space="0"/>
              <w:bottom w:val="single" w:color="auto" w:sz="12"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放电功率端子连接到位反馈信号，高压互锁</w:t>
            </w:r>
          </w:p>
        </w:tc>
      </w:tr>
    </w:tbl>
    <w:p>
      <w:pPr>
        <w:pStyle w:val="30"/>
        <w:ind w:firstLine="0" w:firstLineChars="0"/>
      </w:pPr>
    </w:p>
    <w:p>
      <w:pPr>
        <w:pStyle w:val="30"/>
        <w:ind w:firstLine="0" w:firstLineChars="0"/>
      </w:pPr>
    </w:p>
    <w:p>
      <w:pPr>
        <w:pStyle w:val="30"/>
        <w:jc w:val="center"/>
        <w:rPr>
          <w:rFonts w:ascii="黑体" w:hAnsi="黑体" w:eastAsia="黑体"/>
        </w:rPr>
      </w:pPr>
      <w:r>
        <w:rPr>
          <w:rFonts w:hint="eastAsia" w:ascii="黑体" w:hAnsi="黑体" w:eastAsia="黑体"/>
        </w:rPr>
        <w:t>表3</w:t>
      </w:r>
      <w:r>
        <w:rPr>
          <w:rFonts w:ascii="黑体" w:hAnsi="黑体" w:eastAsia="黑体"/>
        </w:rPr>
        <w:t xml:space="preserve">  </w:t>
      </w:r>
      <w:r>
        <w:rPr>
          <w:rFonts w:hint="eastAsia" w:ascii="黑体" w:hAnsi="黑体" w:eastAsia="黑体"/>
        </w:rPr>
        <w:t>充电连接器Ⅰ接口定义列表（12</w:t>
      </w:r>
      <w:r>
        <w:rPr>
          <w:rFonts w:ascii="黑体" w:hAnsi="黑体" w:eastAsia="黑体"/>
        </w:rPr>
        <w:t>PIN</w:t>
      </w:r>
      <w:r>
        <w:rPr>
          <w:rFonts w:hint="eastAsia" w:ascii="黑体" w:hAnsi="黑体" w:eastAsia="黑体"/>
        </w:rPr>
        <w:t>低压触头形式）</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69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738"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40"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3</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6</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7</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9</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11</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12</w:t>
            </w:r>
          </w:p>
        </w:tc>
        <w:tc>
          <w:tcPr>
            <w:tcW w:w="1698" w:type="dxa"/>
            <w:tcBorders>
              <w:top w:val="single" w:color="auto" w:sz="4" w:space="0"/>
              <w:left w:val="single" w:color="auto" w:sz="4" w:space="0"/>
              <w:bottom w:val="single" w:color="auto" w:sz="12"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充电功率端子连接到位反馈信号，高压互锁</w:t>
            </w:r>
          </w:p>
        </w:tc>
      </w:tr>
    </w:tbl>
    <w:p>
      <w:pPr>
        <w:pStyle w:val="30"/>
      </w:pPr>
    </w:p>
    <w:p>
      <w:pPr>
        <w:pStyle w:val="30"/>
        <w:jc w:val="center"/>
        <w:rPr>
          <w:rFonts w:ascii="黑体" w:hAnsi="黑体" w:eastAsia="黑体"/>
        </w:rPr>
      </w:pPr>
      <w:r>
        <w:rPr>
          <w:rFonts w:hint="eastAsia" w:ascii="黑体" w:hAnsi="黑体" w:eastAsia="黑体"/>
        </w:rPr>
        <w:t>表4</w:t>
      </w:r>
      <w:r>
        <w:rPr>
          <w:rFonts w:ascii="黑体" w:hAnsi="黑体" w:eastAsia="黑体"/>
        </w:rPr>
        <w:t xml:space="preserve">  </w:t>
      </w:r>
      <w:r>
        <w:rPr>
          <w:rFonts w:hint="eastAsia" w:ascii="黑体" w:hAnsi="黑体" w:eastAsia="黑体"/>
        </w:rPr>
        <w:t>充电连接器Ⅱ接口定义列表（12</w:t>
      </w:r>
      <w:r>
        <w:rPr>
          <w:rFonts w:ascii="黑体" w:hAnsi="黑体" w:eastAsia="黑体"/>
        </w:rPr>
        <w:t>PIN</w:t>
      </w:r>
      <w:r>
        <w:rPr>
          <w:rFonts w:hint="eastAsia" w:ascii="黑体" w:hAnsi="黑体" w:eastAsia="黑体"/>
        </w:rPr>
        <w:t>低压触头形式）</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40"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69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738"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V/10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低压供电电源正极，为电池系统控制电源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充电连接确认信号CC2，用于充电枪1连接确认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3</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充电连接确认信号CC2，用于充电枪2连接确认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充电低压辅助电源正极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充电座2正极端子温度检测正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6</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充电座2温度检测负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7</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充电座2负极端子温度检测正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充电座1温度检测负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9</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11</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12</w:t>
            </w:r>
          </w:p>
        </w:tc>
        <w:tc>
          <w:tcPr>
            <w:tcW w:w="1698" w:type="dxa"/>
            <w:tcBorders>
              <w:top w:val="single" w:color="auto" w:sz="4" w:space="0"/>
              <w:left w:val="single" w:color="auto" w:sz="4" w:space="0"/>
              <w:bottom w:val="single" w:color="auto" w:sz="12" w:space="0"/>
              <w:right w:val="single" w:color="auto" w:sz="4" w:space="0"/>
            </w:tcBorders>
            <w:vAlign w:val="center"/>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充电功率端子连接到位反馈信号，高压互锁</w:t>
            </w:r>
          </w:p>
        </w:tc>
      </w:tr>
    </w:tbl>
    <w:p>
      <w:pPr>
        <w:pStyle w:val="30"/>
        <w:ind w:firstLine="0" w:firstLineChars="0"/>
      </w:pPr>
    </w:p>
    <w:p>
      <w:pPr>
        <w:pStyle w:val="42"/>
        <w:numPr>
          <w:ilvl w:val="0"/>
          <w:numId w:val="0"/>
        </w:numPr>
        <w:ind w:firstLine="420" w:firstLineChars="200"/>
      </w:pPr>
      <w:r>
        <w:rPr>
          <w:rFonts w:hint="eastAsia"/>
        </w:rPr>
        <w:t>当换电连接器为23个低压触头形式时，</w:t>
      </w:r>
      <w:r>
        <w:rPr>
          <w:rFonts w:hint="eastAsia" w:cs="宋体"/>
        </w:rPr>
        <w:t>放电连接器Ⅰ、放电连接器Ⅱ、充电连接器Ⅰ、充电连接器Ⅱ的</w:t>
      </w:r>
      <w:r>
        <w:rPr>
          <w:rFonts w:hint="eastAsia"/>
        </w:rPr>
        <w:t>接口</w:t>
      </w:r>
      <w:r>
        <w:rPr>
          <w:rFonts w:hint="eastAsia" w:cs="宋体"/>
        </w:rPr>
        <w:t>定义分别见表5、表6、表7、表8</w:t>
      </w:r>
      <w:r>
        <w:rPr>
          <w:rFonts w:hint="eastAsia"/>
        </w:rPr>
        <w:t>。</w:t>
      </w:r>
    </w:p>
    <w:p>
      <w:pPr>
        <w:pStyle w:val="30"/>
        <w:jc w:val="center"/>
        <w:rPr>
          <w:rFonts w:ascii="黑体" w:hAnsi="黑体" w:eastAsia="黑体"/>
        </w:rPr>
      </w:pPr>
      <w:r>
        <w:rPr>
          <w:rFonts w:hint="eastAsia" w:ascii="黑体" w:hAnsi="黑体" w:eastAsia="黑体"/>
        </w:rPr>
        <w:t>表5</w:t>
      </w:r>
      <w:r>
        <w:rPr>
          <w:rFonts w:ascii="黑体" w:hAnsi="黑体" w:eastAsia="黑体"/>
        </w:rPr>
        <w:t xml:space="preserve">  </w:t>
      </w:r>
      <w:r>
        <w:rPr>
          <w:rFonts w:hint="eastAsia" w:ascii="黑体" w:hAnsi="黑体" w:eastAsia="黑体"/>
        </w:rPr>
        <w:t>放电连接器Ⅰ接口定义列表（23</w:t>
      </w:r>
      <w:r>
        <w:rPr>
          <w:rFonts w:ascii="黑体" w:hAnsi="黑体" w:eastAsia="黑体"/>
        </w:rPr>
        <w:t>PIN</w:t>
      </w:r>
      <w:r>
        <w:rPr>
          <w:rFonts w:hint="eastAsia" w:ascii="黑体" w:hAnsi="黑体" w:eastAsia="黑体"/>
        </w:rPr>
        <w:t>低压触头形式）</w:t>
      </w:r>
    </w:p>
    <w:tbl>
      <w:tblPr>
        <w:tblStyle w:val="22"/>
        <w:tblW w:w="5003"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749"/>
        <w:gridCol w:w="4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4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879"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sz w:val="18"/>
                <w:szCs w:val="18"/>
              </w:rPr>
              <w:t>PE</w:t>
            </w:r>
          </w:p>
        </w:tc>
        <w:tc>
          <w:tcPr>
            <w:tcW w:w="1748" w:type="dxa"/>
            <w:tcBorders>
              <w:top w:val="single" w:color="auto" w:sz="4" w:space="0"/>
              <w:left w:val="single" w:color="auto" w:sz="4" w:space="0"/>
              <w:bottom w:val="single" w:color="auto" w:sz="12"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触头编号/标识</w:t>
            </w:r>
          </w:p>
        </w:tc>
        <w:tc>
          <w:tcPr>
            <w:tcW w:w="1748" w:type="dxa"/>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879" w:type="dxa"/>
          </w:tcPr>
          <w:p>
            <w:pPr>
              <w:jc w:val="center"/>
              <w:rPr>
                <w:sz w:val="18"/>
                <w:szCs w:val="18"/>
              </w:rPr>
            </w:pPr>
            <w:r>
              <w:rPr>
                <w:rFonts w:hint="eastAsia"/>
                <w:sz w:val="18"/>
                <w:szCs w:val="18"/>
              </w:rPr>
              <w:t>功能定义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sz w:val="18"/>
                <w:szCs w:val="18"/>
              </w:rPr>
              <w:t>…</w:t>
            </w:r>
          </w:p>
        </w:tc>
        <w:tc>
          <w:tcPr>
            <w:tcW w:w="1748" w:type="dxa"/>
          </w:tcPr>
          <w:p>
            <w:pPr>
              <w:jc w:val="center"/>
              <w:rPr>
                <w:sz w:val="18"/>
                <w:szCs w:val="18"/>
              </w:rPr>
            </w:pPr>
            <w:r>
              <w:rPr>
                <w:sz w:val="18"/>
                <w:szCs w:val="18"/>
              </w:rPr>
              <w:t>…</w:t>
            </w:r>
          </w:p>
        </w:tc>
        <w:tc>
          <w:tcPr>
            <w:tcW w:w="4879" w:type="dxa"/>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16</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17</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18</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放电功率端子连接到位反馈信号，高压互锁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19</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放电功率端子连接到位反馈信号，高压互锁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20</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21</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22</w:t>
            </w:r>
          </w:p>
        </w:tc>
        <w:tc>
          <w:tcPr>
            <w:tcW w:w="1748" w:type="dxa"/>
          </w:tcPr>
          <w:p>
            <w:pPr>
              <w:jc w:val="center"/>
              <w:rPr>
                <w:sz w:val="18"/>
                <w:szCs w:val="18"/>
              </w:rPr>
            </w:pPr>
            <w:r>
              <w:rPr>
                <w:rFonts w:hint="eastAsia"/>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23</w:t>
            </w:r>
          </w:p>
        </w:tc>
        <w:tc>
          <w:tcPr>
            <w:tcW w:w="1748" w:type="dxa"/>
          </w:tcPr>
          <w:p>
            <w:pPr>
              <w:jc w:val="center"/>
              <w:rPr>
                <w:sz w:val="18"/>
                <w:szCs w:val="18"/>
              </w:rPr>
            </w:pPr>
            <w:r>
              <w:rPr>
                <w:rFonts w:hint="eastAsia"/>
                <w:sz w:val="18"/>
                <w:szCs w:val="18"/>
              </w:rPr>
              <w:t>-</w:t>
            </w:r>
          </w:p>
        </w:tc>
        <w:tc>
          <w:tcPr>
            <w:tcW w:w="4879" w:type="dxa"/>
          </w:tcPr>
          <w:p>
            <w:pPr>
              <w:jc w:val="center"/>
              <w:rPr>
                <w:sz w:val="18"/>
                <w:szCs w:val="18"/>
              </w:rPr>
            </w:pPr>
            <w:r>
              <w:rPr>
                <w:rFonts w:hint="eastAsia"/>
                <w:sz w:val="18"/>
                <w:szCs w:val="18"/>
              </w:rPr>
              <w:t>预留</w:t>
            </w:r>
          </w:p>
        </w:tc>
      </w:tr>
    </w:tbl>
    <w:p>
      <w:pPr>
        <w:pStyle w:val="30"/>
        <w:ind w:firstLine="0" w:firstLineChars="0"/>
        <w:rPr>
          <w:rFonts w:ascii="黑体" w:hAnsi="黑体" w:eastAsia="黑体"/>
        </w:rPr>
      </w:pPr>
      <w:r>
        <w:rPr>
          <w:rFonts w:ascii="黑体" w:hAnsi="黑体" w:eastAsia="黑体"/>
        </w:rPr>
        <w:t xml:space="preserve"> </w:t>
      </w:r>
    </w:p>
    <w:p/>
    <w:p>
      <w:pPr>
        <w:jc w:val="center"/>
        <w:rPr>
          <w:rFonts w:ascii="黑体" w:hAnsi="黑体" w:eastAsia="黑体"/>
        </w:rPr>
      </w:pPr>
      <w:r>
        <w:rPr>
          <w:rFonts w:hint="eastAsia" w:ascii="黑体" w:hAnsi="黑体" w:eastAsia="黑体"/>
        </w:rPr>
        <w:t>表6</w:t>
      </w:r>
      <w:r>
        <w:rPr>
          <w:rFonts w:ascii="黑体" w:hAnsi="黑体" w:eastAsia="黑体"/>
        </w:rPr>
        <w:t xml:space="preserve">  </w:t>
      </w:r>
      <w:r>
        <w:rPr>
          <w:rFonts w:hint="eastAsia" w:ascii="黑体" w:hAnsi="黑体" w:eastAsia="黑体"/>
        </w:rPr>
        <w:t>放电连接器Ⅱ接口定义列表（23</w:t>
      </w:r>
      <w:r>
        <w:rPr>
          <w:rFonts w:ascii="黑体" w:hAnsi="黑体" w:eastAsia="黑体"/>
        </w:rPr>
        <w:t>PIN</w:t>
      </w:r>
      <w:r>
        <w:rPr>
          <w:rFonts w:hint="eastAsia" w:ascii="黑体" w:hAnsi="黑体" w:eastAsia="黑体"/>
        </w:rPr>
        <w:t>低压触头形式）</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69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738"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动力电池放电负极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16</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17</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18</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放电功率端子连接到位反馈信号，高压互锁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19</w:t>
            </w:r>
          </w:p>
        </w:tc>
        <w:tc>
          <w:tcPr>
            <w:tcW w:w="169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放电功率端子连接到位反馈信号，高压互锁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20</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21</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22</w:t>
            </w:r>
          </w:p>
        </w:tc>
        <w:tc>
          <w:tcPr>
            <w:tcW w:w="169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w:t>
            </w:r>
          </w:p>
        </w:tc>
        <w:tc>
          <w:tcPr>
            <w:tcW w:w="4738"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40"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23</w:t>
            </w:r>
          </w:p>
        </w:tc>
        <w:tc>
          <w:tcPr>
            <w:tcW w:w="1698" w:type="dxa"/>
            <w:tcBorders>
              <w:top w:val="single" w:color="auto" w:sz="4" w:space="0"/>
              <w:left w:val="single" w:color="auto" w:sz="4" w:space="0"/>
              <w:bottom w:val="single" w:color="auto" w:sz="12" w:space="0"/>
              <w:right w:val="single" w:color="auto" w:sz="4" w:space="0"/>
            </w:tcBorders>
            <w:vAlign w:val="center"/>
          </w:tcPr>
          <w:p>
            <w:pPr>
              <w:jc w:val="center"/>
              <w:rPr>
                <w:sz w:val="18"/>
                <w:szCs w:val="18"/>
              </w:rPr>
            </w:pPr>
            <w:r>
              <w:rPr>
                <w:rFonts w:hint="eastAsia"/>
                <w:sz w:val="18"/>
                <w:szCs w:val="18"/>
              </w:rPr>
              <w:t>-</w:t>
            </w:r>
          </w:p>
        </w:tc>
        <w:tc>
          <w:tcPr>
            <w:tcW w:w="4738"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预留</w:t>
            </w:r>
          </w:p>
        </w:tc>
      </w:tr>
    </w:tbl>
    <w:p>
      <w:pPr>
        <w:pStyle w:val="30"/>
      </w:pPr>
    </w:p>
    <w:p>
      <w:pPr>
        <w:pStyle w:val="30"/>
        <w:jc w:val="center"/>
        <w:rPr>
          <w:rFonts w:ascii="黑体" w:hAnsi="黑体" w:eastAsia="黑体"/>
        </w:rPr>
      </w:pPr>
      <w:r>
        <w:rPr>
          <w:rFonts w:hint="eastAsia" w:ascii="黑体" w:hAnsi="黑体" w:eastAsia="黑体"/>
        </w:rPr>
        <w:t>表7</w:t>
      </w:r>
      <w:r>
        <w:rPr>
          <w:rFonts w:ascii="黑体" w:hAnsi="黑体" w:eastAsia="黑体"/>
        </w:rPr>
        <w:t xml:space="preserve">  </w:t>
      </w:r>
      <w:r>
        <w:rPr>
          <w:rFonts w:hint="eastAsia" w:ascii="黑体" w:hAnsi="黑体" w:eastAsia="黑体"/>
        </w:rPr>
        <w:t>充电连接器Ⅰ接口定义列表（23</w:t>
      </w:r>
      <w:r>
        <w:rPr>
          <w:rFonts w:ascii="黑体" w:hAnsi="黑体" w:eastAsia="黑体"/>
        </w:rPr>
        <w:t>PIN</w:t>
      </w:r>
      <w:r>
        <w:rPr>
          <w:rFonts w:hint="eastAsia" w:ascii="黑体" w:hAnsi="黑体" w:eastAsia="黑体"/>
        </w:rPr>
        <w:t>低压触头形式）</w:t>
      </w:r>
    </w:p>
    <w:tbl>
      <w:tblPr>
        <w:tblStyle w:val="22"/>
        <w:tblW w:w="5003"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749"/>
        <w:gridCol w:w="4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4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879"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3</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预留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充电CANH1，用于电池系统与充电设备1通讯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6</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充电CANL1，用于电池系统与充电设备1通讯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7</w:t>
            </w:r>
          </w:p>
        </w:tc>
        <w:tc>
          <w:tcPr>
            <w:tcW w:w="1748" w:type="dxa"/>
            <w:tcBorders>
              <w:top w:val="single" w:color="auto" w:sz="4" w:space="0"/>
              <w:left w:val="single" w:color="auto" w:sz="4" w:space="0"/>
              <w:bottom w:val="single" w:color="auto" w:sz="12"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充电CANH2，用于电池系统与充电设备2通讯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触头编号/标识</w:t>
            </w:r>
          </w:p>
        </w:tc>
        <w:tc>
          <w:tcPr>
            <w:tcW w:w="1748" w:type="dxa"/>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879" w:type="dxa"/>
          </w:tcPr>
          <w:p>
            <w:pPr>
              <w:jc w:val="center"/>
              <w:rPr>
                <w:sz w:val="18"/>
                <w:szCs w:val="18"/>
              </w:rPr>
            </w:pPr>
            <w:r>
              <w:rPr>
                <w:rFonts w:hint="eastAsia"/>
                <w:sz w:val="18"/>
                <w:szCs w:val="18"/>
              </w:rPr>
              <w:t>功能定义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8</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充电CANL2，用于电池系统与充电设备2通讯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9</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充电插座1正极端子温度检测+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10</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充电插座1正极端子温度检测-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11</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充电插座1负极端子温度检测+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12</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充电插座1负极端子温度检测-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13</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充电插座2正极端子温度检测+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14</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充电插座2正极端子温度检测-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15</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充电插座2负极端子温度检测+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16</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充电插座2负极端子温度检测-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17</w:t>
            </w:r>
          </w:p>
        </w:tc>
        <w:tc>
          <w:tcPr>
            <w:tcW w:w="1748" w:type="dxa"/>
          </w:tcPr>
          <w:p>
            <w:pPr>
              <w:jc w:val="center"/>
              <w:rPr>
                <w:sz w:val="18"/>
                <w:szCs w:val="18"/>
              </w:rPr>
            </w:pPr>
            <w:r>
              <w:rPr>
                <w:sz w:val="18"/>
                <w:szCs w:val="18"/>
              </w:rPr>
              <w:t>-</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18</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充电功率端子连接到位反馈信号，高压互锁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19</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充电功率端子连接到位反馈信号，高压互锁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20</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21</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22</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23</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bl>
    <w:p>
      <w:pPr>
        <w:pStyle w:val="30"/>
        <w:ind w:firstLine="0" w:firstLineChars="0"/>
        <w:rPr>
          <w:rFonts w:ascii="黑体" w:hAnsi="黑体" w:eastAsia="黑体"/>
        </w:rPr>
      </w:pPr>
    </w:p>
    <w:p>
      <w:pPr>
        <w:pStyle w:val="30"/>
        <w:ind w:firstLine="0" w:firstLineChars="0"/>
      </w:pPr>
    </w:p>
    <w:p>
      <w:pPr>
        <w:pStyle w:val="30"/>
        <w:jc w:val="center"/>
        <w:rPr>
          <w:rFonts w:ascii="黑体" w:hAnsi="黑体" w:eastAsia="黑体"/>
        </w:rPr>
      </w:pPr>
      <w:r>
        <w:rPr>
          <w:rFonts w:hint="eastAsia" w:ascii="黑体" w:hAnsi="黑体" w:eastAsia="黑体"/>
        </w:rPr>
        <w:t>表8</w:t>
      </w:r>
      <w:r>
        <w:rPr>
          <w:rFonts w:ascii="黑体" w:hAnsi="黑体" w:eastAsia="黑体"/>
        </w:rPr>
        <w:t xml:space="preserve">  </w:t>
      </w:r>
      <w:r>
        <w:rPr>
          <w:rFonts w:hint="eastAsia" w:ascii="黑体" w:hAnsi="黑体" w:eastAsia="黑体"/>
        </w:rPr>
        <w:t>充电连接器Ⅱ接口定义列表（23</w:t>
      </w:r>
      <w:r>
        <w:rPr>
          <w:rFonts w:ascii="黑体" w:hAnsi="黑体" w:eastAsia="黑体"/>
        </w:rPr>
        <w:t>PIN</w:t>
      </w:r>
      <w:r>
        <w:rPr>
          <w:rFonts w:hint="eastAsia" w:ascii="黑体" w:hAnsi="黑体" w:eastAsia="黑体"/>
        </w:rPr>
        <w:t>低压触头形式）</w:t>
      </w:r>
    </w:p>
    <w:tbl>
      <w:tblPr>
        <w:tblStyle w:val="22"/>
        <w:tblW w:w="5003"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749"/>
        <w:gridCol w:w="4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rPr>
            </w:pPr>
            <w:r>
              <w:rPr>
                <w:rFonts w:hint="eastAsia"/>
                <w:sz w:val="18"/>
                <w:szCs w:val="18"/>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rPr>
            </w:pPr>
            <w:r>
              <w:rPr>
                <w:rFonts w:hint="eastAsia"/>
                <w:sz w:val="18"/>
                <w:szCs w:val="18"/>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48"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879" w:type="dxa"/>
            <w:tcBorders>
              <w:top w:val="single" w:color="auto" w:sz="8"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DC-</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1000 V/250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动力电池充电负极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sz w:val="18"/>
                <w:szCs w:val="18"/>
              </w:rPr>
              <w:t>PE</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接地端子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30</w:t>
            </w:r>
            <w:r>
              <w:rPr>
                <w:sz w:val="18"/>
                <w:szCs w:val="18"/>
              </w:rPr>
              <w:t xml:space="preserve"> </w:t>
            </w:r>
            <w:r>
              <w:rPr>
                <w:rFonts w:hint="eastAsia"/>
                <w:sz w:val="18"/>
                <w:szCs w:val="18"/>
              </w:rPr>
              <w:t>V/10</w:t>
            </w:r>
            <w:r>
              <w:rPr>
                <w:sz w:val="18"/>
                <w:szCs w:val="18"/>
              </w:rPr>
              <w:t xml:space="preserve"> </w:t>
            </w:r>
            <w:r>
              <w:rPr>
                <w:rFonts w:hint="eastAsia"/>
                <w:sz w:val="18"/>
                <w:szCs w:val="18"/>
              </w:rPr>
              <w:t>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低压供电电源正极，为电池系统供控制电源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2</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30</w:t>
            </w:r>
            <w:r>
              <w:rPr>
                <w:sz w:val="18"/>
                <w:szCs w:val="18"/>
              </w:rPr>
              <w:t xml:space="preserve"> </w:t>
            </w:r>
            <w:r>
              <w:rPr>
                <w:rFonts w:hint="eastAsia"/>
                <w:sz w:val="18"/>
                <w:szCs w:val="18"/>
              </w:rPr>
              <w:t>V/10</w:t>
            </w:r>
            <w:r>
              <w:rPr>
                <w:sz w:val="18"/>
                <w:szCs w:val="18"/>
              </w:rPr>
              <w:t xml:space="preserve"> </w:t>
            </w:r>
            <w:r>
              <w:rPr>
                <w:rFonts w:hint="eastAsia"/>
                <w:sz w:val="18"/>
                <w:szCs w:val="18"/>
              </w:rPr>
              <w:t>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低压供电电源负极，为电池系统供控制电源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3</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行车激活电池系统信号，车辆激活电池管理系统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站内充电机激活电池管理系统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通信CANH 用车辆与电池系统通讯的信号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6</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通信CANL 用车辆与电池系统通讯的信号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7</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用于CAN屏蔽线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用于充电时电池系统给整车系统的硬线使能信号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9</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充电低压辅助电源1正极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充电低压辅助电源1负极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11</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充电低压辅助电源2正极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充电低压辅助电源2负极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13</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充电连接确认信号CC2，用于充电枪1连接确认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14</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充电连接确认信号CC2，用于充电枪2连接确认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15</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诊断CANH，用于电池系统诊断时通讯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16</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诊断CANL，用于电池系统诊断时通讯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17</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用于CAN屏蔽线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rPr>
            </w:pPr>
            <w:r>
              <w:rPr>
                <w:rFonts w:hint="eastAsia"/>
                <w:sz w:val="18"/>
                <w:szCs w:val="18"/>
              </w:rPr>
              <w:t>18</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4" w:space="0"/>
              <w:right w:val="single" w:color="auto" w:sz="12" w:space="0"/>
            </w:tcBorders>
            <w:vAlign w:val="center"/>
          </w:tcPr>
          <w:p>
            <w:pPr>
              <w:jc w:val="center"/>
              <w:rPr>
                <w:sz w:val="18"/>
                <w:szCs w:val="18"/>
              </w:rPr>
            </w:pPr>
            <w:r>
              <w:rPr>
                <w:rFonts w:hint="eastAsia"/>
                <w:sz w:val="18"/>
                <w:szCs w:val="18"/>
              </w:rPr>
              <w:t>充电功率端子连接到位反馈信号，高压互锁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12" w:space="0"/>
              <w:right w:val="single" w:color="auto" w:sz="4" w:space="0"/>
            </w:tcBorders>
            <w:vAlign w:val="center"/>
          </w:tcPr>
          <w:p>
            <w:pPr>
              <w:jc w:val="center"/>
              <w:rPr>
                <w:sz w:val="18"/>
                <w:szCs w:val="18"/>
              </w:rPr>
            </w:pPr>
            <w:r>
              <w:rPr>
                <w:rFonts w:hint="eastAsia"/>
                <w:sz w:val="18"/>
                <w:szCs w:val="18"/>
              </w:rPr>
              <w:t>19</w:t>
            </w:r>
          </w:p>
        </w:tc>
        <w:tc>
          <w:tcPr>
            <w:tcW w:w="1748" w:type="dxa"/>
            <w:tcBorders>
              <w:top w:val="single" w:color="auto" w:sz="4" w:space="0"/>
              <w:left w:val="single" w:color="auto" w:sz="4" w:space="0"/>
              <w:bottom w:val="single" w:color="auto" w:sz="12" w:space="0"/>
              <w:right w:val="single" w:color="auto" w:sz="4" w:space="0"/>
            </w:tcBorders>
          </w:tcPr>
          <w:p>
            <w:pPr>
              <w:jc w:val="center"/>
              <w:rPr>
                <w:sz w:val="18"/>
                <w:szCs w:val="18"/>
              </w:rPr>
            </w:pPr>
            <w:r>
              <w:rPr>
                <w:sz w:val="18"/>
                <w:szCs w:val="18"/>
              </w:rPr>
              <w:t>30 V/2 A</w:t>
            </w:r>
          </w:p>
        </w:tc>
        <w:tc>
          <w:tcPr>
            <w:tcW w:w="4879" w:type="dxa"/>
            <w:tcBorders>
              <w:top w:val="single" w:color="auto" w:sz="4" w:space="0"/>
              <w:left w:val="single" w:color="auto" w:sz="4" w:space="0"/>
              <w:bottom w:val="single" w:color="auto" w:sz="12" w:space="0"/>
              <w:right w:val="single" w:color="auto" w:sz="12" w:space="0"/>
            </w:tcBorders>
            <w:vAlign w:val="center"/>
          </w:tcPr>
          <w:p>
            <w:pPr>
              <w:jc w:val="center"/>
              <w:rPr>
                <w:sz w:val="18"/>
                <w:szCs w:val="18"/>
              </w:rPr>
            </w:pPr>
            <w:r>
              <w:rPr>
                <w:rFonts w:hint="eastAsia"/>
                <w:sz w:val="18"/>
                <w:szCs w:val="18"/>
              </w:rPr>
              <w:t>充电功率端子连接到位反馈信号，高压互锁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895" w:type="dxa"/>
          </w:tcPr>
          <w:p>
            <w:pPr>
              <w:jc w:val="center"/>
              <w:rPr>
                <w:sz w:val="18"/>
                <w:szCs w:val="18"/>
              </w:rPr>
            </w:pPr>
            <w:r>
              <w:rPr>
                <w:rFonts w:hint="eastAsia"/>
                <w:sz w:val="18"/>
                <w:szCs w:val="18"/>
              </w:rPr>
              <w:t>触头编号/标识</w:t>
            </w:r>
          </w:p>
        </w:tc>
        <w:tc>
          <w:tcPr>
            <w:tcW w:w="1748" w:type="dxa"/>
          </w:tcPr>
          <w:p>
            <w:pPr>
              <w:jc w:val="center"/>
              <w:rPr>
                <w:sz w:val="18"/>
                <w:szCs w:val="18"/>
              </w:rPr>
            </w:pPr>
            <w:r>
              <w:rPr>
                <w:rFonts w:hint="eastAsia"/>
                <w:sz w:val="18"/>
                <w:szCs w:val="18"/>
              </w:rPr>
              <w:t>额定电压</w:t>
            </w:r>
            <w:r>
              <w:rPr>
                <w:sz w:val="18"/>
                <w:szCs w:val="18"/>
              </w:rPr>
              <w:t>/</w:t>
            </w:r>
            <w:r>
              <w:rPr>
                <w:rFonts w:hint="eastAsia"/>
                <w:sz w:val="18"/>
                <w:szCs w:val="18"/>
              </w:rPr>
              <w:t>电流</w:t>
            </w:r>
          </w:p>
        </w:tc>
        <w:tc>
          <w:tcPr>
            <w:tcW w:w="4879" w:type="dxa"/>
          </w:tcPr>
          <w:p>
            <w:pPr>
              <w:jc w:val="center"/>
              <w:rPr>
                <w:sz w:val="18"/>
                <w:szCs w:val="18"/>
              </w:rPr>
            </w:pPr>
            <w:r>
              <w:rPr>
                <w:rFonts w:hint="eastAsia"/>
                <w:sz w:val="18"/>
                <w:szCs w:val="18"/>
              </w:rPr>
              <w:t>功能定义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20</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895" w:type="dxa"/>
          </w:tcPr>
          <w:p>
            <w:pPr>
              <w:jc w:val="center"/>
              <w:rPr>
                <w:sz w:val="18"/>
                <w:szCs w:val="18"/>
              </w:rPr>
            </w:pPr>
            <w:r>
              <w:rPr>
                <w:rFonts w:hint="eastAsia"/>
                <w:sz w:val="18"/>
                <w:szCs w:val="18"/>
              </w:rPr>
              <w:t>21</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22</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Pr>
          <w:p>
            <w:pPr>
              <w:jc w:val="center"/>
              <w:rPr>
                <w:sz w:val="18"/>
                <w:szCs w:val="18"/>
              </w:rPr>
            </w:pPr>
            <w:r>
              <w:rPr>
                <w:rFonts w:hint="eastAsia"/>
                <w:sz w:val="18"/>
                <w:szCs w:val="18"/>
              </w:rPr>
              <w:t>23</w:t>
            </w:r>
          </w:p>
        </w:tc>
        <w:tc>
          <w:tcPr>
            <w:tcW w:w="1748" w:type="dxa"/>
          </w:tcPr>
          <w:p>
            <w:pPr>
              <w:jc w:val="center"/>
              <w:rPr>
                <w:sz w:val="18"/>
                <w:szCs w:val="18"/>
              </w:rPr>
            </w:pPr>
            <w:r>
              <w:rPr>
                <w:sz w:val="18"/>
                <w:szCs w:val="18"/>
              </w:rPr>
              <w:t>30 V/2 A</w:t>
            </w:r>
          </w:p>
        </w:tc>
        <w:tc>
          <w:tcPr>
            <w:tcW w:w="4879" w:type="dxa"/>
          </w:tcPr>
          <w:p>
            <w:pPr>
              <w:jc w:val="center"/>
              <w:rPr>
                <w:sz w:val="18"/>
                <w:szCs w:val="18"/>
              </w:rPr>
            </w:pPr>
            <w:r>
              <w:rPr>
                <w:rFonts w:hint="eastAsia"/>
                <w:sz w:val="18"/>
                <w:szCs w:val="18"/>
              </w:rPr>
              <w:t>预留</w:t>
            </w:r>
          </w:p>
        </w:tc>
      </w:tr>
    </w:tbl>
    <w:p>
      <w:pPr>
        <w:pStyle w:val="30"/>
        <w:ind w:firstLine="0" w:firstLineChars="0"/>
        <w:rPr>
          <w:rFonts w:ascii="黑体" w:hAnsi="黑体" w:eastAsia="黑体"/>
        </w:rPr>
      </w:pPr>
    </w:p>
    <w:p>
      <w:pPr>
        <w:pStyle w:val="42"/>
        <w:rPr>
          <w:szCs w:val="22"/>
          <w:highlight w:val="yellow"/>
        </w:rPr>
      </w:pPr>
      <w:r>
        <w:rPr>
          <w:rFonts w:hint="eastAsia"/>
          <w:szCs w:val="22"/>
          <w:highlight w:val="yellow"/>
        </w:rPr>
        <w:t>II型换电连接器</w:t>
      </w:r>
      <w:r>
        <w:rPr>
          <w:rFonts w:hint="eastAsia"/>
          <w:highlight w:val="yellow"/>
        </w:rPr>
        <w:t>4</w:t>
      </w:r>
      <w:r>
        <w:rPr>
          <w:highlight w:val="yellow"/>
        </w:rPr>
        <w:t>个功率</w:t>
      </w:r>
      <w:r>
        <w:rPr>
          <w:rFonts w:hint="eastAsia"/>
          <w:highlight w:val="yellow"/>
        </w:rPr>
        <w:t>端子（</w:t>
      </w:r>
      <w:r>
        <w:rPr>
          <w:highlight w:val="yellow"/>
        </w:rPr>
        <w:t>300A/1500V</w:t>
      </w:r>
      <w:r>
        <w:rPr>
          <w:rFonts w:hint="eastAsia"/>
          <w:highlight w:val="yellow"/>
        </w:rPr>
        <w:t>）、</w:t>
      </w:r>
      <w:r>
        <w:rPr>
          <w:highlight w:val="yellow"/>
        </w:rPr>
        <w:t>2</w:t>
      </w:r>
      <w:r>
        <w:rPr>
          <w:rFonts w:hint="eastAsia"/>
          <w:highlight w:val="yellow"/>
        </w:rPr>
        <w:t>个辅助源（1</w:t>
      </w:r>
      <w:r>
        <w:rPr>
          <w:highlight w:val="yellow"/>
        </w:rPr>
        <w:t>0</w:t>
      </w:r>
      <w:r>
        <w:rPr>
          <w:rFonts w:ascii="Times New Roman"/>
          <w:highlight w:val="yellow"/>
        </w:rPr>
        <w:t>0A/1000V</w:t>
      </w:r>
      <w:r>
        <w:rPr>
          <w:rFonts w:hint="eastAsia"/>
          <w:highlight w:val="yellow"/>
        </w:rPr>
        <w:t>）、</w:t>
      </w:r>
      <w:r>
        <w:rPr>
          <w:highlight w:val="yellow"/>
        </w:rPr>
        <w:t>36针低压辅助</w:t>
      </w:r>
      <w:r>
        <w:rPr>
          <w:rFonts w:hint="eastAsia"/>
          <w:szCs w:val="22"/>
          <w:highlight w:val="yellow"/>
        </w:rPr>
        <w:t>。</w:t>
      </w:r>
    </w:p>
    <w:p>
      <w:pPr>
        <w:pStyle w:val="48"/>
        <w:numPr>
          <w:ilvl w:val="0"/>
          <w:numId w:val="0"/>
        </w:numPr>
        <w:tabs>
          <w:tab w:val="left" w:pos="0"/>
          <w:tab w:val="clear" w:pos="360"/>
        </w:tabs>
        <w:spacing w:before="156" w:after="156"/>
        <w:rPr>
          <w:szCs w:val="22"/>
          <w:highlight w:val="yellow"/>
        </w:rPr>
      </w:pPr>
      <w:r>
        <w:rPr>
          <w:rFonts w:hint="eastAsia" w:hAnsi="黑体"/>
          <w:szCs w:val="22"/>
          <w:highlight w:val="yellow"/>
        </w:rPr>
        <w:t>表9</w:t>
      </w:r>
      <w:r>
        <w:rPr>
          <w:rFonts w:hAnsi="黑体"/>
          <w:szCs w:val="22"/>
          <w:highlight w:val="yellow"/>
        </w:rPr>
        <w:t>换电系统放电模式接口定义</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额定电压</w:t>
            </w:r>
            <w:r>
              <w:rPr>
                <w:sz w:val="18"/>
                <w:szCs w:val="18"/>
                <w:highlight w:val="yellow"/>
              </w:rPr>
              <w:t>/</w:t>
            </w:r>
            <w:r>
              <w:rPr>
                <w:rFonts w:hint="eastAsia"/>
                <w:sz w:val="18"/>
                <w:szCs w:val="18"/>
                <w:highlight w:val="yellow"/>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highlight w:val="yellow"/>
              </w:rPr>
            </w:pPr>
            <w:r>
              <w:rPr>
                <w:rFonts w:hint="eastAsia"/>
                <w:sz w:val="18"/>
                <w:szCs w:val="18"/>
                <w:highlight w:val="yellow"/>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DC1+</w:t>
            </w:r>
          </w:p>
        </w:tc>
        <w:tc>
          <w:tcPr>
            <w:tcW w:w="1748" w:type="dxa"/>
            <w:tcBorders>
              <w:top w:val="single" w:color="auto" w:sz="8"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8"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电池系统放电模式的动力电池正极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DC2+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电池系统放电模式的动力电池正极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DC1-</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电池系统放电模式的动力电池负极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DC2</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电池系统放电模式的动力电池负极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PE</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保护接地，用于电池系统外壳与车辆电平台接地连接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VDC+</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1000V/100A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辅助电源正极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VDC-</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1000V/100A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辅助电源负极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DCP1+</w:t>
            </w:r>
          </w:p>
        </w:tc>
        <w:tc>
          <w:tcPr>
            <w:tcW w:w="1748" w:type="dxa"/>
            <w:tcBorders>
              <w:top w:val="single" w:color="auto" w:sz="4" w:space="0"/>
              <w:left w:val="single" w:color="auto" w:sz="4" w:space="0"/>
              <w:bottom w:val="single" w:color="auto" w:sz="4" w:space="0"/>
              <w:right w:val="single" w:color="auto" w:sz="4" w:space="0"/>
            </w:tcBorders>
          </w:tcPr>
          <w:p>
            <w:pPr>
              <w:pStyle w:val="65"/>
              <w:ind w:firstLine="0"/>
              <w:jc w:val="center"/>
              <w:rPr>
                <w:rFonts w:asciiTheme="minorHAnsi" w:hAnsiTheme="minorHAnsi" w:eastAsiaTheme="minorEastAsia" w:cstheme="minorBidi"/>
                <w:kern w:val="2"/>
                <w:sz w:val="18"/>
                <w:szCs w:val="18"/>
                <w:highlight w:val="yellow"/>
                <w:lang w:eastAsia="zh-CN" w:bidi="ar-SA"/>
              </w:rPr>
            </w:pPr>
            <w:r>
              <w:rPr>
                <w:rFonts w:hint="eastAsia" w:asciiTheme="minorHAnsi" w:hAnsiTheme="minorHAnsi" w:eastAsiaTheme="minorEastAsia" w:cstheme="minorBidi"/>
                <w:kern w:val="2"/>
                <w:sz w:val="18"/>
                <w:szCs w:val="18"/>
                <w:highlight w:val="yellow"/>
                <w:lang w:eastAsia="zh-CN" w:bidi="ar-SA"/>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功率端子连接到位的状态反馈信号</w:t>
            </w:r>
            <w:r>
              <w:rPr>
                <w:rFonts w:hint="eastAsia"/>
                <w:sz w:val="18"/>
                <w:szCs w:val="18"/>
                <w:highlight w:val="yellow"/>
              </w:rPr>
              <w:t>，用于高压互锁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DCP1</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功率端子连接到位的状态反馈信号</w:t>
            </w:r>
            <w:r>
              <w:rPr>
                <w:rFonts w:hint="eastAsia"/>
                <w:sz w:val="18"/>
                <w:szCs w:val="18"/>
                <w:highlight w:val="yellow"/>
              </w:rPr>
              <w:t>，用于高压互锁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A</w:t>
            </w:r>
            <w:r>
              <w:rPr>
                <w:sz w:val="18"/>
                <w:szCs w:val="18"/>
                <w:highlight w:val="yellow"/>
              </w:rPr>
              <w:t>C_BMS</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激活电池系统信号，</w:t>
            </w:r>
            <w:r>
              <w:rPr>
                <w:sz w:val="18"/>
                <w:szCs w:val="18"/>
                <w:highlight w:val="yellow"/>
              </w:rPr>
              <w:t>用于车辆激活</w:t>
            </w:r>
            <w:r>
              <w:rPr>
                <w:rFonts w:hint="eastAsia"/>
                <w:sz w:val="18"/>
                <w:szCs w:val="18"/>
                <w:highlight w:val="yellow"/>
              </w:rPr>
              <w:t>电池</w:t>
            </w:r>
            <w:r>
              <w:rPr>
                <w:sz w:val="18"/>
                <w:szCs w:val="18"/>
                <w:highlight w:val="yellow"/>
              </w:rPr>
              <w:t>管理</w:t>
            </w:r>
            <w:r>
              <w:rPr>
                <w:rFonts w:hint="eastAsia"/>
                <w:sz w:val="18"/>
                <w:szCs w:val="18"/>
                <w:highlight w:val="yellow"/>
              </w:rPr>
              <w:t>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CAN1_H</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动力C</w:t>
            </w:r>
            <w:r>
              <w:rPr>
                <w:sz w:val="18"/>
                <w:szCs w:val="18"/>
                <w:highlight w:val="yellow"/>
              </w:rPr>
              <w:t>ANH 用</w:t>
            </w:r>
            <w:r>
              <w:rPr>
                <w:rFonts w:hint="eastAsia"/>
                <w:sz w:val="18"/>
                <w:szCs w:val="18"/>
                <w:highlight w:val="yellow"/>
              </w:rPr>
              <w:t>车辆与电池系统通讯的信号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CAN1_L</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动力C</w:t>
            </w:r>
            <w:r>
              <w:rPr>
                <w:sz w:val="18"/>
                <w:szCs w:val="18"/>
                <w:highlight w:val="yellow"/>
              </w:rPr>
              <w:t>ANL 用</w:t>
            </w:r>
            <w:r>
              <w:rPr>
                <w:rFonts w:hint="eastAsia"/>
                <w:sz w:val="18"/>
                <w:szCs w:val="18"/>
                <w:highlight w:val="yellow"/>
              </w:rPr>
              <w:t>车辆与电池系统通讯的信号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CAN2_H</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信息C</w:t>
            </w:r>
            <w:r>
              <w:rPr>
                <w:sz w:val="18"/>
                <w:szCs w:val="18"/>
                <w:highlight w:val="yellow"/>
              </w:rPr>
              <w:t>AN 用于</w:t>
            </w:r>
            <w:r>
              <w:rPr>
                <w:rFonts w:hint="eastAsia"/>
                <w:sz w:val="18"/>
                <w:szCs w:val="18"/>
                <w:highlight w:val="yellow"/>
              </w:rPr>
              <w:t>车辆</w:t>
            </w:r>
            <w:r>
              <w:rPr>
                <w:sz w:val="18"/>
                <w:szCs w:val="18"/>
                <w:highlight w:val="yellow"/>
              </w:rPr>
              <w:t>编码</w:t>
            </w:r>
            <w:r>
              <w:rPr>
                <w:rFonts w:hint="eastAsia"/>
                <w:sz w:val="18"/>
                <w:szCs w:val="18"/>
                <w:highlight w:val="yellow"/>
              </w:rPr>
              <w:t>、电池信息</w:t>
            </w:r>
            <w:r>
              <w:rPr>
                <w:sz w:val="18"/>
                <w:szCs w:val="18"/>
                <w:highlight w:val="yellow"/>
              </w:rPr>
              <w:t>等管理类</w:t>
            </w:r>
            <w:r>
              <w:rPr>
                <w:rFonts w:hint="eastAsia"/>
                <w:sz w:val="18"/>
                <w:szCs w:val="18"/>
                <w:highlight w:val="yellow"/>
              </w:rPr>
              <w:t>参数</w:t>
            </w:r>
            <w:r>
              <w:rPr>
                <w:sz w:val="18"/>
                <w:szCs w:val="18"/>
                <w:highlight w:val="yellow"/>
              </w:rPr>
              <w:t>传输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CAN2_L</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信息C</w:t>
            </w:r>
            <w:r>
              <w:rPr>
                <w:sz w:val="18"/>
                <w:szCs w:val="18"/>
                <w:highlight w:val="yellow"/>
              </w:rPr>
              <w:t>AN 用于</w:t>
            </w:r>
            <w:r>
              <w:rPr>
                <w:rFonts w:hint="eastAsia"/>
                <w:sz w:val="18"/>
                <w:szCs w:val="18"/>
                <w:highlight w:val="yellow"/>
              </w:rPr>
              <w:t>车辆</w:t>
            </w:r>
            <w:r>
              <w:rPr>
                <w:sz w:val="18"/>
                <w:szCs w:val="18"/>
                <w:highlight w:val="yellow"/>
              </w:rPr>
              <w:t>编码</w:t>
            </w:r>
            <w:r>
              <w:rPr>
                <w:rFonts w:hint="eastAsia"/>
                <w:sz w:val="18"/>
                <w:szCs w:val="18"/>
                <w:highlight w:val="yellow"/>
              </w:rPr>
              <w:t>、电池信息</w:t>
            </w:r>
            <w:r>
              <w:rPr>
                <w:sz w:val="18"/>
                <w:szCs w:val="18"/>
                <w:highlight w:val="yellow"/>
              </w:rPr>
              <w:t>等管理类</w:t>
            </w:r>
            <w:r>
              <w:rPr>
                <w:rFonts w:hint="eastAsia"/>
                <w:sz w:val="18"/>
                <w:szCs w:val="18"/>
                <w:highlight w:val="yellow"/>
              </w:rPr>
              <w:t>参数传输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预留</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拓展引脚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12" w:space="0"/>
              <w:right w:val="single" w:color="auto" w:sz="4" w:space="0"/>
            </w:tcBorders>
          </w:tcPr>
          <w:p>
            <w:pPr>
              <w:jc w:val="center"/>
              <w:rPr>
                <w:sz w:val="18"/>
                <w:szCs w:val="18"/>
                <w:highlight w:val="yellow"/>
              </w:rPr>
            </w:pPr>
            <w:r>
              <w:rPr>
                <w:rFonts w:hint="eastAsia"/>
                <w:sz w:val="18"/>
                <w:szCs w:val="18"/>
                <w:highlight w:val="yellow"/>
              </w:rPr>
              <w:t>预留</w:t>
            </w:r>
          </w:p>
        </w:tc>
        <w:tc>
          <w:tcPr>
            <w:tcW w:w="1748" w:type="dxa"/>
            <w:tcBorders>
              <w:top w:val="single" w:color="auto" w:sz="4" w:space="0"/>
              <w:left w:val="single" w:color="auto" w:sz="4" w:space="0"/>
              <w:bottom w:val="single" w:color="auto" w:sz="12"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12" w:space="0"/>
              <w:right w:val="single" w:color="auto" w:sz="12" w:space="0"/>
            </w:tcBorders>
          </w:tcPr>
          <w:p>
            <w:pPr>
              <w:jc w:val="center"/>
              <w:rPr>
                <w:sz w:val="18"/>
                <w:szCs w:val="18"/>
                <w:highlight w:val="yellow"/>
              </w:rPr>
            </w:pPr>
            <w:r>
              <w:rPr>
                <w:rFonts w:hint="eastAsia"/>
                <w:sz w:val="18"/>
                <w:szCs w:val="18"/>
                <w:highlight w:val="yellow"/>
              </w:rPr>
              <w:t>拓展引脚</w:t>
            </w:r>
          </w:p>
        </w:tc>
      </w:tr>
    </w:tbl>
    <w:p>
      <w:pPr>
        <w:pStyle w:val="48"/>
        <w:numPr>
          <w:ilvl w:val="0"/>
          <w:numId w:val="0"/>
        </w:numPr>
        <w:tabs>
          <w:tab w:val="left" w:pos="330"/>
        </w:tabs>
        <w:spacing w:before="156" w:after="156"/>
        <w:rPr>
          <w:rFonts w:hAnsi="黑体"/>
          <w:szCs w:val="22"/>
          <w:highlight w:val="yellow"/>
        </w:rPr>
      </w:pPr>
      <w:r>
        <w:rPr>
          <w:rFonts w:hint="eastAsia" w:hAnsi="黑体"/>
          <w:szCs w:val="22"/>
          <w:highlight w:val="yellow"/>
        </w:rPr>
        <w:t>表10</w:t>
      </w:r>
      <w:r>
        <w:rPr>
          <w:highlight w:val="yellow"/>
        </w:rPr>
        <w:t>换电系统充电模式</w:t>
      </w:r>
      <w:r>
        <w:rPr>
          <w:rFonts w:hint="eastAsia"/>
          <w:highlight w:val="yellow"/>
        </w:rPr>
        <w:t>接口</w:t>
      </w:r>
      <w:r>
        <w:rPr>
          <w:highlight w:val="yellow"/>
        </w:rPr>
        <w:t>定义</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额定电压</w:t>
            </w:r>
            <w:r>
              <w:rPr>
                <w:sz w:val="18"/>
                <w:szCs w:val="18"/>
                <w:highlight w:val="yellow"/>
              </w:rPr>
              <w:t>/</w:t>
            </w:r>
            <w:r>
              <w:rPr>
                <w:rFonts w:hint="eastAsia"/>
                <w:sz w:val="18"/>
                <w:szCs w:val="18"/>
                <w:highlight w:val="yellow"/>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highlight w:val="yellow"/>
              </w:rPr>
            </w:pPr>
            <w:r>
              <w:rPr>
                <w:rFonts w:hint="eastAsia"/>
                <w:sz w:val="18"/>
                <w:szCs w:val="18"/>
                <w:highlight w:val="yellow"/>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CHDC1+</w:t>
            </w:r>
          </w:p>
        </w:tc>
        <w:tc>
          <w:tcPr>
            <w:tcW w:w="1748" w:type="dxa"/>
            <w:tcBorders>
              <w:top w:val="single" w:color="auto" w:sz="8"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8"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电池系统充电模式的正极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CHDC2+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电池系统充电模式的正极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CHDC1</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电池系统充电模式的负极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CHDC2</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1000V/300A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电池系统充电模式的负极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rFonts w:hint="eastAsia"/>
                <w:sz w:val="18"/>
                <w:szCs w:val="18"/>
                <w:highlight w:val="yellow"/>
              </w:rPr>
              <w:t>P</w:t>
            </w:r>
            <w:r>
              <w:rPr>
                <w:sz w:val="18"/>
                <w:szCs w:val="18"/>
                <w:highlight w:val="yellow"/>
              </w:rPr>
              <w:t>E</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保护接地，将电池系统外壳与车辆电平台的地连接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C</w:t>
            </w:r>
            <w:r>
              <w:rPr>
                <w:rFonts w:hint="eastAsia"/>
                <w:sz w:val="18"/>
                <w:szCs w:val="18"/>
                <w:highlight w:val="yellow"/>
              </w:rPr>
              <w:t>C</w:t>
            </w:r>
            <w:r>
              <w:rPr>
                <w:sz w:val="18"/>
                <w:szCs w:val="18"/>
                <w:highlight w:val="yellow"/>
              </w:rPr>
              <w:t>P1+</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充电功率端子</w:t>
            </w:r>
            <w:r>
              <w:rPr>
                <w:sz w:val="18"/>
                <w:szCs w:val="18"/>
                <w:highlight w:val="yellow"/>
              </w:rPr>
              <w:t>连接到位反馈信号</w:t>
            </w:r>
            <w:r>
              <w:rPr>
                <w:rFonts w:hint="eastAsia"/>
                <w:sz w:val="18"/>
                <w:szCs w:val="18"/>
                <w:highlight w:val="yellow"/>
              </w:rPr>
              <w:t>，用于高压互锁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C</w:t>
            </w:r>
            <w:r>
              <w:rPr>
                <w:rFonts w:hint="eastAsia"/>
                <w:sz w:val="18"/>
                <w:szCs w:val="18"/>
                <w:highlight w:val="yellow"/>
              </w:rPr>
              <w:t>C</w:t>
            </w:r>
            <w:r>
              <w:rPr>
                <w:sz w:val="18"/>
                <w:szCs w:val="18"/>
                <w:highlight w:val="yellow"/>
              </w:rPr>
              <w:t>P1</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充电功率端子</w:t>
            </w:r>
            <w:r>
              <w:rPr>
                <w:sz w:val="18"/>
                <w:szCs w:val="18"/>
                <w:highlight w:val="yellow"/>
              </w:rPr>
              <w:t>连接到位反馈信号</w:t>
            </w:r>
            <w:r>
              <w:rPr>
                <w:rFonts w:hint="eastAsia"/>
                <w:sz w:val="18"/>
                <w:szCs w:val="18"/>
                <w:highlight w:val="yellow"/>
              </w:rPr>
              <w:t>，用于高压互锁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A+</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yellow"/>
              </w:rPr>
            </w:pPr>
            <w:r>
              <w:rPr>
                <w:sz w:val="18"/>
                <w:szCs w:val="18"/>
                <w:highlight w:val="yellow"/>
              </w:rPr>
              <w:t>1000V/100A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辅助电源正极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sz w:val="18"/>
                <w:szCs w:val="18"/>
                <w:highlight w:val="yellow"/>
              </w:rPr>
              <w:t>A</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yellow"/>
              </w:rPr>
            </w:pPr>
            <w:r>
              <w:rPr>
                <w:sz w:val="18"/>
                <w:szCs w:val="18"/>
                <w:highlight w:val="yellow"/>
              </w:rPr>
              <w:t>1000V/100A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辅助电源负极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A</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充电激活信号，</w:t>
            </w:r>
            <w:r>
              <w:rPr>
                <w:sz w:val="18"/>
                <w:szCs w:val="18"/>
                <w:highlight w:val="yellow"/>
              </w:rPr>
              <w:t>用于充电模式下</w:t>
            </w:r>
            <w:r>
              <w:rPr>
                <w:rFonts w:hint="eastAsia"/>
                <w:sz w:val="18"/>
                <w:szCs w:val="18"/>
                <w:highlight w:val="yellow"/>
              </w:rPr>
              <w:t>，</w:t>
            </w:r>
            <w:r>
              <w:rPr>
                <w:sz w:val="18"/>
                <w:szCs w:val="18"/>
                <w:highlight w:val="yellow"/>
              </w:rPr>
              <w:t>激活</w:t>
            </w:r>
            <w:r>
              <w:rPr>
                <w:rFonts w:hint="eastAsia"/>
                <w:sz w:val="18"/>
                <w:szCs w:val="18"/>
                <w:highlight w:val="yellow"/>
              </w:rPr>
              <w:t>电池管理系统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S</w:t>
            </w:r>
            <w:r>
              <w:rPr>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充电C</w:t>
            </w:r>
            <w:r>
              <w:rPr>
                <w:sz w:val="18"/>
                <w:szCs w:val="18"/>
                <w:highlight w:val="yellow"/>
              </w:rPr>
              <w:t>ANH</w:t>
            </w:r>
            <w:r>
              <w:rPr>
                <w:rFonts w:hint="eastAsia"/>
                <w:sz w:val="18"/>
                <w:szCs w:val="18"/>
                <w:highlight w:val="yellow"/>
              </w:rPr>
              <w:t>，</w:t>
            </w:r>
            <w:r>
              <w:rPr>
                <w:sz w:val="18"/>
                <w:szCs w:val="18"/>
                <w:highlight w:val="yellow"/>
              </w:rPr>
              <w:t>在</w:t>
            </w:r>
            <w:r>
              <w:rPr>
                <w:rFonts w:hint="eastAsia"/>
                <w:sz w:val="18"/>
                <w:szCs w:val="18"/>
                <w:highlight w:val="yellow"/>
              </w:rPr>
              <w:t>充电时，用于电池系统与充电设备通讯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S-</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充电C</w:t>
            </w:r>
            <w:r>
              <w:rPr>
                <w:sz w:val="18"/>
                <w:szCs w:val="18"/>
                <w:highlight w:val="yellow"/>
              </w:rPr>
              <w:t>ANL</w:t>
            </w:r>
            <w:r>
              <w:rPr>
                <w:rFonts w:hint="eastAsia"/>
                <w:sz w:val="18"/>
                <w:szCs w:val="18"/>
                <w:highlight w:val="yellow"/>
              </w:rPr>
              <w:t>，</w:t>
            </w:r>
            <w:r>
              <w:rPr>
                <w:sz w:val="18"/>
                <w:szCs w:val="18"/>
                <w:highlight w:val="yellow"/>
              </w:rPr>
              <w:t>在</w:t>
            </w:r>
            <w:r>
              <w:rPr>
                <w:rFonts w:hint="eastAsia"/>
                <w:sz w:val="18"/>
                <w:szCs w:val="18"/>
                <w:highlight w:val="yellow"/>
              </w:rPr>
              <w:t>充电时，用于电池系统与充电设备通讯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C1</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充电连接确认信号</w:t>
            </w:r>
            <w:r>
              <w:rPr>
                <w:rFonts w:hint="eastAsia"/>
                <w:sz w:val="18"/>
                <w:szCs w:val="18"/>
                <w:highlight w:val="yellow"/>
              </w:rPr>
              <w:t>1，用于</w:t>
            </w:r>
            <w:r>
              <w:rPr>
                <w:sz w:val="18"/>
                <w:szCs w:val="18"/>
                <w:highlight w:val="yellow"/>
              </w:rPr>
              <w:t>充电时连接确认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C2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充电连接确认信号2</w:t>
            </w:r>
            <w:r>
              <w:rPr>
                <w:rFonts w:hint="eastAsia"/>
                <w:sz w:val="18"/>
                <w:szCs w:val="18"/>
                <w:highlight w:val="yellow"/>
              </w:rPr>
              <w:t>，用于</w:t>
            </w:r>
            <w:r>
              <w:rPr>
                <w:sz w:val="18"/>
                <w:szCs w:val="18"/>
                <w:highlight w:val="yellow"/>
              </w:rPr>
              <w:t>充电时连接确认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预留</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拓展引脚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12" w:space="0"/>
              <w:right w:val="single" w:color="auto" w:sz="4" w:space="0"/>
            </w:tcBorders>
          </w:tcPr>
          <w:p>
            <w:pPr>
              <w:jc w:val="center"/>
              <w:rPr>
                <w:sz w:val="18"/>
                <w:szCs w:val="18"/>
                <w:highlight w:val="yellow"/>
              </w:rPr>
            </w:pPr>
            <w:r>
              <w:rPr>
                <w:rFonts w:hint="eastAsia"/>
                <w:sz w:val="18"/>
                <w:szCs w:val="18"/>
                <w:highlight w:val="yellow"/>
              </w:rPr>
              <w:t>预留</w:t>
            </w:r>
          </w:p>
        </w:tc>
        <w:tc>
          <w:tcPr>
            <w:tcW w:w="1748" w:type="dxa"/>
            <w:tcBorders>
              <w:top w:val="single" w:color="auto" w:sz="4" w:space="0"/>
              <w:left w:val="single" w:color="auto" w:sz="4" w:space="0"/>
              <w:bottom w:val="single" w:color="auto" w:sz="12" w:space="0"/>
              <w:right w:val="single" w:color="auto" w:sz="4" w:space="0"/>
            </w:tcBorders>
          </w:tcPr>
          <w:p>
            <w:pPr>
              <w:jc w:val="center"/>
              <w:rPr>
                <w:sz w:val="18"/>
                <w:szCs w:val="18"/>
                <w:highlight w:val="yellow"/>
              </w:rPr>
            </w:pPr>
            <w:r>
              <w:rPr>
                <w:sz w:val="18"/>
                <w:szCs w:val="18"/>
                <w:highlight w:val="yellow"/>
              </w:rPr>
              <w:t>30V/2A</w:t>
            </w:r>
          </w:p>
        </w:tc>
        <w:tc>
          <w:tcPr>
            <w:tcW w:w="4879" w:type="dxa"/>
            <w:tcBorders>
              <w:top w:val="single" w:color="auto" w:sz="4" w:space="0"/>
              <w:left w:val="single" w:color="auto" w:sz="4" w:space="0"/>
              <w:bottom w:val="single" w:color="auto" w:sz="12" w:space="0"/>
              <w:right w:val="single" w:color="auto" w:sz="12" w:space="0"/>
            </w:tcBorders>
          </w:tcPr>
          <w:p>
            <w:pPr>
              <w:jc w:val="center"/>
              <w:rPr>
                <w:sz w:val="18"/>
                <w:szCs w:val="18"/>
                <w:highlight w:val="yellow"/>
              </w:rPr>
            </w:pPr>
            <w:r>
              <w:rPr>
                <w:rFonts w:hint="eastAsia"/>
                <w:sz w:val="18"/>
                <w:szCs w:val="18"/>
                <w:highlight w:val="yellow"/>
              </w:rPr>
              <w:t>拓展引脚</w:t>
            </w:r>
          </w:p>
        </w:tc>
      </w:tr>
    </w:tbl>
    <w:p>
      <w:pPr>
        <w:pStyle w:val="48"/>
        <w:numPr>
          <w:ilvl w:val="0"/>
          <w:numId w:val="0"/>
        </w:numPr>
        <w:tabs>
          <w:tab w:val="left" w:pos="330"/>
        </w:tabs>
        <w:spacing w:before="156" w:after="156"/>
        <w:rPr>
          <w:rFonts w:hint="eastAsia" w:hAnsi="黑体"/>
          <w:szCs w:val="22"/>
          <w:highlight w:val="yellow"/>
        </w:rPr>
      </w:pPr>
      <w:r>
        <w:rPr>
          <w:rFonts w:hint="eastAsia" w:hAnsi="黑体"/>
          <w:szCs w:val="22"/>
          <w:highlight w:val="yellow"/>
        </w:rPr>
        <w:t>表11</w:t>
      </w:r>
      <w:r>
        <w:rPr>
          <w:highlight w:val="yellow"/>
        </w:rPr>
        <w:t>换电系统</w:t>
      </w:r>
      <w:r>
        <w:rPr>
          <w:rFonts w:hint="eastAsia"/>
          <w:highlight w:val="yellow"/>
        </w:rPr>
        <w:t>连接状态信号</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额定电压</w:t>
            </w:r>
            <w:r>
              <w:rPr>
                <w:sz w:val="18"/>
                <w:szCs w:val="18"/>
                <w:highlight w:val="yellow"/>
              </w:rPr>
              <w:t>/</w:t>
            </w:r>
            <w:r>
              <w:rPr>
                <w:rFonts w:hint="eastAsia"/>
                <w:sz w:val="18"/>
                <w:szCs w:val="18"/>
                <w:highlight w:val="yellow"/>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highlight w:val="yellow"/>
              </w:rPr>
            </w:pPr>
            <w:r>
              <w:rPr>
                <w:rFonts w:hint="eastAsia"/>
                <w:sz w:val="18"/>
                <w:szCs w:val="18"/>
                <w:highlight w:val="yellow"/>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95" w:type="dxa"/>
            <w:tcBorders>
              <w:top w:val="single" w:color="auto" w:sz="8"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LCK1</w:t>
            </w:r>
            <w:r>
              <w:rPr>
                <w:rFonts w:hint="eastAsia"/>
                <w:sz w:val="18"/>
                <w:szCs w:val="18"/>
                <w:highlight w:val="yellow"/>
              </w:rPr>
              <w:t>+</w:t>
            </w:r>
          </w:p>
        </w:tc>
        <w:tc>
          <w:tcPr>
            <w:tcW w:w="1748" w:type="dxa"/>
            <w:tcBorders>
              <w:top w:val="single" w:color="auto" w:sz="8"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8"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锁止状态反馈</w:t>
            </w:r>
            <w:r>
              <w:rPr>
                <w:rFonts w:hint="eastAsia"/>
                <w:sz w:val="18"/>
                <w:szCs w:val="18"/>
                <w:highlight w:val="yellow"/>
              </w:rPr>
              <w:t>1，</w:t>
            </w:r>
            <w:r>
              <w:rPr>
                <w:sz w:val="18"/>
                <w:szCs w:val="18"/>
                <w:highlight w:val="yellow"/>
              </w:rPr>
              <w:t>用于反馈换电机构的锁止状态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Rel1+</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松脱状态反馈</w:t>
            </w:r>
            <w:r>
              <w:rPr>
                <w:rFonts w:hint="eastAsia"/>
                <w:sz w:val="18"/>
                <w:szCs w:val="18"/>
                <w:highlight w:val="yellow"/>
              </w:rPr>
              <w:t>1，</w:t>
            </w:r>
            <w:r>
              <w:rPr>
                <w:sz w:val="18"/>
                <w:szCs w:val="18"/>
                <w:highlight w:val="yellow"/>
              </w:rPr>
              <w:t>用于反馈</w:t>
            </w:r>
            <w:r>
              <w:rPr>
                <w:rFonts w:hint="eastAsia"/>
                <w:sz w:val="18"/>
                <w:szCs w:val="18"/>
                <w:highlight w:val="yellow"/>
              </w:rPr>
              <w:t>换电</w:t>
            </w:r>
            <w:r>
              <w:rPr>
                <w:sz w:val="18"/>
                <w:szCs w:val="18"/>
                <w:highlight w:val="yellow"/>
              </w:rPr>
              <w:t>机构的</w:t>
            </w:r>
            <w:r>
              <w:rPr>
                <w:rFonts w:hint="eastAsia"/>
                <w:sz w:val="18"/>
                <w:szCs w:val="18"/>
                <w:highlight w:val="yellow"/>
              </w:rPr>
              <w:t>松脱</w:t>
            </w:r>
            <w:r>
              <w:rPr>
                <w:sz w:val="18"/>
                <w:szCs w:val="18"/>
                <w:highlight w:val="yellow"/>
              </w:rPr>
              <w:t>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LCK2</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锁止状态反馈</w:t>
            </w:r>
            <w:r>
              <w:rPr>
                <w:rFonts w:hint="eastAsia"/>
                <w:sz w:val="18"/>
                <w:szCs w:val="18"/>
                <w:highlight w:val="yellow"/>
              </w:rPr>
              <w:t>2，</w:t>
            </w:r>
            <w:r>
              <w:rPr>
                <w:sz w:val="18"/>
                <w:szCs w:val="18"/>
                <w:highlight w:val="yellow"/>
              </w:rPr>
              <w:t>用于反馈换电机构的锁止状态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Rel2+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松脱状态反馈</w:t>
            </w:r>
            <w:r>
              <w:rPr>
                <w:rFonts w:hint="eastAsia"/>
                <w:sz w:val="18"/>
                <w:szCs w:val="18"/>
                <w:highlight w:val="yellow"/>
              </w:rPr>
              <w:t>2，</w:t>
            </w:r>
            <w:r>
              <w:rPr>
                <w:sz w:val="18"/>
                <w:szCs w:val="18"/>
                <w:highlight w:val="yellow"/>
              </w:rPr>
              <w:t>用于反馈</w:t>
            </w:r>
            <w:r>
              <w:rPr>
                <w:rFonts w:hint="eastAsia"/>
                <w:sz w:val="18"/>
                <w:szCs w:val="18"/>
                <w:highlight w:val="yellow"/>
              </w:rPr>
              <w:t>换电</w:t>
            </w:r>
            <w:r>
              <w:rPr>
                <w:sz w:val="18"/>
                <w:szCs w:val="18"/>
                <w:highlight w:val="yellow"/>
              </w:rPr>
              <w:t>机构的</w:t>
            </w:r>
            <w:r>
              <w:rPr>
                <w:rFonts w:hint="eastAsia"/>
                <w:sz w:val="18"/>
                <w:szCs w:val="18"/>
                <w:highlight w:val="yellow"/>
              </w:rPr>
              <w:t>松脱</w:t>
            </w:r>
            <w:r>
              <w:rPr>
                <w:sz w:val="18"/>
                <w:szCs w:val="18"/>
                <w:highlight w:val="yellow"/>
              </w:rPr>
              <w:t>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rFonts w:hint="eastAsia"/>
                <w:sz w:val="18"/>
                <w:szCs w:val="18"/>
                <w:highlight w:val="yellow"/>
              </w:rPr>
              <w:t>G</w:t>
            </w:r>
            <w:r>
              <w:rPr>
                <w:sz w:val="18"/>
                <w:szCs w:val="18"/>
                <w:highlight w:val="yellow"/>
              </w:rPr>
              <w:t>ND</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公共地或与车辆低压电平台地连接</w:t>
            </w:r>
          </w:p>
        </w:tc>
      </w:tr>
    </w:tbl>
    <w:p>
      <w:pPr>
        <w:pStyle w:val="48"/>
        <w:numPr>
          <w:ilvl w:val="0"/>
          <w:numId w:val="0"/>
        </w:numPr>
        <w:tabs>
          <w:tab w:val="left" w:pos="330"/>
        </w:tabs>
        <w:spacing w:before="156" w:after="156"/>
        <w:rPr>
          <w:rFonts w:hAnsi="黑体"/>
          <w:szCs w:val="22"/>
          <w:highlight w:val="yellow"/>
        </w:rPr>
      </w:pPr>
      <w:r>
        <w:rPr>
          <w:rFonts w:hint="eastAsia" w:hAnsi="黑体"/>
          <w:szCs w:val="22"/>
          <w:highlight w:val="yellow"/>
        </w:rPr>
        <w:t>表12</w:t>
      </w:r>
      <w:r>
        <w:rPr>
          <w:highlight w:val="yellow"/>
        </w:rPr>
        <w:t>功率端子温度检测信</w:t>
      </w:r>
      <w:r>
        <w:rPr>
          <w:rFonts w:hint="eastAsia"/>
          <w:highlight w:val="yellow"/>
        </w:rPr>
        <w:t>号</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748"/>
        <w:gridCol w:w="4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触头编号/标识</w:t>
            </w:r>
          </w:p>
        </w:tc>
        <w:tc>
          <w:tcPr>
            <w:tcW w:w="1748" w:type="dxa"/>
            <w:tcBorders>
              <w:top w:val="single" w:color="auto" w:sz="8" w:space="0"/>
              <w:left w:val="single" w:color="auto" w:sz="4" w:space="0"/>
              <w:bottom w:val="single" w:color="auto" w:sz="8" w:space="0"/>
              <w:right w:val="single" w:color="auto" w:sz="4" w:space="0"/>
            </w:tcBorders>
            <w:vAlign w:val="center"/>
          </w:tcPr>
          <w:p>
            <w:pPr>
              <w:jc w:val="center"/>
              <w:rPr>
                <w:sz w:val="18"/>
                <w:szCs w:val="18"/>
                <w:highlight w:val="yellow"/>
              </w:rPr>
            </w:pPr>
            <w:r>
              <w:rPr>
                <w:rFonts w:hint="eastAsia"/>
                <w:sz w:val="18"/>
                <w:szCs w:val="18"/>
                <w:highlight w:val="yellow"/>
              </w:rPr>
              <w:t>额定电压</w:t>
            </w:r>
            <w:r>
              <w:rPr>
                <w:sz w:val="18"/>
                <w:szCs w:val="18"/>
                <w:highlight w:val="yellow"/>
              </w:rPr>
              <w:t>/</w:t>
            </w:r>
            <w:r>
              <w:rPr>
                <w:rFonts w:hint="eastAsia"/>
                <w:sz w:val="18"/>
                <w:szCs w:val="18"/>
                <w:highlight w:val="yellow"/>
              </w:rPr>
              <w:t>电流</w:t>
            </w:r>
          </w:p>
        </w:tc>
        <w:tc>
          <w:tcPr>
            <w:tcW w:w="4879" w:type="dxa"/>
            <w:tcBorders>
              <w:top w:val="single" w:color="auto" w:sz="8" w:space="0"/>
              <w:left w:val="single" w:color="auto" w:sz="4" w:space="0"/>
              <w:bottom w:val="single" w:color="auto" w:sz="8" w:space="0"/>
              <w:right w:val="single" w:color="auto" w:sz="12" w:space="0"/>
            </w:tcBorders>
            <w:vAlign w:val="center"/>
          </w:tcPr>
          <w:p>
            <w:pPr>
              <w:jc w:val="center"/>
              <w:rPr>
                <w:sz w:val="18"/>
                <w:szCs w:val="18"/>
                <w:highlight w:val="yellow"/>
              </w:rPr>
            </w:pPr>
            <w:r>
              <w:rPr>
                <w:rFonts w:hint="eastAsia"/>
                <w:sz w:val="18"/>
                <w:szCs w:val="18"/>
                <w:highlight w:val="yellow"/>
              </w:rPr>
              <w:t>功能定义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8"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DCT11</w:t>
            </w:r>
            <w:r>
              <w:rPr>
                <w:rFonts w:hint="eastAsia"/>
                <w:sz w:val="18"/>
                <w:szCs w:val="18"/>
                <w:highlight w:val="yellow"/>
              </w:rPr>
              <w:t>+</w:t>
            </w:r>
          </w:p>
        </w:tc>
        <w:tc>
          <w:tcPr>
            <w:tcW w:w="1748" w:type="dxa"/>
            <w:tcBorders>
              <w:top w:val="single" w:color="auto" w:sz="8"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8"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放电连接器1功率端子1温度检测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DCT12+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放电连接器1功率端子2温度检测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D</w:t>
            </w:r>
            <w:r>
              <w:rPr>
                <w:sz w:val="18"/>
                <w:szCs w:val="18"/>
                <w:highlight w:val="yellow"/>
              </w:rPr>
              <w:t>CT13+</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放电连接器1功率端子3温度检测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D</w:t>
            </w:r>
            <w:r>
              <w:rPr>
                <w:sz w:val="18"/>
                <w:szCs w:val="18"/>
                <w:highlight w:val="yellow"/>
              </w:rPr>
              <w:t>CT14+</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放电连接器1功率端子1温度检测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CT11</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充电连接器1功率端子1温度检测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CT12</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充电连接器1功率端子</w:t>
            </w:r>
            <w:r>
              <w:rPr>
                <w:sz w:val="18"/>
                <w:szCs w:val="18"/>
                <w:highlight w:val="yellow"/>
              </w:rPr>
              <w:t>2</w:t>
            </w:r>
            <w:r>
              <w:rPr>
                <w:rFonts w:hint="eastAsia"/>
                <w:sz w:val="18"/>
                <w:szCs w:val="18"/>
                <w:highlight w:val="yellow"/>
              </w:rPr>
              <w:t>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CT13</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充电连接器1功率端子</w:t>
            </w:r>
            <w:r>
              <w:rPr>
                <w:sz w:val="18"/>
                <w:szCs w:val="18"/>
                <w:highlight w:val="yellow"/>
              </w:rPr>
              <w:t>3</w:t>
            </w:r>
            <w:r>
              <w:rPr>
                <w:rFonts w:hint="eastAsia"/>
                <w:sz w:val="18"/>
                <w:szCs w:val="18"/>
                <w:highlight w:val="yellow"/>
              </w:rPr>
              <w:t>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C</w:t>
            </w:r>
            <w:r>
              <w:rPr>
                <w:sz w:val="18"/>
                <w:szCs w:val="18"/>
                <w:highlight w:val="yellow"/>
              </w:rPr>
              <w:t>CT14</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充电连接器1功率端子</w:t>
            </w:r>
            <w:r>
              <w:rPr>
                <w:sz w:val="18"/>
                <w:szCs w:val="18"/>
                <w:highlight w:val="yellow"/>
              </w:rPr>
              <w:t>4</w:t>
            </w:r>
            <w:r>
              <w:rPr>
                <w:rFonts w:hint="eastAsia"/>
                <w:sz w:val="18"/>
                <w:szCs w:val="18"/>
                <w:highlight w:val="yellow"/>
              </w:rPr>
              <w:t>温度检测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rFonts w:hint="eastAsia"/>
                <w:sz w:val="18"/>
                <w:szCs w:val="18"/>
                <w:highlight w:val="yellow"/>
              </w:rPr>
              <w:t>…</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rFonts w:hint="eastAsia"/>
                <w:sz w:val="18"/>
                <w:szCs w:val="18"/>
                <w:highlight w:val="yellow"/>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vAlign w:val="center"/>
          </w:tcPr>
          <w:p>
            <w:pPr>
              <w:jc w:val="center"/>
              <w:rPr>
                <w:sz w:val="18"/>
                <w:szCs w:val="18"/>
                <w:highlight w:val="yellow"/>
              </w:rPr>
            </w:pPr>
            <w:r>
              <w:rPr>
                <w:rFonts w:hint="eastAsia"/>
                <w:sz w:val="18"/>
                <w:szCs w:val="18"/>
                <w:highlight w:val="yellow"/>
              </w:rPr>
              <w:t>G</w:t>
            </w:r>
            <w:r>
              <w:rPr>
                <w:sz w:val="18"/>
                <w:szCs w:val="18"/>
                <w:highlight w:val="yellow"/>
              </w:rPr>
              <w:t>ND</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0~30V/20A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highlight w:val="yellow"/>
              </w:rPr>
            </w:pPr>
            <w:r>
              <w:rPr>
                <w:sz w:val="18"/>
                <w:szCs w:val="18"/>
                <w:highlight w:val="yellow"/>
              </w:rPr>
              <w:t>公共地或与车辆低压电平台地连接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tcBorders>
              <w:top w:val="single" w:color="auto" w:sz="4" w:space="0"/>
              <w:left w:val="single" w:color="auto" w:sz="12" w:space="0"/>
              <w:bottom w:val="single" w:color="auto" w:sz="4" w:space="0"/>
              <w:right w:val="single" w:color="auto" w:sz="4" w:space="0"/>
            </w:tcBorders>
          </w:tcPr>
          <w:p>
            <w:pPr>
              <w:jc w:val="center"/>
              <w:rPr>
                <w:sz w:val="18"/>
                <w:szCs w:val="18"/>
                <w:highlight w:val="yellow"/>
              </w:rPr>
            </w:pPr>
            <w:r>
              <w:rPr>
                <w:sz w:val="18"/>
                <w:szCs w:val="18"/>
                <w:highlight w:val="yellow"/>
              </w:rPr>
              <w:t>DCT11</w:t>
            </w:r>
            <w:r>
              <w:rPr>
                <w:rFonts w:hint="eastAsia"/>
                <w:sz w:val="18"/>
                <w:szCs w:val="18"/>
                <w:highlight w:val="yellow"/>
              </w:rPr>
              <w:t>+</w:t>
            </w:r>
          </w:p>
        </w:tc>
        <w:tc>
          <w:tcPr>
            <w:tcW w:w="1748" w:type="dxa"/>
            <w:tcBorders>
              <w:top w:val="single" w:color="auto" w:sz="4" w:space="0"/>
              <w:left w:val="single" w:color="auto" w:sz="4" w:space="0"/>
              <w:bottom w:val="single" w:color="auto" w:sz="4" w:space="0"/>
              <w:right w:val="single" w:color="auto" w:sz="4" w:space="0"/>
            </w:tcBorders>
          </w:tcPr>
          <w:p>
            <w:pPr>
              <w:jc w:val="center"/>
              <w:rPr>
                <w:sz w:val="18"/>
                <w:szCs w:val="18"/>
                <w:highlight w:val="yellow"/>
              </w:rPr>
            </w:pPr>
            <w:r>
              <w:rPr>
                <w:sz w:val="18"/>
                <w:szCs w:val="18"/>
                <w:highlight w:val="yellow"/>
              </w:rPr>
              <w:t>0~30V/2A</w:t>
            </w:r>
          </w:p>
        </w:tc>
        <w:tc>
          <w:tcPr>
            <w:tcW w:w="4879" w:type="dxa"/>
            <w:tcBorders>
              <w:top w:val="single" w:color="auto" w:sz="4" w:space="0"/>
              <w:left w:val="single" w:color="auto" w:sz="4" w:space="0"/>
              <w:bottom w:val="single" w:color="auto" w:sz="4" w:space="0"/>
              <w:right w:val="single" w:color="auto" w:sz="12" w:space="0"/>
            </w:tcBorders>
          </w:tcPr>
          <w:p>
            <w:pPr>
              <w:jc w:val="center"/>
              <w:rPr>
                <w:sz w:val="18"/>
                <w:szCs w:val="18"/>
              </w:rPr>
            </w:pPr>
            <w:r>
              <w:rPr>
                <w:rFonts w:hint="eastAsia"/>
                <w:sz w:val="18"/>
                <w:szCs w:val="18"/>
                <w:highlight w:val="yellow"/>
              </w:rPr>
              <w:t>放电连接器1功率端子1温度检测</w:t>
            </w:r>
          </w:p>
        </w:tc>
      </w:tr>
    </w:tbl>
    <w:p>
      <w:pPr>
        <w:pStyle w:val="33"/>
        <w:spacing w:before="156" w:after="156"/>
      </w:pPr>
      <w:bookmarkStart w:id="51" w:name="_Toc98696229"/>
      <w:r>
        <w:rPr>
          <w:rFonts w:hint="eastAsia"/>
        </w:rPr>
        <w:t>换电连接器界面尺寸</w:t>
      </w:r>
      <w:bookmarkEnd w:id="51"/>
    </w:p>
    <w:p>
      <w:pPr>
        <w:pStyle w:val="30"/>
      </w:pPr>
      <w:r>
        <w:rPr>
          <w:rFonts w:hint="eastAsia"/>
        </w:rPr>
        <w:t>换电连接器界面尺寸应符合附录</w:t>
      </w:r>
      <w:r>
        <w:t>A</w:t>
      </w:r>
      <w:r>
        <w:rPr>
          <w:rFonts w:hint="eastAsia"/>
        </w:rPr>
        <w:t>的规定</w:t>
      </w:r>
    </w:p>
    <w:p>
      <w:pPr>
        <w:pStyle w:val="33"/>
        <w:spacing w:before="156" w:after="156"/>
      </w:pPr>
      <w:bookmarkStart w:id="52" w:name="_Toc98696230"/>
      <w:r>
        <w:rPr>
          <w:rFonts w:hint="eastAsia"/>
        </w:rPr>
        <w:t>机械性能</w:t>
      </w:r>
      <w:bookmarkEnd w:id="52"/>
    </w:p>
    <w:p>
      <w:pPr>
        <w:pStyle w:val="41"/>
        <w:spacing w:before="156" w:after="156"/>
      </w:pPr>
      <w:r>
        <w:rPr>
          <w:rFonts w:hint="eastAsia"/>
        </w:rPr>
        <w:t>外观</w:t>
      </w:r>
    </w:p>
    <w:p>
      <w:pPr>
        <w:pStyle w:val="30"/>
      </w:pPr>
      <w:r>
        <w:rPr>
          <w:rFonts w:hint="eastAsia"/>
        </w:rPr>
        <w:t>换电连接器外观无裂纹、毛刺和其它机械损伤，具有防呆设计。</w:t>
      </w:r>
    </w:p>
    <w:p>
      <w:pPr>
        <w:pStyle w:val="41"/>
        <w:spacing w:before="156" w:after="156"/>
        <w:rPr>
          <w:rFonts w:cs="黑体"/>
        </w:rPr>
      </w:pPr>
      <w:r>
        <w:rPr>
          <w:rFonts w:hint="eastAsia" w:cs="黑体"/>
        </w:rPr>
        <w:t>导向浮动</w:t>
      </w:r>
    </w:p>
    <w:p>
      <w:pPr>
        <w:pStyle w:val="30"/>
      </w:pPr>
      <w:r>
        <w:rPr>
          <w:rFonts w:hint="eastAsia"/>
        </w:rPr>
        <w:t>导向机构轴向应能修正不小于2°的角度偏差，垂直换电</w:t>
      </w:r>
      <w:r>
        <w:t>X/Y</w:t>
      </w:r>
      <w:r>
        <w:rPr>
          <w:rFonts w:hint="eastAsia"/>
        </w:rPr>
        <w:t>向浮动不小于±5</w:t>
      </w:r>
      <w:r>
        <w:t xml:space="preserve"> mm</w:t>
      </w:r>
      <w:r>
        <w:rPr>
          <w:rFonts w:hint="eastAsia"/>
        </w:rPr>
        <w:t>，Z向浮动+0/-10</w:t>
      </w:r>
      <w:r>
        <w:t xml:space="preserve"> </w:t>
      </w:r>
      <w:r>
        <w:rPr>
          <w:rFonts w:hint="eastAsia"/>
        </w:rPr>
        <w:t>mm。</w:t>
      </w:r>
    </w:p>
    <w:p>
      <w:pPr>
        <w:pStyle w:val="41"/>
        <w:spacing w:before="156" w:after="156"/>
        <w:rPr>
          <w:rFonts w:cs="黑体"/>
        </w:rPr>
      </w:pPr>
      <w:r>
        <w:rPr>
          <w:rFonts w:hint="eastAsia" w:cs="黑体"/>
        </w:rPr>
        <w:t>插拔力</w:t>
      </w:r>
    </w:p>
    <w:p>
      <w:pPr>
        <w:pStyle w:val="30"/>
      </w:pPr>
      <w:r>
        <w:rPr>
          <w:rFonts w:hint="eastAsia"/>
        </w:rPr>
        <w:t>换电连接器耦合和脱开全过程的插拔力不应大于35</w:t>
      </w:r>
      <w:r>
        <w:t>0 N</w:t>
      </w:r>
      <w:r>
        <w:rPr>
          <w:rFonts w:hint="eastAsia"/>
        </w:rPr>
        <w:t>。</w:t>
      </w:r>
    </w:p>
    <w:p>
      <w:pPr>
        <w:pStyle w:val="41"/>
        <w:spacing w:before="156" w:after="156"/>
        <w:rPr>
          <w:rFonts w:cs="黑体"/>
        </w:rPr>
      </w:pPr>
      <w:r>
        <w:rPr>
          <w:rFonts w:hint="eastAsia" w:cs="黑体"/>
        </w:rPr>
        <w:t>接地</w:t>
      </w:r>
    </w:p>
    <w:p>
      <w:pPr>
        <w:pStyle w:val="30"/>
      </w:pPr>
      <w:r>
        <w:rPr>
          <w:rFonts w:hint="eastAsia"/>
        </w:rPr>
        <w:t xml:space="preserve">具备接地设计，换电连接器的接地保护应符合 </w:t>
      </w:r>
      <w:r>
        <w:t xml:space="preserve">GB/T 11918.1 </w:t>
      </w:r>
      <w:r>
        <w:rPr>
          <w:rFonts w:hint="eastAsia"/>
        </w:rPr>
        <w:t>中要求。</w:t>
      </w:r>
    </w:p>
    <w:p>
      <w:pPr>
        <w:pStyle w:val="41"/>
        <w:spacing w:before="156" w:after="156"/>
        <w:rPr>
          <w:rFonts w:cs="黑体"/>
        </w:rPr>
      </w:pPr>
      <w:r>
        <w:rPr>
          <w:rFonts w:hint="eastAsia" w:cs="黑体"/>
        </w:rPr>
        <w:t>防护等级</w:t>
      </w:r>
    </w:p>
    <w:p>
      <w:pPr>
        <w:pStyle w:val="30"/>
      </w:pPr>
      <w:r>
        <w:rPr>
          <w:rFonts w:hint="eastAsia"/>
        </w:rPr>
        <w:t>换电连接器插头和插座耦合后应满足</w:t>
      </w:r>
      <w:r>
        <w:t>IP</w:t>
      </w:r>
      <w:r>
        <w:rPr>
          <w:rFonts w:hint="eastAsia"/>
        </w:rPr>
        <w:t>6</w:t>
      </w:r>
      <w:r>
        <w:t>7&amp;IP</w:t>
      </w:r>
      <w:r>
        <w:rPr>
          <w:rFonts w:hint="eastAsia"/>
        </w:rPr>
        <w:t>6K</w:t>
      </w:r>
      <w:r>
        <w:t>9K</w:t>
      </w:r>
      <w:r>
        <w:rPr>
          <w:rFonts w:hint="eastAsia"/>
        </w:rPr>
        <w:t>；换电连接器插头和插座脱开后，换电电池箱端防护等级应满足IPX7的要求；高压带电部件应满足</w:t>
      </w:r>
      <w:r>
        <w:t>IPXXB</w:t>
      </w:r>
      <w:r>
        <w:rPr>
          <w:rFonts w:hint="eastAsia"/>
        </w:rPr>
        <w:t>的要求。</w:t>
      </w:r>
    </w:p>
    <w:p>
      <w:pPr>
        <w:pStyle w:val="41"/>
        <w:spacing w:before="156" w:after="156"/>
        <w:rPr>
          <w:rFonts w:cs="黑体"/>
        </w:rPr>
      </w:pPr>
      <w:r>
        <w:rPr>
          <w:rFonts w:hint="eastAsia" w:cs="黑体"/>
        </w:rPr>
        <w:t>机械强度</w:t>
      </w:r>
    </w:p>
    <w:p>
      <w:pPr>
        <w:pStyle w:val="30"/>
      </w:pPr>
      <w:r>
        <w:rPr>
          <w:rFonts w:hint="eastAsia"/>
        </w:rPr>
        <w:t xml:space="preserve">换电连接器的机械强度按照 </w:t>
      </w:r>
      <w:r>
        <w:rPr>
          <w:rFonts w:hint="eastAsia" w:cs="宋体"/>
          <w:szCs w:val="21"/>
        </w:rPr>
        <w:t>GB/T 11918.1</w:t>
      </w:r>
      <w:r>
        <w:rPr>
          <w:rFonts w:cs="宋体"/>
          <w:szCs w:val="21"/>
        </w:rPr>
        <w:t xml:space="preserve"> </w:t>
      </w:r>
      <w:r>
        <w:rPr>
          <w:rFonts w:hint="eastAsia" w:cs="宋体"/>
          <w:szCs w:val="21"/>
        </w:rPr>
        <w:t>中</w:t>
      </w:r>
      <w:r>
        <w:rPr>
          <w:rFonts w:hint="eastAsia"/>
        </w:rPr>
        <w:t>要求进行试验，试验后不得出现损坏、零件分离或松脱，防护等级应满足本标准4.6.5要求。</w:t>
      </w:r>
    </w:p>
    <w:p>
      <w:pPr>
        <w:pStyle w:val="41"/>
        <w:spacing w:before="156" w:after="156"/>
        <w:rPr>
          <w:rFonts w:cs="黑体"/>
        </w:rPr>
      </w:pPr>
      <w:r>
        <w:rPr>
          <w:rFonts w:hint="eastAsia" w:cs="黑体"/>
        </w:rPr>
        <w:t>振动冲击</w:t>
      </w:r>
    </w:p>
    <w:p>
      <w:pPr>
        <w:pStyle w:val="30"/>
      </w:pPr>
      <w:r>
        <w:rPr>
          <w:rFonts w:hint="eastAsia"/>
        </w:rPr>
        <w:t>换电连接器的振动冲击</w:t>
      </w:r>
      <w:r>
        <w:rPr>
          <w:rFonts w:hint="eastAsia" w:hAnsi="宋体" w:cs="宋体"/>
          <w:color w:val="000000"/>
          <w:szCs w:val="21"/>
        </w:rPr>
        <w:t>按照 GB/T 28046.3</w:t>
      </w:r>
      <w:r>
        <w:rPr>
          <w:rFonts w:hAnsi="宋体" w:cs="宋体"/>
          <w:color w:val="000000"/>
          <w:szCs w:val="21"/>
        </w:rPr>
        <w:t xml:space="preserve"> </w:t>
      </w:r>
      <w:r>
        <w:rPr>
          <w:rFonts w:hint="eastAsia" w:hAnsi="宋体" w:cs="宋体"/>
          <w:color w:val="000000"/>
          <w:szCs w:val="21"/>
        </w:rPr>
        <w:t>中</w:t>
      </w:r>
      <w:r>
        <w:rPr>
          <w:rFonts w:hint="eastAsia"/>
        </w:rPr>
        <w:t>要求进行试验，试验后产品无零件脱落、破损、开裂等影响产品功能的缺陷，高压和低压触头在电路连续性测试中接触电阻大于</w:t>
      </w:r>
      <w:r>
        <w:t xml:space="preserve">7 </w:t>
      </w:r>
      <w:r>
        <w:rPr>
          <w:rFonts w:hint="eastAsia"/>
        </w:rPr>
        <w:t>Ω的时间应不超过</w:t>
      </w:r>
      <w:r>
        <w:t xml:space="preserve">1 </w:t>
      </w:r>
      <w:r>
        <w:rPr>
          <w:rFonts w:hint="eastAsia"/>
        </w:rPr>
        <w:t>μ</w:t>
      </w:r>
      <w:r>
        <w:t>s</w:t>
      </w:r>
      <w:r>
        <w:rPr>
          <w:rFonts w:hint="eastAsia"/>
        </w:rPr>
        <w:t>，绝缘电阻应满足本标准</w:t>
      </w:r>
      <w:r>
        <w:t>4.</w:t>
      </w:r>
      <w:r>
        <w:rPr>
          <w:rFonts w:hint="eastAsia"/>
        </w:rPr>
        <w:t>7</w:t>
      </w:r>
      <w:r>
        <w:t>.1</w:t>
      </w:r>
      <w:r>
        <w:rPr>
          <w:rFonts w:hint="eastAsia"/>
        </w:rPr>
        <w:t>要求，介电强度应满足本标准</w:t>
      </w:r>
      <w:r>
        <w:t>4.</w:t>
      </w:r>
      <w:r>
        <w:rPr>
          <w:rFonts w:hint="eastAsia"/>
        </w:rPr>
        <w:t>7</w:t>
      </w:r>
      <w:r>
        <w:t>.2</w:t>
      </w:r>
      <w:r>
        <w:rPr>
          <w:rFonts w:hint="eastAsia"/>
        </w:rPr>
        <w:t>要求，防护等级应满足本标准4.6.5要求。</w:t>
      </w:r>
    </w:p>
    <w:p>
      <w:pPr>
        <w:pStyle w:val="41"/>
        <w:spacing w:before="156" w:after="156"/>
        <w:rPr>
          <w:rFonts w:cs="黑体"/>
        </w:rPr>
      </w:pPr>
      <w:r>
        <w:rPr>
          <w:rFonts w:hint="eastAsia" w:cs="黑体"/>
        </w:rPr>
        <w:t>机械寿命</w:t>
      </w:r>
    </w:p>
    <w:p>
      <w:pPr>
        <w:pStyle w:val="30"/>
      </w:pPr>
      <w:r>
        <w:rPr>
          <w:rFonts w:hint="eastAsia"/>
        </w:rPr>
        <w:t>换电连接器的插拔寿命应不低于</w:t>
      </w:r>
      <w:r>
        <w:t xml:space="preserve">10000 </w:t>
      </w:r>
      <w:r>
        <w:rPr>
          <w:rFonts w:hint="eastAsia"/>
        </w:rPr>
        <w:t xml:space="preserve">次，按照 </w:t>
      </w:r>
      <w:r>
        <w:rPr>
          <w:rFonts w:hint="eastAsia" w:cs="宋体"/>
          <w:szCs w:val="21"/>
        </w:rPr>
        <w:t>GB/T 32879</w:t>
      </w:r>
      <w:r>
        <w:rPr>
          <w:rFonts w:cs="宋体"/>
          <w:szCs w:val="21"/>
        </w:rPr>
        <w:t xml:space="preserve"> </w:t>
      </w:r>
      <w:r>
        <w:rPr>
          <w:rFonts w:hint="eastAsia" w:cs="宋体"/>
          <w:szCs w:val="21"/>
        </w:rPr>
        <w:t>中</w:t>
      </w:r>
      <w:r>
        <w:rPr>
          <w:rFonts w:hint="eastAsia"/>
        </w:rPr>
        <w:t>要求进行试验后，换电连接器电气及机械连接无松脱，密封应满足</w:t>
      </w:r>
      <w:r>
        <w:t>IP</w:t>
      </w:r>
      <w:r>
        <w:rPr>
          <w:rFonts w:hint="eastAsia"/>
        </w:rPr>
        <w:t>6</w:t>
      </w:r>
      <w:r>
        <w:t>7&amp;IP</w:t>
      </w:r>
      <w:r>
        <w:rPr>
          <w:rFonts w:hint="eastAsia"/>
        </w:rPr>
        <w:t>6K</w:t>
      </w:r>
      <w:r>
        <w:t>9K</w:t>
      </w:r>
      <w:r>
        <w:rPr>
          <w:rFonts w:hint="eastAsia"/>
        </w:rPr>
        <w:t>等级要求。</w:t>
      </w:r>
    </w:p>
    <w:p>
      <w:pPr>
        <w:pStyle w:val="33"/>
        <w:spacing w:before="156" w:after="156"/>
      </w:pPr>
      <w:bookmarkStart w:id="53" w:name="_Toc98696231"/>
      <w:r>
        <w:rPr>
          <w:rFonts w:hint="eastAsia"/>
        </w:rPr>
        <w:t>电气性能</w:t>
      </w:r>
      <w:bookmarkEnd w:id="53"/>
    </w:p>
    <w:p>
      <w:pPr>
        <w:pStyle w:val="41"/>
        <w:spacing w:before="156" w:after="156"/>
        <w:rPr>
          <w:rFonts w:cs="黑体"/>
        </w:rPr>
      </w:pPr>
      <w:r>
        <w:rPr>
          <w:rFonts w:hint="eastAsia" w:cs="黑体"/>
        </w:rPr>
        <w:t>绝缘电阻</w:t>
      </w:r>
    </w:p>
    <w:p>
      <w:pPr>
        <w:pStyle w:val="30"/>
      </w:pPr>
      <w:r>
        <w:rPr>
          <w:rFonts w:hint="eastAsia" w:cs="宋体"/>
          <w:szCs w:val="21"/>
        </w:rPr>
        <w:t>绝缘电阻应符合 GB/T 37133</w:t>
      </w:r>
      <w:r>
        <w:rPr>
          <w:rFonts w:cs="宋体"/>
          <w:szCs w:val="21"/>
        </w:rPr>
        <w:t xml:space="preserve"> </w:t>
      </w:r>
      <w:r>
        <w:rPr>
          <w:rFonts w:hint="eastAsia" w:cs="宋体"/>
          <w:szCs w:val="21"/>
        </w:rPr>
        <w:t>中</w:t>
      </w:r>
      <w:r>
        <w:rPr>
          <w:rFonts w:hint="eastAsia"/>
        </w:rPr>
        <w:t>要求，高压连接系统导体与导体之间、导体与外壳之间、导体与屏蔽层之间的绝缘电阻应不小于</w:t>
      </w:r>
      <w:r>
        <w:t>100 M</w:t>
      </w:r>
      <w:r>
        <w:rPr>
          <w:rFonts w:hint="eastAsia"/>
        </w:rPr>
        <w:t>Ω。</w:t>
      </w:r>
    </w:p>
    <w:p>
      <w:pPr>
        <w:pStyle w:val="41"/>
        <w:spacing w:before="156" w:after="156"/>
        <w:rPr>
          <w:rFonts w:cs="黑体"/>
        </w:rPr>
      </w:pPr>
      <w:r>
        <w:rPr>
          <w:rFonts w:hint="eastAsia" w:cs="黑体"/>
        </w:rPr>
        <w:t>介电强度</w:t>
      </w:r>
    </w:p>
    <w:p>
      <w:pPr>
        <w:pStyle w:val="30"/>
      </w:pPr>
      <w:r>
        <w:rPr>
          <w:rFonts w:hint="eastAsia" w:cs="宋体"/>
          <w:szCs w:val="21"/>
        </w:rPr>
        <w:t>按照 GB/T 11918.1</w:t>
      </w:r>
      <w:r>
        <w:rPr>
          <w:rFonts w:cs="宋体"/>
          <w:szCs w:val="21"/>
        </w:rPr>
        <w:t xml:space="preserve"> </w:t>
      </w:r>
      <w:r>
        <w:rPr>
          <w:rFonts w:hint="eastAsia" w:cs="宋体"/>
          <w:szCs w:val="21"/>
        </w:rPr>
        <w:t>中</w:t>
      </w:r>
      <w:r>
        <w:rPr>
          <w:rFonts w:hint="eastAsia"/>
        </w:rPr>
        <w:t>要求进行试验，漏电流≤</w:t>
      </w:r>
      <w:r>
        <w:t>5 mA</w:t>
      </w:r>
      <w:r>
        <w:rPr>
          <w:rFonts w:hint="eastAsia"/>
        </w:rPr>
        <w:t>。</w:t>
      </w:r>
    </w:p>
    <w:p>
      <w:pPr>
        <w:pStyle w:val="41"/>
        <w:spacing w:before="156" w:after="156"/>
        <w:rPr>
          <w:rFonts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接触电阻</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正常条件：功率接触对：≤</w:t>
      </w:r>
      <w:r>
        <w:rPr>
          <w:color w:val="000000" w:themeColor="text1"/>
          <w14:textFill>
            <w14:solidFill>
              <w14:schemeClr w14:val="tx1"/>
            </w14:solidFill>
          </w14:textFill>
        </w:rPr>
        <w:t>0.3 m</w:t>
      </w:r>
      <w:r>
        <w:rPr>
          <w:rFonts w:hint="eastAsia"/>
          <w:color w:val="000000" w:themeColor="text1"/>
          <w14:textFill>
            <w14:solidFill>
              <w14:schemeClr w14:val="tx1"/>
            </w14:solidFill>
          </w14:textFill>
        </w:rPr>
        <w:t>Ω、信号接触对：≤</w:t>
      </w:r>
      <w:r>
        <w:rPr>
          <w:color w:val="000000" w:themeColor="text1"/>
          <w14:textFill>
            <w14:solidFill>
              <w14:schemeClr w14:val="tx1"/>
            </w14:solidFill>
          </w14:textFill>
        </w:rPr>
        <w:t>5 m</w:t>
      </w:r>
      <w:r>
        <w:rPr>
          <w:rFonts w:hint="eastAsia"/>
          <w:color w:val="000000" w:themeColor="text1"/>
          <w14:textFill>
            <w14:solidFill>
              <w14:schemeClr w14:val="tx1"/>
            </w14:solidFill>
          </w14:textFill>
        </w:rPr>
        <w:t>Ω；振动、冲击、环境老化试验后：高压极柱≤</w:t>
      </w:r>
      <w:r>
        <w:rPr>
          <w:color w:val="000000" w:themeColor="text1"/>
          <w14:textFill>
            <w14:solidFill>
              <w14:schemeClr w14:val="tx1"/>
            </w14:solidFill>
          </w14:textFill>
        </w:rPr>
        <w:t>1 m</w:t>
      </w:r>
      <w:r>
        <w:rPr>
          <w:rFonts w:hint="eastAsia"/>
          <w:color w:val="000000" w:themeColor="text1"/>
          <w14:textFill>
            <w14:solidFill>
              <w14:schemeClr w14:val="tx1"/>
            </w14:solidFill>
          </w14:textFill>
        </w:rPr>
        <w:t>Ω</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；低压极柱≤</w:t>
      </w:r>
      <w:r>
        <w:rPr>
          <w:color w:val="000000" w:themeColor="text1"/>
          <w14:textFill>
            <w14:solidFill>
              <w14:schemeClr w14:val="tx1"/>
            </w14:solidFill>
          </w14:textFill>
        </w:rPr>
        <w:t>10 m</w:t>
      </w:r>
      <w:r>
        <w:rPr>
          <w:rFonts w:hint="eastAsia"/>
          <w:color w:val="000000" w:themeColor="text1"/>
          <w14:textFill>
            <w14:solidFill>
              <w14:schemeClr w14:val="tx1"/>
            </w14:solidFill>
          </w14:textFill>
        </w:rPr>
        <w:t>Ω。</w:t>
      </w:r>
    </w:p>
    <w:p>
      <w:pPr>
        <w:pStyle w:val="41"/>
        <w:spacing w:before="156" w:after="156"/>
        <w:rPr>
          <w:rFonts w:cs="黑体"/>
        </w:rPr>
      </w:pPr>
      <w:r>
        <w:rPr>
          <w:rFonts w:hint="eastAsia" w:cs="黑体"/>
        </w:rPr>
        <w:t>分断能力</w:t>
      </w:r>
    </w:p>
    <w:p>
      <w:pPr>
        <w:pStyle w:val="30"/>
      </w:pPr>
      <w:r>
        <w:rPr>
          <w:rFonts w:hint="eastAsia"/>
        </w:rPr>
        <w:t xml:space="preserve">应符合 </w:t>
      </w:r>
      <w:r>
        <w:t xml:space="preserve">GB/T 11918.1 </w:t>
      </w:r>
      <w:r>
        <w:rPr>
          <w:rFonts w:hint="eastAsia"/>
        </w:rPr>
        <w:t>中要求。</w:t>
      </w:r>
    </w:p>
    <w:p>
      <w:pPr>
        <w:pStyle w:val="41"/>
        <w:spacing w:before="156" w:after="156"/>
        <w:rPr>
          <w:rFonts w:cs="黑体"/>
        </w:rPr>
      </w:pPr>
      <w:r>
        <w:rPr>
          <w:rFonts w:hint="eastAsia" w:cs="黑体"/>
        </w:rPr>
        <w:t>温升</w:t>
      </w:r>
    </w:p>
    <w:p>
      <w:pPr>
        <w:pStyle w:val="30"/>
      </w:pPr>
      <w:r>
        <w:rPr>
          <w:rFonts w:hint="eastAsia"/>
        </w:rPr>
        <w:t xml:space="preserve">按照 </w:t>
      </w:r>
      <w:r>
        <w:t xml:space="preserve">GB/T 11918.1 </w:t>
      </w:r>
      <w:r>
        <w:rPr>
          <w:rFonts w:hint="eastAsia"/>
        </w:rPr>
        <w:t>中要求进行试验，试验后温升不超过</w:t>
      </w:r>
      <w:r>
        <w:t>55K</w:t>
      </w:r>
      <w:r>
        <w:rPr>
          <w:rFonts w:hint="eastAsia"/>
        </w:rPr>
        <w:t>，电气性能应满足本标准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爬电距离和电气间隙</w:t>
      </w:r>
    </w:p>
    <w:p>
      <w:pPr>
        <w:pStyle w:val="30"/>
      </w:pPr>
      <w:r>
        <w:rPr>
          <w:rFonts w:hint="eastAsia"/>
        </w:rPr>
        <w:t xml:space="preserve">爬电距离和电气间隙应符合 </w:t>
      </w:r>
      <w:r>
        <w:t xml:space="preserve">GB/T 11918.1 </w:t>
      </w:r>
      <w:r>
        <w:rPr>
          <w:rFonts w:hint="eastAsia"/>
        </w:rPr>
        <w:t>中要求。</w:t>
      </w:r>
    </w:p>
    <w:p>
      <w:pPr>
        <w:pStyle w:val="41"/>
        <w:spacing w:before="156" w:after="156"/>
        <w:rPr>
          <w:rFonts w:cs="黑体"/>
        </w:rPr>
      </w:pPr>
      <w:r>
        <w:rPr>
          <w:rFonts w:hint="eastAsia" w:cs="黑体"/>
        </w:rPr>
        <w:t>拉脱力</w:t>
      </w:r>
    </w:p>
    <w:p>
      <w:pPr>
        <w:pStyle w:val="30"/>
        <w:ind w:left="105" w:leftChars="50" w:firstLine="315" w:firstLineChars="150"/>
      </w:pPr>
      <w:r>
        <w:rPr>
          <w:rFonts w:hint="eastAsia"/>
        </w:rPr>
        <w:t>换</w:t>
      </w:r>
      <w:r>
        <w:rPr>
          <w:rFonts w:hint="eastAsia"/>
          <w:spacing w:val="-4"/>
        </w:rPr>
        <w:t>电</w:t>
      </w:r>
      <w:r>
        <w:rPr>
          <w:rFonts w:hint="eastAsia"/>
        </w:rPr>
        <w:t>连接器的低压端子与线束压接符合 QC/T 29106 中要求，连接强度应符合 QC/T 29106 中要求。</w:t>
      </w:r>
    </w:p>
    <w:p>
      <w:pPr>
        <w:pStyle w:val="30"/>
        <w:ind w:left="105" w:leftChars="50" w:firstLine="315" w:firstLineChars="150"/>
        <w:rPr>
          <w:color w:val="000000" w:themeColor="text1"/>
          <w14:textFill>
            <w14:solidFill>
              <w14:schemeClr w14:val="tx1"/>
            </w14:solidFill>
          </w14:textFill>
        </w:rPr>
      </w:pPr>
      <w:r>
        <w:rPr>
          <w:rFonts w:hint="eastAsia"/>
        </w:rPr>
        <w:t>换</w:t>
      </w:r>
      <w:r>
        <w:rPr>
          <w:rFonts w:hint="eastAsia"/>
          <w:color w:val="000000" w:themeColor="text1"/>
          <w14:textFill>
            <w14:solidFill>
              <w14:schemeClr w14:val="tx1"/>
            </w14:solidFill>
          </w14:textFill>
        </w:rPr>
        <w:t>电连接器的高压端子与线束压接符合 CSAE 178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中要求，连接强度</w:t>
      </w:r>
      <w:r>
        <w:rPr>
          <w:rFonts w:hint="eastAsia"/>
        </w:rPr>
        <w:t>应</w:t>
      </w:r>
      <w:r>
        <w:rPr>
          <w:rFonts w:hint="eastAsia"/>
          <w:color w:val="000000" w:themeColor="text1"/>
          <w14:textFill>
            <w14:solidFill>
              <w14:schemeClr w14:val="tx1"/>
            </w14:solidFill>
          </w14:textFill>
        </w:rPr>
        <w:t>符合 CSAE 178 中要求。</w:t>
      </w:r>
    </w:p>
    <w:p>
      <w:pPr>
        <w:pStyle w:val="33"/>
        <w:spacing w:before="156" w:after="156"/>
      </w:pPr>
      <w:bookmarkStart w:id="54" w:name="_Toc98696232"/>
      <w:r>
        <w:rPr>
          <w:rFonts w:hint="eastAsia"/>
        </w:rPr>
        <w:t>环境性能</w:t>
      </w:r>
      <w:bookmarkEnd w:id="54"/>
    </w:p>
    <w:p>
      <w:pPr>
        <w:pStyle w:val="41"/>
        <w:spacing w:before="156" w:after="156"/>
        <w:rPr>
          <w:rFonts w:cs="黑体"/>
        </w:rPr>
      </w:pPr>
      <w:r>
        <w:rPr>
          <w:rFonts w:hint="eastAsia" w:cs="黑体"/>
        </w:rPr>
        <w:t>工作环境</w:t>
      </w:r>
    </w:p>
    <w:p>
      <w:pPr>
        <w:pStyle w:val="30"/>
      </w:pPr>
      <w:r>
        <w:rPr>
          <w:rFonts w:hint="eastAsia"/>
        </w:rPr>
        <w:t>在-40 ℃～85 ℃温度环境和</w:t>
      </w:r>
      <w:r>
        <w:rPr>
          <w:rFonts w:hAnsi="宋体" w:cs="宋体"/>
          <w:color w:val="000000" w:themeColor="text1"/>
          <w:szCs w:val="21"/>
          <w14:textFill>
            <w14:solidFill>
              <w14:schemeClr w14:val="tx1"/>
            </w14:solidFill>
          </w14:textFill>
        </w:rPr>
        <w:t>5 %</w:t>
      </w:r>
      <w:r>
        <w:rPr>
          <w:rFonts w:hint="eastAsia" w:hAnsi="宋体" w:cs="宋体"/>
          <w:color w:val="000000" w:themeColor="text1"/>
          <w:sz w:val="24"/>
          <w:szCs w:val="24"/>
          <w14:textFill>
            <w14:solidFill>
              <w14:schemeClr w14:val="tx1"/>
            </w14:solidFill>
          </w14:textFill>
        </w:rPr>
        <w:t>～</w:t>
      </w:r>
      <w:r>
        <w:rPr>
          <w:rFonts w:hAnsi="宋体" w:cs="宋体"/>
          <w:color w:val="000000" w:themeColor="text1"/>
          <w:szCs w:val="21"/>
          <w14:textFill>
            <w14:solidFill>
              <w14:schemeClr w14:val="tx1"/>
            </w14:solidFill>
          </w14:textFill>
        </w:rPr>
        <w:t>95 %相对湿度</w:t>
      </w:r>
      <w:r>
        <w:rPr>
          <w:rFonts w:hint="eastAsia"/>
        </w:rPr>
        <w:t>环境中，换电连接器应能正常工作。</w:t>
      </w:r>
    </w:p>
    <w:p>
      <w:pPr>
        <w:pStyle w:val="41"/>
        <w:spacing w:before="156" w:after="156"/>
      </w:pPr>
      <w:r>
        <w:rPr>
          <w:rFonts w:hint="eastAsia" w:cs="黑体"/>
        </w:rPr>
        <w:t>耐高海拔</w:t>
      </w:r>
    </w:p>
    <w:p>
      <w:pPr>
        <w:pStyle w:val="30"/>
      </w:pPr>
      <w:r>
        <w:rPr>
          <w:rFonts w:hint="eastAsia"/>
        </w:rPr>
        <w:t xml:space="preserve">在海拔4000m或者相同海拔气压以下，换电连接器工作环境温度范围内，换电连接器应能正常工作，满足 </w:t>
      </w:r>
      <w:r>
        <w:t xml:space="preserve">GB/T </w:t>
      </w:r>
      <w:r>
        <w:rPr>
          <w:rFonts w:hint="eastAsia"/>
        </w:rPr>
        <w:t>16935.1</w:t>
      </w:r>
      <w:r>
        <w:t xml:space="preserve"> </w:t>
      </w:r>
      <w:r>
        <w:rPr>
          <w:rFonts w:hint="eastAsia"/>
        </w:rPr>
        <w:t xml:space="preserve">中要求。 </w:t>
      </w:r>
    </w:p>
    <w:p>
      <w:pPr>
        <w:pStyle w:val="41"/>
        <w:spacing w:before="156" w:after="156"/>
        <w:rPr>
          <w:rFonts w:cs="黑体"/>
        </w:rPr>
      </w:pPr>
      <w:r>
        <w:rPr>
          <w:rFonts w:hint="eastAsia" w:cs="黑体"/>
        </w:rPr>
        <w:t>耐低温</w:t>
      </w:r>
    </w:p>
    <w:p>
      <w:pPr>
        <w:pStyle w:val="30"/>
      </w:pPr>
      <w:r>
        <w:rPr>
          <w:rFonts w:hint="eastAsia"/>
        </w:rPr>
        <w:t xml:space="preserve">按照 </w:t>
      </w:r>
      <w:r>
        <w:rPr>
          <w:rFonts w:hint="eastAsia" w:cs="宋体"/>
          <w:szCs w:val="21"/>
        </w:rPr>
        <w:t>QC/T 413</w:t>
      </w:r>
      <w:r>
        <w:rPr>
          <w:rFonts w:cs="宋体"/>
          <w:szCs w:val="21"/>
        </w:rPr>
        <w:t xml:space="preserve"> </w:t>
      </w:r>
      <w:r>
        <w:rPr>
          <w:rFonts w:hint="eastAsia" w:cs="宋体"/>
          <w:szCs w:val="21"/>
        </w:rPr>
        <w:t>中</w:t>
      </w:r>
      <w:r>
        <w:rPr>
          <w:rFonts w:hint="eastAsia"/>
        </w:rPr>
        <w:t>要求进行试验，试验后电性能应满足本标准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耐高温</w:t>
      </w:r>
    </w:p>
    <w:p>
      <w:pPr>
        <w:pStyle w:val="30"/>
      </w:pPr>
      <w:r>
        <w:rPr>
          <w:rFonts w:hint="eastAsia"/>
        </w:rPr>
        <w:t xml:space="preserve">按照 </w:t>
      </w:r>
      <w:r>
        <w:rPr>
          <w:rFonts w:hint="eastAsia" w:cs="宋体"/>
          <w:szCs w:val="21"/>
        </w:rPr>
        <w:t>QC/T 413</w:t>
      </w:r>
      <w:r>
        <w:rPr>
          <w:rFonts w:cs="宋体"/>
          <w:szCs w:val="21"/>
        </w:rPr>
        <w:t xml:space="preserve"> </w:t>
      </w:r>
      <w:r>
        <w:rPr>
          <w:rFonts w:hint="eastAsia" w:cs="宋体"/>
          <w:szCs w:val="21"/>
        </w:rPr>
        <w:t>中</w:t>
      </w:r>
      <w:r>
        <w:rPr>
          <w:rFonts w:hint="eastAsia"/>
        </w:rPr>
        <w:t>要求进行试验，试验后电性能应满足本标准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耐温度冲击</w:t>
      </w:r>
    </w:p>
    <w:p>
      <w:pPr>
        <w:pStyle w:val="30"/>
      </w:pPr>
      <w:r>
        <w:rPr>
          <w:rFonts w:hint="eastAsia"/>
        </w:rPr>
        <w:t xml:space="preserve">按照 </w:t>
      </w:r>
      <w:r>
        <w:rPr>
          <w:rFonts w:hint="eastAsia" w:cs="宋体"/>
          <w:szCs w:val="21"/>
        </w:rPr>
        <w:t>QC/T 413</w:t>
      </w:r>
      <w:r>
        <w:rPr>
          <w:rFonts w:cs="宋体"/>
          <w:szCs w:val="21"/>
        </w:rPr>
        <w:t xml:space="preserve"> </w:t>
      </w:r>
      <w:r>
        <w:rPr>
          <w:rFonts w:hint="eastAsia" w:cs="宋体"/>
          <w:szCs w:val="21"/>
        </w:rPr>
        <w:t>中</w:t>
      </w:r>
      <w:r>
        <w:rPr>
          <w:rFonts w:hint="eastAsia"/>
        </w:rPr>
        <w:t>要求进行试验，试验后电性能应满足本标准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耐温湿度循环</w:t>
      </w:r>
    </w:p>
    <w:p>
      <w:pPr>
        <w:pStyle w:val="30"/>
      </w:pPr>
      <w:r>
        <w:rPr>
          <w:rFonts w:hint="eastAsia"/>
        </w:rPr>
        <w:t xml:space="preserve">按照 </w:t>
      </w:r>
      <w:r>
        <w:rPr>
          <w:rFonts w:hint="eastAsia" w:cs="宋体"/>
          <w:szCs w:val="21"/>
        </w:rPr>
        <w:t>QC/T 413</w:t>
      </w:r>
      <w:r>
        <w:rPr>
          <w:rFonts w:cs="宋体"/>
          <w:szCs w:val="21"/>
        </w:rPr>
        <w:t xml:space="preserve"> </w:t>
      </w:r>
      <w:r>
        <w:rPr>
          <w:rFonts w:hint="eastAsia" w:cs="宋体"/>
          <w:szCs w:val="21"/>
        </w:rPr>
        <w:t>中</w:t>
      </w:r>
      <w:r>
        <w:rPr>
          <w:rFonts w:hint="eastAsia"/>
        </w:rPr>
        <w:t>要求进行试验，试验后电性能应满足本标准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耐老化</w:t>
      </w:r>
    </w:p>
    <w:p>
      <w:pPr>
        <w:pStyle w:val="30"/>
      </w:pPr>
      <w:r>
        <w:rPr>
          <w:rFonts w:hint="eastAsia"/>
        </w:rPr>
        <w:t>按照 QC/T 1067.1 中要求进行试验，试验后电性能应满足本标准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耐盐雾</w:t>
      </w:r>
    </w:p>
    <w:p>
      <w:pPr>
        <w:pStyle w:val="30"/>
      </w:pPr>
      <w:r>
        <w:rPr>
          <w:rFonts w:hint="eastAsia"/>
        </w:rPr>
        <w:t>按照 QC/T 1067.1 中要求进行试验，试验后电性能应满足本标准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.3</w:t>
      </w:r>
      <w:r>
        <w:rPr>
          <w:rFonts w:hint="eastAsia"/>
        </w:rPr>
        <w:t>要求。</w:t>
      </w:r>
    </w:p>
    <w:p>
      <w:pPr>
        <w:pStyle w:val="41"/>
        <w:spacing w:before="156" w:after="156"/>
        <w:rPr>
          <w:rFonts w:cs="黑体"/>
        </w:rPr>
      </w:pPr>
      <w:r>
        <w:rPr>
          <w:rFonts w:hint="eastAsia" w:cs="黑体"/>
        </w:rPr>
        <w:t>耐腐蚀和防锈</w:t>
      </w:r>
    </w:p>
    <w:p>
      <w:pPr>
        <w:pStyle w:val="30"/>
      </w:pPr>
      <w:r>
        <w:rPr>
          <w:rFonts w:hint="eastAsia"/>
        </w:rPr>
        <w:t>按照 GB/T 11918.1 中要求进行试验，试验后电连接器表面不出现锈蚀，电性能应满足本标准</w:t>
      </w:r>
      <w:r>
        <w:t>4.</w:t>
      </w:r>
      <w:r>
        <w:rPr>
          <w:rFonts w:hint="eastAsia"/>
        </w:rPr>
        <w:t>7</w:t>
      </w:r>
      <w:r>
        <w:t>.1</w:t>
      </w:r>
      <w:r>
        <w:rPr>
          <w:rFonts w:hint="eastAsia"/>
        </w:rPr>
        <w:t>、</w:t>
      </w:r>
      <w:r>
        <w:t>4.</w:t>
      </w:r>
      <w:r>
        <w:rPr>
          <w:rFonts w:hint="eastAsia"/>
        </w:rPr>
        <w:t>7</w:t>
      </w:r>
      <w:r>
        <w:t>.2</w:t>
      </w:r>
      <w:r>
        <w:rPr>
          <w:rFonts w:hint="eastAsia"/>
        </w:rPr>
        <w:t>、</w:t>
      </w:r>
      <w:r>
        <w:t>4.</w:t>
      </w:r>
      <w:r>
        <w:rPr>
          <w:rFonts w:hint="eastAsia"/>
        </w:rPr>
        <w:t>7</w:t>
      </w:r>
      <w:r>
        <w:t>.</w:t>
      </w:r>
      <w:r>
        <w:rPr>
          <w:rFonts w:hint="eastAsia"/>
        </w:rPr>
        <w:t>3要求。</w:t>
      </w:r>
    </w:p>
    <w:p>
      <w:pPr>
        <w:pStyle w:val="41"/>
        <w:spacing w:before="156" w:after="156"/>
        <w:rPr>
          <w:rFonts w:cs="黑体"/>
        </w:rPr>
      </w:pPr>
      <w:r>
        <w:rPr>
          <w:rFonts w:hint="eastAsia" w:cs="黑体"/>
        </w:rPr>
        <w:t>阻燃</w:t>
      </w:r>
    </w:p>
    <w:p>
      <w:pPr>
        <w:pStyle w:val="30"/>
      </w:pPr>
      <w:r>
        <w:rPr>
          <w:rFonts w:hint="eastAsia"/>
        </w:rPr>
        <w:t>非金属材料垂直燃烧应满足</w:t>
      </w:r>
      <w:r>
        <w:t>V0</w:t>
      </w:r>
      <w:r>
        <w:rPr>
          <w:rFonts w:hint="eastAsia"/>
        </w:rPr>
        <w:t>，水平燃烧应满足</w:t>
      </w:r>
      <w:r>
        <w:t>HB</w:t>
      </w:r>
      <w:r>
        <w:rPr>
          <w:rFonts w:hint="eastAsia"/>
        </w:rPr>
        <w:t>。</w:t>
      </w:r>
    </w:p>
    <w:p>
      <w:pPr>
        <w:pStyle w:val="41"/>
        <w:spacing w:before="156" w:after="156"/>
        <w:rPr>
          <w:rFonts w:cs="黑体"/>
        </w:rPr>
      </w:pPr>
      <w:r>
        <w:rPr>
          <w:rFonts w:hint="eastAsia" w:cs="黑体"/>
        </w:rPr>
        <w:t>禁用物质</w:t>
      </w:r>
    </w:p>
    <w:p>
      <w:pPr>
        <w:pStyle w:val="30"/>
      </w:pPr>
      <w:r>
        <w:rPr>
          <w:rFonts w:hint="eastAsia"/>
        </w:rPr>
        <w:t>满足 GB/T 30512</w:t>
      </w:r>
      <w:r>
        <w:t xml:space="preserve"> </w:t>
      </w:r>
      <w:r>
        <w:rPr>
          <w:rFonts w:hint="eastAsia"/>
        </w:rPr>
        <w:t>中禁用物质含量限值要求。</w:t>
      </w:r>
    </w:p>
    <w:p>
      <w:pPr>
        <w:pStyle w:val="32"/>
        <w:spacing w:before="312" w:after="312"/>
        <w:ind w:left="0"/>
        <w:outlineLvl w:val="0"/>
      </w:pPr>
      <w:bookmarkStart w:id="55" w:name="_Toc98696233"/>
      <w:r>
        <w:rPr>
          <w:rFonts w:hint="eastAsia"/>
        </w:rPr>
        <w:t>试验方法</w:t>
      </w:r>
      <w:bookmarkEnd w:id="55"/>
    </w:p>
    <w:p>
      <w:pPr>
        <w:pStyle w:val="33"/>
        <w:spacing w:before="156" w:after="156"/>
      </w:pPr>
      <w:bookmarkStart w:id="56" w:name="_Toc98696234"/>
      <w:r>
        <w:rPr>
          <w:rFonts w:hint="eastAsia"/>
        </w:rPr>
        <w:t>结构外观</w:t>
      </w:r>
      <w:bookmarkEnd w:id="56"/>
    </w:p>
    <w:p>
      <w:pPr>
        <w:pStyle w:val="30"/>
      </w:pPr>
      <w:r>
        <w:rPr>
          <w:rFonts w:hint="eastAsia"/>
        </w:rPr>
        <w:t>在良好的光线下，按照 GB/T 5095.2 中规定进行，用目视进行检测法对换电连接器结构外观进行检测。</w:t>
      </w:r>
    </w:p>
    <w:p>
      <w:pPr>
        <w:pStyle w:val="33"/>
        <w:spacing w:before="156" w:after="156"/>
      </w:pPr>
      <w:bookmarkStart w:id="57" w:name="_Toc98696235"/>
      <w:r>
        <w:rPr>
          <w:rFonts w:hint="eastAsia"/>
        </w:rPr>
        <w:t>导向浮动</w:t>
      </w:r>
      <w:bookmarkEnd w:id="57"/>
    </w:p>
    <w:p>
      <w:pPr>
        <w:pStyle w:val="30"/>
      </w:pPr>
      <w:r>
        <w:rPr>
          <w:rFonts w:hint="eastAsia"/>
        </w:rPr>
        <w:t>按照 GB/T 32879 中规定进行测试，分别测量X、Y、Z方向最大浮动量及最大纠正角度。</w:t>
      </w:r>
    </w:p>
    <w:p>
      <w:pPr>
        <w:pStyle w:val="33"/>
        <w:spacing w:before="156" w:after="156"/>
      </w:pPr>
      <w:bookmarkStart w:id="58" w:name="_Toc98696236"/>
      <w:r>
        <w:rPr>
          <w:rFonts w:hint="eastAsia"/>
        </w:rPr>
        <w:t>插拔力</w:t>
      </w:r>
      <w:bookmarkEnd w:id="58"/>
    </w:p>
    <w:p>
      <w:pPr>
        <w:pStyle w:val="30"/>
      </w:pPr>
      <w:r>
        <w:rPr>
          <w:rFonts w:hint="eastAsia"/>
        </w:rPr>
        <w:t>按照 GB/T 32879 中规定，对换电连接器进行插拔力测试。</w:t>
      </w:r>
    </w:p>
    <w:p>
      <w:pPr>
        <w:pStyle w:val="33"/>
        <w:spacing w:before="156" w:after="156"/>
      </w:pPr>
      <w:bookmarkStart w:id="59" w:name="_Toc98696237"/>
      <w:r>
        <w:rPr>
          <w:rFonts w:hint="eastAsia"/>
        </w:rPr>
        <w:t>IP 防护等级</w:t>
      </w:r>
      <w:bookmarkEnd w:id="59"/>
    </w:p>
    <w:p>
      <w:pPr>
        <w:pStyle w:val="30"/>
      </w:pPr>
      <w:r>
        <w:rPr>
          <w:rFonts w:hint="eastAsia"/>
        </w:rPr>
        <w:t>按照 GB/T 30038 中规定，进行换电连接器IP67及IP6K9K试验。</w:t>
      </w:r>
    </w:p>
    <w:p>
      <w:pPr>
        <w:pStyle w:val="33"/>
        <w:spacing w:before="156" w:after="156"/>
      </w:pPr>
      <w:bookmarkStart w:id="60" w:name="_Toc98696238"/>
      <w:r>
        <w:rPr>
          <w:rFonts w:hint="eastAsia"/>
        </w:rPr>
        <w:t>机械强度</w:t>
      </w:r>
      <w:bookmarkEnd w:id="60"/>
    </w:p>
    <w:p>
      <w:pPr>
        <w:pStyle w:val="30"/>
      </w:pPr>
      <w:r>
        <w:rPr>
          <w:rFonts w:hint="eastAsia"/>
        </w:rPr>
        <w:t>按照 GB/T 11918.1 中规定进行测试。</w:t>
      </w:r>
    </w:p>
    <w:p>
      <w:pPr>
        <w:pStyle w:val="33"/>
        <w:spacing w:before="156" w:after="156"/>
      </w:pPr>
      <w:bookmarkStart w:id="61" w:name="_Toc98696239"/>
      <w:r>
        <w:rPr>
          <w:rFonts w:hint="eastAsia"/>
        </w:rPr>
        <w:t>振动冲击</w:t>
      </w:r>
      <w:bookmarkEnd w:id="61"/>
    </w:p>
    <w:p>
      <w:pPr>
        <w:pStyle w:val="30"/>
        <w:ind w:firstLine="344"/>
      </w:pPr>
      <w:r>
        <w:rPr>
          <w:rFonts w:hint="eastAsia"/>
          <w:spacing w:val="-19"/>
        </w:rPr>
        <w:t xml:space="preserve">按照  </w:t>
      </w:r>
      <w:r>
        <w:rPr>
          <w:rFonts w:hint="eastAsia" w:hAnsi="宋体" w:cs="宋体"/>
          <w:color w:val="000000"/>
          <w:szCs w:val="21"/>
        </w:rPr>
        <w:t>GB/T 28046.3</w:t>
      </w:r>
      <w:r>
        <w:rPr>
          <w:rFonts w:hAnsi="宋体" w:cs="宋体"/>
          <w:color w:val="000000"/>
          <w:szCs w:val="21"/>
        </w:rPr>
        <w:t xml:space="preserve"> </w:t>
      </w:r>
      <w:r>
        <w:rPr>
          <w:rFonts w:hint="eastAsia"/>
        </w:rPr>
        <w:t>中规定进行试验</w:t>
      </w:r>
      <w:r>
        <w:rPr>
          <w:rFonts w:hint="eastAsia"/>
          <w:spacing w:val="-9"/>
        </w:rPr>
        <w:t>。</w:t>
      </w:r>
    </w:p>
    <w:p>
      <w:pPr>
        <w:pStyle w:val="33"/>
        <w:spacing w:before="156" w:after="156"/>
      </w:pPr>
      <w:bookmarkStart w:id="62" w:name="_Toc98696240"/>
      <w:r>
        <w:rPr>
          <w:rFonts w:hint="eastAsia"/>
        </w:rPr>
        <w:t>机械寿命</w:t>
      </w:r>
      <w:bookmarkEnd w:id="62"/>
    </w:p>
    <w:p>
      <w:pPr>
        <w:pStyle w:val="30"/>
      </w:pPr>
      <w:r>
        <w:rPr>
          <w:rFonts w:hint="eastAsia"/>
        </w:rPr>
        <w:t>按照 GB/T 32879</w:t>
      </w:r>
      <w:r>
        <w:t xml:space="preserve"> </w:t>
      </w:r>
      <w:r>
        <w:rPr>
          <w:rFonts w:hint="eastAsia"/>
        </w:rPr>
        <w:t>中规定，对换电连接器进行空载、插拔 10000 次测试。</w:t>
      </w:r>
    </w:p>
    <w:p>
      <w:pPr>
        <w:pStyle w:val="33"/>
        <w:spacing w:before="156" w:after="156"/>
      </w:pPr>
      <w:bookmarkStart w:id="63" w:name="_Toc98696241"/>
      <w:r>
        <w:rPr>
          <w:rFonts w:hint="eastAsia"/>
        </w:rPr>
        <w:t>绝缘电阻</w:t>
      </w:r>
      <w:bookmarkEnd w:id="63"/>
    </w:p>
    <w:p>
      <w:pPr>
        <w:pStyle w:val="30"/>
      </w:pPr>
      <w:r>
        <w:rPr>
          <w:rFonts w:hint="eastAsia"/>
        </w:rPr>
        <w:t xml:space="preserve">按照 </w:t>
      </w:r>
      <w:r>
        <w:rPr>
          <w:rFonts w:hint="eastAsia" w:cs="宋体"/>
          <w:szCs w:val="21"/>
        </w:rPr>
        <w:t>GB/T 37133</w:t>
      </w:r>
      <w:r>
        <w:rPr>
          <w:rFonts w:cs="宋体"/>
          <w:szCs w:val="21"/>
        </w:rPr>
        <w:t xml:space="preserve"> </w:t>
      </w:r>
      <w:r>
        <w:rPr>
          <w:rFonts w:hint="eastAsia"/>
        </w:rPr>
        <w:t>中规定进行试验，对换电连接器进行绝缘电阻测试。</w:t>
      </w:r>
    </w:p>
    <w:p>
      <w:pPr>
        <w:pStyle w:val="33"/>
        <w:spacing w:before="156" w:after="156"/>
      </w:pPr>
      <w:bookmarkStart w:id="64" w:name="_Toc98696242"/>
      <w:r>
        <w:rPr>
          <w:rFonts w:hint="eastAsia"/>
        </w:rPr>
        <w:t>分断能力</w:t>
      </w:r>
      <w:bookmarkEnd w:id="64"/>
    </w:p>
    <w:p>
      <w:pPr>
        <w:pStyle w:val="30"/>
        <w:rPr>
          <w:b/>
          <w:bCs/>
          <w:lang w:val="zh-CN"/>
        </w:rPr>
      </w:pPr>
      <w:r>
        <w:rPr>
          <w:rFonts w:hint="eastAsia"/>
        </w:rPr>
        <w:t>按照</w:t>
      </w:r>
      <w:r>
        <w:t xml:space="preserve">GB/T 11918.1 </w:t>
      </w:r>
      <w:r>
        <w:rPr>
          <w:rFonts w:hint="eastAsia"/>
        </w:rPr>
        <w:t>中规定进行试验，对换电连接器进行分断能力测试</w:t>
      </w:r>
      <w:r>
        <w:t xml:space="preserve"> </w:t>
      </w:r>
      <w:r>
        <w:rPr>
          <w:rFonts w:hint="eastAsia"/>
        </w:rPr>
        <w:t>。</w:t>
      </w:r>
    </w:p>
    <w:p>
      <w:pPr>
        <w:pStyle w:val="33"/>
        <w:spacing w:before="156" w:after="156"/>
      </w:pPr>
      <w:bookmarkStart w:id="65" w:name="_Toc98696243"/>
      <w:r>
        <w:rPr>
          <w:rFonts w:hint="eastAsia"/>
        </w:rPr>
        <w:t>介电强度</w:t>
      </w:r>
      <w:bookmarkEnd w:id="65"/>
    </w:p>
    <w:p>
      <w:pPr>
        <w:pStyle w:val="30"/>
      </w:pPr>
      <w:r>
        <w:rPr>
          <w:rFonts w:hint="eastAsia"/>
        </w:rPr>
        <w:t xml:space="preserve">按照 </w:t>
      </w:r>
      <w:r>
        <w:rPr>
          <w:rFonts w:hint="eastAsia" w:cs="宋体"/>
          <w:szCs w:val="21"/>
        </w:rPr>
        <w:t>GB/T 11918.1</w:t>
      </w:r>
      <w:r>
        <w:rPr>
          <w:rFonts w:cs="宋体"/>
          <w:szCs w:val="21"/>
        </w:rPr>
        <w:t xml:space="preserve"> </w:t>
      </w:r>
      <w:r>
        <w:rPr>
          <w:rFonts w:hint="eastAsia"/>
        </w:rPr>
        <w:t>中规定进行试验，对换电连接器进行介电强度测试。</w:t>
      </w:r>
    </w:p>
    <w:p>
      <w:pPr>
        <w:pStyle w:val="33"/>
        <w:spacing w:before="156" w:after="156"/>
      </w:pPr>
      <w:bookmarkStart w:id="66" w:name="_Toc98696244"/>
      <w:r>
        <w:rPr>
          <w:rFonts w:hint="eastAsia"/>
        </w:rPr>
        <w:t>接触电阻</w:t>
      </w:r>
      <w:bookmarkEnd w:id="66"/>
    </w:p>
    <w:p>
      <w:pPr>
        <w:pStyle w:val="30"/>
      </w:pPr>
      <w:r>
        <w:rPr>
          <w:rFonts w:hint="eastAsia"/>
        </w:rPr>
        <w:t>按照 QC/T 1067.1</w:t>
      </w:r>
      <w:r>
        <w:t xml:space="preserve"> </w:t>
      </w:r>
      <w:r>
        <w:rPr>
          <w:rFonts w:hint="eastAsia"/>
        </w:rPr>
        <w:t>中规定，换电连接器通过夹具实现实车标准状态连接，对换电连接器进行接触电阻测试。</w:t>
      </w:r>
    </w:p>
    <w:p>
      <w:pPr>
        <w:pStyle w:val="33"/>
        <w:spacing w:before="156" w:after="156"/>
      </w:pPr>
      <w:bookmarkStart w:id="67" w:name="_Toc98696245"/>
      <w:r>
        <w:rPr>
          <w:rFonts w:hint="eastAsia"/>
        </w:rPr>
        <w:t>温升</w:t>
      </w:r>
      <w:bookmarkEnd w:id="67"/>
    </w:p>
    <w:p>
      <w:pPr>
        <w:pStyle w:val="30"/>
      </w:pPr>
      <w:r>
        <w:rPr>
          <w:rFonts w:hint="eastAsia"/>
        </w:rPr>
        <w:t xml:space="preserve">按照 </w:t>
      </w:r>
      <w:r>
        <w:t xml:space="preserve">GB/T 11918.1 </w:t>
      </w:r>
      <w:r>
        <w:rPr>
          <w:rFonts w:hint="eastAsia"/>
        </w:rPr>
        <w:t>中规定进行试验，对换电连接器进行温升测试。</w:t>
      </w:r>
    </w:p>
    <w:p>
      <w:pPr>
        <w:pStyle w:val="33"/>
        <w:spacing w:before="156" w:after="156"/>
      </w:pPr>
      <w:bookmarkStart w:id="68" w:name="_Toc98696246"/>
      <w:r>
        <w:rPr>
          <w:rFonts w:hint="eastAsia"/>
        </w:rPr>
        <w:t>拉脱力</w:t>
      </w:r>
      <w:bookmarkEnd w:id="68"/>
    </w:p>
    <w:p>
      <w:pPr>
        <w:pStyle w:val="30"/>
      </w:pPr>
      <w:r>
        <w:rPr>
          <w:rFonts w:hint="eastAsia"/>
        </w:rPr>
        <w:t>按照 QC/T 29106 、CSAE 178</w:t>
      </w:r>
      <w:r>
        <w:t xml:space="preserve"> </w:t>
      </w:r>
      <w:r>
        <w:rPr>
          <w:rFonts w:hint="eastAsia"/>
        </w:rPr>
        <w:t>中规定，对换电连接器进行拉脱力测试。</w:t>
      </w:r>
    </w:p>
    <w:p>
      <w:pPr>
        <w:pStyle w:val="33"/>
        <w:spacing w:before="156" w:after="156"/>
      </w:pPr>
      <w:bookmarkStart w:id="69" w:name="_Toc98696247"/>
      <w:r>
        <w:rPr>
          <w:rFonts w:hint="eastAsia"/>
        </w:rPr>
        <w:t>耐低温</w:t>
      </w:r>
      <w:bookmarkEnd w:id="69"/>
    </w:p>
    <w:p>
      <w:pPr>
        <w:pStyle w:val="30"/>
      </w:pPr>
      <w:r>
        <w:rPr>
          <w:rFonts w:hint="eastAsia"/>
        </w:rPr>
        <w:t>按照</w:t>
      </w:r>
      <w:r>
        <w:rPr>
          <w:rFonts w:hint="eastAsia"/>
          <w:spacing w:val="-18"/>
        </w:rPr>
        <w:t xml:space="preserve"> </w:t>
      </w:r>
      <w:r>
        <w:rPr>
          <w:rFonts w:hint="eastAsia" w:cs="宋体"/>
          <w:szCs w:val="21"/>
        </w:rPr>
        <w:t>QC/T 413</w:t>
      </w:r>
      <w:r>
        <w:rPr>
          <w:rFonts w:cs="宋体"/>
          <w:szCs w:val="21"/>
        </w:rPr>
        <w:t xml:space="preserve"> </w:t>
      </w:r>
      <w:r>
        <w:rPr>
          <w:rFonts w:hint="eastAsia"/>
        </w:rPr>
        <w:t>中规定，对换电连接器进行耐低温测试。</w:t>
      </w:r>
    </w:p>
    <w:p>
      <w:pPr>
        <w:pStyle w:val="33"/>
        <w:spacing w:before="156" w:after="156"/>
      </w:pPr>
      <w:bookmarkStart w:id="70" w:name="_Toc98696248"/>
      <w:r>
        <w:rPr>
          <w:rFonts w:hint="eastAsia"/>
        </w:rPr>
        <w:t>耐高温</w:t>
      </w:r>
      <w:bookmarkEnd w:id="70"/>
    </w:p>
    <w:p>
      <w:pPr>
        <w:pStyle w:val="30"/>
      </w:pPr>
      <w:r>
        <w:rPr>
          <w:rFonts w:hint="eastAsia"/>
        </w:rPr>
        <w:t>按照 QC/T 413</w:t>
      </w:r>
      <w:r>
        <w:t xml:space="preserve"> </w:t>
      </w:r>
      <w:r>
        <w:rPr>
          <w:rFonts w:hint="eastAsia"/>
        </w:rPr>
        <w:t>中规定，对换电连接器进行耐高温测试。</w:t>
      </w:r>
    </w:p>
    <w:p>
      <w:pPr>
        <w:pStyle w:val="33"/>
        <w:spacing w:before="156" w:after="156"/>
      </w:pPr>
      <w:bookmarkStart w:id="71" w:name="_Toc98696249"/>
      <w:r>
        <w:rPr>
          <w:rFonts w:hint="eastAsia"/>
        </w:rPr>
        <w:t>耐温度冲击</w:t>
      </w:r>
      <w:bookmarkEnd w:id="71"/>
    </w:p>
    <w:p>
      <w:pPr>
        <w:pStyle w:val="30"/>
      </w:pPr>
      <w:r>
        <w:rPr>
          <w:rFonts w:hint="eastAsia"/>
        </w:rPr>
        <w:t>按照 QC/T 413</w:t>
      </w:r>
      <w:r>
        <w:t xml:space="preserve"> </w:t>
      </w:r>
      <w:r>
        <w:rPr>
          <w:rFonts w:hint="eastAsia"/>
        </w:rPr>
        <w:t>中规定，对换电连接器进行温度冲击测试。</w:t>
      </w:r>
    </w:p>
    <w:p>
      <w:pPr>
        <w:pStyle w:val="33"/>
        <w:spacing w:before="156" w:after="156"/>
      </w:pPr>
      <w:bookmarkStart w:id="72" w:name="_Toc98696250"/>
      <w:r>
        <w:rPr>
          <w:rFonts w:hint="eastAsia"/>
        </w:rPr>
        <w:t>耐温湿度循环</w:t>
      </w:r>
      <w:bookmarkEnd w:id="72"/>
    </w:p>
    <w:p>
      <w:pPr>
        <w:pStyle w:val="30"/>
      </w:pPr>
      <w:r>
        <w:rPr>
          <w:rFonts w:hint="eastAsia"/>
        </w:rPr>
        <w:t>按照 QC/T 413</w:t>
      </w:r>
      <w:r>
        <w:t xml:space="preserve"> </w:t>
      </w:r>
      <w:r>
        <w:rPr>
          <w:rFonts w:hint="eastAsia"/>
        </w:rPr>
        <w:t>中规定，对换电连接器进行温湿度循环测试。</w:t>
      </w:r>
    </w:p>
    <w:p>
      <w:pPr>
        <w:pStyle w:val="33"/>
        <w:spacing w:before="156" w:after="156"/>
      </w:pPr>
      <w:bookmarkStart w:id="73" w:name="_Toc98696251"/>
      <w:r>
        <w:rPr>
          <w:rFonts w:hint="eastAsia"/>
        </w:rPr>
        <w:t>耐老化</w:t>
      </w:r>
      <w:bookmarkEnd w:id="73"/>
    </w:p>
    <w:p>
      <w:pPr>
        <w:pStyle w:val="30"/>
        <w:ind w:firstLine="404"/>
      </w:pPr>
      <w:r>
        <w:rPr>
          <w:rFonts w:hint="eastAsia"/>
          <w:spacing w:val="-4"/>
        </w:rPr>
        <w:t xml:space="preserve">橡胶和热塑性材料的耐老化按 </w:t>
      </w:r>
      <w:r>
        <w:rPr>
          <w:rFonts w:hint="eastAsia"/>
        </w:rPr>
        <w:t>QC/T 1067.1</w:t>
      </w:r>
      <w:r>
        <w:t xml:space="preserve"> </w:t>
      </w:r>
      <w:r>
        <w:rPr>
          <w:rFonts w:hint="eastAsia"/>
        </w:rPr>
        <w:t>中规定</w:t>
      </w:r>
      <w:r>
        <w:rPr>
          <w:rFonts w:hint="eastAsia"/>
          <w:spacing w:val="-8"/>
        </w:rPr>
        <w:t>，对</w:t>
      </w:r>
      <w:r>
        <w:rPr>
          <w:rFonts w:hint="eastAsia"/>
        </w:rPr>
        <w:t>换</w:t>
      </w:r>
      <w:r>
        <w:rPr>
          <w:rFonts w:hint="eastAsia"/>
          <w:spacing w:val="-8"/>
        </w:rPr>
        <w:t>电连接器进行耐老化测试。</w:t>
      </w:r>
    </w:p>
    <w:p>
      <w:pPr>
        <w:pStyle w:val="33"/>
        <w:spacing w:before="156" w:after="156"/>
      </w:pPr>
      <w:bookmarkStart w:id="74" w:name="_Toc98696252"/>
      <w:r>
        <w:rPr>
          <w:rFonts w:hint="eastAsia"/>
        </w:rPr>
        <w:t>耐盐雾</w:t>
      </w:r>
      <w:bookmarkEnd w:id="74"/>
    </w:p>
    <w:p>
      <w:pPr>
        <w:pStyle w:val="30"/>
        <w:ind w:firstLine="404"/>
        <w:rPr>
          <w:spacing w:val="-4"/>
        </w:rPr>
      </w:pPr>
      <w:r>
        <w:rPr>
          <w:rFonts w:hint="eastAsia"/>
          <w:spacing w:val="-4"/>
        </w:rPr>
        <w:t>按照 QC/T 1067.1</w:t>
      </w:r>
      <w:r>
        <w:rPr>
          <w:spacing w:val="-4"/>
        </w:rPr>
        <w:t xml:space="preserve"> </w:t>
      </w:r>
      <w:r>
        <w:rPr>
          <w:rFonts w:hint="eastAsia"/>
        </w:rPr>
        <w:t>中规定</w:t>
      </w:r>
      <w:r>
        <w:rPr>
          <w:rFonts w:hint="eastAsia"/>
          <w:spacing w:val="-4"/>
        </w:rPr>
        <w:t>执行 GB/T 2423.17</w:t>
      </w:r>
      <w:r>
        <w:rPr>
          <w:spacing w:val="-4"/>
        </w:rPr>
        <w:t xml:space="preserve"> </w:t>
      </w:r>
      <w:r>
        <w:rPr>
          <w:rFonts w:hint="eastAsia"/>
          <w:spacing w:val="-4"/>
        </w:rPr>
        <w:t>，试验时间480h或由供需双方确定，对</w:t>
      </w:r>
      <w:r>
        <w:rPr>
          <w:rFonts w:hint="eastAsia"/>
        </w:rPr>
        <w:t>换</w:t>
      </w:r>
      <w:r>
        <w:rPr>
          <w:rFonts w:hint="eastAsia"/>
          <w:spacing w:val="-4"/>
        </w:rPr>
        <w:t>电连接器进行耐盐雾测试。</w:t>
      </w:r>
    </w:p>
    <w:p>
      <w:pPr>
        <w:pStyle w:val="33"/>
        <w:spacing w:before="156" w:after="156"/>
      </w:pPr>
      <w:bookmarkStart w:id="75" w:name="_Toc98696253"/>
      <w:r>
        <w:rPr>
          <w:rFonts w:hint="eastAsia"/>
        </w:rPr>
        <w:t>耐腐蚀和防锈</w:t>
      </w:r>
      <w:bookmarkEnd w:id="75"/>
    </w:p>
    <w:p>
      <w:pPr>
        <w:pStyle w:val="30"/>
        <w:ind w:firstLine="404"/>
        <w:rPr>
          <w:spacing w:val="-4"/>
        </w:rPr>
      </w:pPr>
      <w:r>
        <w:rPr>
          <w:rFonts w:hint="eastAsia"/>
          <w:spacing w:val="-4"/>
        </w:rPr>
        <w:t>按照 GB/T 11918.1</w:t>
      </w:r>
      <w:r>
        <w:rPr>
          <w:spacing w:val="-4"/>
        </w:rPr>
        <w:t xml:space="preserve"> </w:t>
      </w:r>
      <w:r>
        <w:rPr>
          <w:rFonts w:hint="eastAsia"/>
        </w:rPr>
        <w:t>中规定</w:t>
      </w:r>
      <w:r>
        <w:rPr>
          <w:rFonts w:hint="eastAsia"/>
          <w:spacing w:val="-4"/>
        </w:rPr>
        <w:t>，对</w:t>
      </w:r>
      <w:r>
        <w:rPr>
          <w:rFonts w:hint="eastAsia"/>
        </w:rPr>
        <w:t>换</w:t>
      </w:r>
      <w:r>
        <w:rPr>
          <w:rFonts w:hint="eastAsia"/>
          <w:spacing w:val="-4"/>
        </w:rPr>
        <w:t>电连接器进行腐蚀和防锈测试。</w:t>
      </w:r>
    </w:p>
    <w:p>
      <w:pPr>
        <w:pStyle w:val="33"/>
        <w:spacing w:before="156" w:after="156"/>
      </w:pPr>
      <w:bookmarkStart w:id="76" w:name="_Toc98696254"/>
      <w:r>
        <w:rPr>
          <w:rFonts w:hint="eastAsia"/>
        </w:rPr>
        <w:t>阻燃</w:t>
      </w:r>
      <w:bookmarkEnd w:id="76"/>
    </w:p>
    <w:p>
      <w:pPr>
        <w:pStyle w:val="30"/>
      </w:pPr>
      <w:r>
        <w:rPr>
          <w:rFonts w:hint="eastAsia"/>
        </w:rPr>
        <w:t>非金属部分材料按照 GB/T 2408</w:t>
      </w:r>
      <w:r>
        <w:t xml:space="preserve"> </w:t>
      </w:r>
      <w:r>
        <w:rPr>
          <w:rFonts w:hint="eastAsia"/>
        </w:rPr>
        <w:t>中规定，对换电连接器进行阻燃测试。</w:t>
      </w:r>
    </w:p>
    <w:p>
      <w:pPr>
        <w:pStyle w:val="33"/>
        <w:spacing w:before="156" w:after="156"/>
      </w:pPr>
      <w:bookmarkStart w:id="77" w:name="_Toc98696255"/>
      <w:r>
        <w:rPr>
          <w:rFonts w:hint="eastAsia"/>
        </w:rPr>
        <w:t>禁用物质</w:t>
      </w:r>
      <w:bookmarkEnd w:id="77"/>
    </w:p>
    <w:p>
      <w:pPr>
        <w:pStyle w:val="30"/>
      </w:pPr>
      <w:r>
        <w:rPr>
          <w:rFonts w:hint="eastAsia"/>
        </w:rPr>
        <w:t>按照 GB/T 30512</w:t>
      </w:r>
      <w:r>
        <w:t xml:space="preserve"> </w:t>
      </w:r>
      <w:r>
        <w:rPr>
          <w:rFonts w:hint="eastAsia"/>
        </w:rPr>
        <w:t>中规定，对换电连接器进行禁用物资测试。</w:t>
      </w:r>
    </w:p>
    <w:p>
      <w:pPr>
        <w:pStyle w:val="32"/>
        <w:spacing w:before="312" w:after="312"/>
        <w:ind w:left="0"/>
        <w:outlineLvl w:val="0"/>
      </w:pPr>
      <w:bookmarkStart w:id="78" w:name="_Toc98696256"/>
      <w:r>
        <w:rPr>
          <w:rFonts w:hint="eastAsia"/>
        </w:rPr>
        <w:t>检验规则</w:t>
      </w:r>
      <w:bookmarkEnd w:id="78"/>
    </w:p>
    <w:p>
      <w:pPr>
        <w:pStyle w:val="33"/>
        <w:spacing w:before="156" w:after="156"/>
      </w:pPr>
      <w:bookmarkStart w:id="79" w:name="_Toc98696257"/>
      <w:r>
        <w:rPr>
          <w:rFonts w:hint="eastAsia"/>
        </w:rPr>
        <w:t>产品试验分类</w:t>
      </w:r>
      <w:bookmarkEnd w:id="79"/>
    </w:p>
    <w:p>
      <w:pPr>
        <w:pStyle w:val="30"/>
      </w:pPr>
      <w:r>
        <w:rPr>
          <w:rFonts w:hint="eastAsia"/>
        </w:rPr>
        <w:t>产品试验分为：型式试验和出厂检验。</w:t>
      </w:r>
    </w:p>
    <w:p>
      <w:pPr>
        <w:pStyle w:val="33"/>
        <w:spacing w:before="156" w:after="156"/>
      </w:pPr>
      <w:bookmarkStart w:id="80" w:name="_Toc98696258"/>
      <w:r>
        <w:rPr>
          <w:rFonts w:hint="eastAsia"/>
        </w:rPr>
        <w:t>型式试验</w:t>
      </w:r>
      <w:bookmarkEnd w:id="80"/>
    </w:p>
    <w:p>
      <w:pPr>
        <w:pStyle w:val="30"/>
      </w:pPr>
      <w:r>
        <w:rPr>
          <w:rFonts w:hint="eastAsia"/>
        </w:rPr>
        <w:t>应进行型式试验的几种情况按照</w:t>
      </w:r>
      <w:r>
        <w:t>QC/T 413</w:t>
      </w:r>
      <w:r>
        <w:rPr>
          <w:rFonts w:hint="eastAsia"/>
        </w:rPr>
        <w:t>执行。进行型式试验的样品应从出厂检验合格的同一批产品中抽取。</w:t>
      </w:r>
    </w:p>
    <w:p>
      <w:pPr>
        <w:pStyle w:val="30"/>
      </w:pPr>
      <w:r>
        <w:rPr>
          <w:rFonts w:hint="eastAsia"/>
        </w:rPr>
        <w:t>合格判定：型式试验应全部符合要求。如果有一个项目不符合时，应重新抽取加倍数量的样品，就该不合格项目进行复检，如仍有不合格时，则该批产品判定为不合格。</w:t>
      </w:r>
    </w:p>
    <w:p>
      <w:pPr>
        <w:pStyle w:val="33"/>
        <w:spacing w:before="156" w:after="156"/>
      </w:pPr>
      <w:bookmarkStart w:id="81" w:name="_Toc98696259"/>
      <w:r>
        <w:rPr>
          <w:rFonts w:hint="eastAsia"/>
        </w:rPr>
        <w:t>出厂检验</w:t>
      </w:r>
      <w:bookmarkEnd w:id="81"/>
    </w:p>
    <w:p>
      <w:pPr>
        <w:pStyle w:val="30"/>
      </w:pPr>
      <w:r>
        <w:rPr>
          <w:rFonts w:hint="eastAsia"/>
        </w:rPr>
        <w:t>换电连接器出厂检验项目见表9。</w:t>
      </w:r>
    </w:p>
    <w:p>
      <w:pPr>
        <w:ind w:firstLine="199" w:firstLineChars="95"/>
        <w:jc w:val="center"/>
        <w:rPr>
          <w:rFonts w:ascii="黑体" w:hAnsi="黑体" w:eastAsia="黑体"/>
          <w:szCs w:val="21"/>
        </w:rPr>
      </w:pPr>
      <w:r>
        <w:rPr>
          <w:rFonts w:hint="eastAsia" w:ascii="黑体" w:hAnsi="黑体" w:eastAsia="黑体"/>
          <w:szCs w:val="21"/>
        </w:rPr>
        <w:t>表</w:t>
      </w:r>
      <w:r>
        <w:rPr>
          <w:rFonts w:ascii="黑体" w:hAnsi="黑体" w:eastAsia="黑体"/>
          <w:szCs w:val="21"/>
        </w:rPr>
        <w:t>9</w:t>
      </w:r>
      <w:r>
        <w:rPr>
          <w:rFonts w:hint="eastAsia" w:ascii="黑体" w:hAnsi="黑体" w:eastAsia="黑体"/>
          <w:szCs w:val="21"/>
        </w:rPr>
        <w:t xml:space="preserve"> 出厂检验项目</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41"/>
        <w:gridCol w:w="2911"/>
        <w:gridCol w:w="3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819" w:type="dxa"/>
            <w:vMerge w:val="restart"/>
            <w:tcBorders>
              <w:top w:val="single" w:color="auto" w:sz="12" w:space="0"/>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序号</w:t>
            </w:r>
          </w:p>
        </w:tc>
        <w:tc>
          <w:tcPr>
            <w:tcW w:w="2083" w:type="dxa"/>
            <w:vMerge w:val="restart"/>
            <w:tcBorders>
              <w:top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检验项目</w:t>
            </w:r>
          </w:p>
        </w:tc>
        <w:tc>
          <w:tcPr>
            <w:tcW w:w="2197" w:type="dxa"/>
            <w:vMerge w:val="restart"/>
            <w:tcBorders>
              <w:top w:val="single" w:color="auto" w:sz="12" w:space="0"/>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819" w:type="dxa"/>
            <w:vMerge w:val="continue"/>
            <w:tcBorders>
              <w:left w:val="single" w:color="auto" w:sz="12" w:space="0"/>
              <w:bottom w:val="single" w:color="auto" w:sz="12" w:space="0"/>
            </w:tcBorders>
            <w:shd w:val="clear" w:color="auto" w:fill="auto"/>
            <w:vAlign w:val="center"/>
          </w:tcPr>
          <w:p>
            <w:pPr>
              <w:pStyle w:val="30"/>
              <w:ind w:firstLine="0" w:firstLineChars="0"/>
              <w:jc w:val="center"/>
              <w:rPr>
                <w:rFonts w:hAnsi="宋体"/>
                <w:sz w:val="18"/>
                <w:szCs w:val="18"/>
              </w:rPr>
            </w:pPr>
          </w:p>
        </w:tc>
        <w:tc>
          <w:tcPr>
            <w:tcW w:w="2083" w:type="dxa"/>
            <w:vMerge w:val="continue"/>
            <w:tcBorders>
              <w:bottom w:val="single" w:color="auto" w:sz="12" w:space="0"/>
            </w:tcBorders>
            <w:shd w:val="clear" w:color="auto" w:fill="auto"/>
            <w:vAlign w:val="center"/>
          </w:tcPr>
          <w:p>
            <w:pPr>
              <w:pStyle w:val="30"/>
              <w:ind w:firstLine="0" w:firstLineChars="0"/>
              <w:jc w:val="center"/>
              <w:rPr>
                <w:rFonts w:hAnsi="宋体"/>
                <w:sz w:val="18"/>
                <w:szCs w:val="18"/>
              </w:rPr>
            </w:pPr>
          </w:p>
        </w:tc>
        <w:tc>
          <w:tcPr>
            <w:tcW w:w="2197" w:type="dxa"/>
            <w:vMerge w:val="continue"/>
            <w:tcBorders>
              <w:bottom w:val="single" w:color="auto" w:sz="12" w:space="0"/>
              <w:right w:val="single" w:color="auto" w:sz="12" w:space="0"/>
            </w:tcBorders>
            <w:shd w:val="clear" w:color="auto" w:fill="auto"/>
            <w:vAlign w:val="center"/>
          </w:tcPr>
          <w:p>
            <w:pPr>
              <w:pStyle w:val="30"/>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819" w:type="dxa"/>
            <w:tcBorders>
              <w:top w:val="single" w:color="auto" w:sz="12" w:space="0"/>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1</w:t>
            </w:r>
          </w:p>
        </w:tc>
        <w:tc>
          <w:tcPr>
            <w:tcW w:w="2083" w:type="dxa"/>
            <w:tcBorders>
              <w:top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外观</w:t>
            </w:r>
          </w:p>
        </w:tc>
        <w:tc>
          <w:tcPr>
            <w:tcW w:w="2197" w:type="dxa"/>
            <w:tcBorders>
              <w:top w:val="single" w:color="auto" w:sz="12" w:space="0"/>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819" w:type="dxa"/>
            <w:tcBorders>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2</w:t>
            </w:r>
          </w:p>
        </w:tc>
        <w:tc>
          <w:tcPr>
            <w:tcW w:w="2083" w:type="dxa"/>
            <w:shd w:val="clear" w:color="auto" w:fill="auto"/>
            <w:vAlign w:val="center"/>
          </w:tcPr>
          <w:p>
            <w:pPr>
              <w:pStyle w:val="30"/>
              <w:ind w:firstLine="0" w:firstLineChars="0"/>
              <w:jc w:val="center"/>
              <w:rPr>
                <w:rFonts w:hAnsi="宋体"/>
                <w:sz w:val="18"/>
                <w:szCs w:val="18"/>
              </w:rPr>
            </w:pPr>
            <w:r>
              <w:rPr>
                <w:rFonts w:hint="eastAsia" w:hAnsi="宋体"/>
                <w:sz w:val="18"/>
                <w:szCs w:val="18"/>
              </w:rPr>
              <w:t>导向浮动</w:t>
            </w:r>
          </w:p>
        </w:tc>
        <w:tc>
          <w:tcPr>
            <w:tcW w:w="2197" w:type="dxa"/>
            <w:tcBorders>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819" w:type="dxa"/>
            <w:tcBorders>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3</w:t>
            </w:r>
          </w:p>
        </w:tc>
        <w:tc>
          <w:tcPr>
            <w:tcW w:w="2083" w:type="dxa"/>
            <w:shd w:val="clear" w:color="auto" w:fill="auto"/>
            <w:vAlign w:val="center"/>
          </w:tcPr>
          <w:p>
            <w:pPr>
              <w:pStyle w:val="30"/>
              <w:ind w:firstLine="0" w:firstLineChars="0"/>
              <w:jc w:val="center"/>
              <w:rPr>
                <w:rFonts w:hAnsi="宋体"/>
                <w:sz w:val="18"/>
                <w:szCs w:val="18"/>
              </w:rPr>
            </w:pPr>
            <w:r>
              <w:rPr>
                <w:rFonts w:hint="eastAsia" w:hAnsi="宋体"/>
                <w:sz w:val="18"/>
                <w:szCs w:val="18"/>
              </w:rPr>
              <w:t>插拔力</w:t>
            </w:r>
          </w:p>
        </w:tc>
        <w:tc>
          <w:tcPr>
            <w:tcW w:w="2197" w:type="dxa"/>
            <w:tcBorders>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819" w:type="dxa"/>
            <w:tcBorders>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5</w:t>
            </w:r>
          </w:p>
        </w:tc>
        <w:tc>
          <w:tcPr>
            <w:tcW w:w="2083" w:type="dxa"/>
            <w:shd w:val="clear" w:color="auto" w:fill="auto"/>
            <w:vAlign w:val="center"/>
          </w:tcPr>
          <w:p>
            <w:pPr>
              <w:pStyle w:val="30"/>
              <w:ind w:firstLine="0" w:firstLineChars="0"/>
              <w:jc w:val="center"/>
              <w:rPr>
                <w:rFonts w:hAnsi="宋体"/>
                <w:sz w:val="18"/>
                <w:szCs w:val="18"/>
              </w:rPr>
            </w:pPr>
            <w:r>
              <w:rPr>
                <w:rFonts w:hint="eastAsia" w:hAnsi="宋体"/>
                <w:sz w:val="18"/>
                <w:szCs w:val="18"/>
              </w:rPr>
              <w:t>防护等级</w:t>
            </w:r>
          </w:p>
        </w:tc>
        <w:tc>
          <w:tcPr>
            <w:tcW w:w="2197" w:type="dxa"/>
            <w:tcBorders>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819" w:type="dxa"/>
            <w:tcBorders>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6</w:t>
            </w:r>
          </w:p>
        </w:tc>
        <w:tc>
          <w:tcPr>
            <w:tcW w:w="2083" w:type="dxa"/>
            <w:shd w:val="clear" w:color="auto" w:fill="auto"/>
            <w:vAlign w:val="center"/>
          </w:tcPr>
          <w:p>
            <w:pPr>
              <w:pStyle w:val="30"/>
              <w:ind w:firstLine="0" w:firstLineChars="0"/>
              <w:jc w:val="center"/>
              <w:rPr>
                <w:rFonts w:hAnsi="宋体"/>
                <w:sz w:val="18"/>
                <w:szCs w:val="18"/>
              </w:rPr>
            </w:pPr>
            <w:r>
              <w:rPr>
                <w:rFonts w:hint="eastAsia" w:hAnsi="宋体"/>
                <w:sz w:val="18"/>
                <w:szCs w:val="18"/>
              </w:rPr>
              <w:t>绝缘电阻</w:t>
            </w:r>
          </w:p>
        </w:tc>
        <w:tc>
          <w:tcPr>
            <w:tcW w:w="2197" w:type="dxa"/>
            <w:tcBorders>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819" w:type="dxa"/>
            <w:tcBorders>
              <w:lef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7</w:t>
            </w:r>
          </w:p>
        </w:tc>
        <w:tc>
          <w:tcPr>
            <w:tcW w:w="2083" w:type="dxa"/>
            <w:shd w:val="clear" w:color="auto" w:fill="auto"/>
            <w:vAlign w:val="center"/>
          </w:tcPr>
          <w:p>
            <w:pPr>
              <w:pStyle w:val="30"/>
              <w:ind w:firstLine="0" w:firstLineChars="0"/>
              <w:jc w:val="center"/>
              <w:rPr>
                <w:rFonts w:hAnsi="宋体"/>
                <w:sz w:val="18"/>
                <w:szCs w:val="18"/>
              </w:rPr>
            </w:pPr>
            <w:r>
              <w:rPr>
                <w:rFonts w:hint="eastAsia" w:hAnsi="宋体"/>
                <w:sz w:val="18"/>
                <w:szCs w:val="18"/>
              </w:rPr>
              <w:t>介电强度</w:t>
            </w:r>
          </w:p>
        </w:tc>
        <w:tc>
          <w:tcPr>
            <w:tcW w:w="2197" w:type="dxa"/>
            <w:tcBorders>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819" w:type="dxa"/>
            <w:tcBorders>
              <w:left w:val="single" w:color="auto" w:sz="12" w:space="0"/>
              <w:bottom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8</w:t>
            </w:r>
          </w:p>
        </w:tc>
        <w:tc>
          <w:tcPr>
            <w:tcW w:w="2083" w:type="dxa"/>
            <w:tcBorders>
              <w:bottom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接触电阻</w:t>
            </w:r>
          </w:p>
        </w:tc>
        <w:tc>
          <w:tcPr>
            <w:tcW w:w="2197" w:type="dxa"/>
            <w:tcBorders>
              <w:bottom w:val="single" w:color="auto" w:sz="12" w:space="0"/>
              <w:right w:val="single" w:color="auto" w:sz="12" w:space="0"/>
            </w:tcBorders>
            <w:shd w:val="clear" w:color="auto" w:fill="auto"/>
            <w:vAlign w:val="center"/>
          </w:tcPr>
          <w:p>
            <w:pPr>
              <w:pStyle w:val="30"/>
              <w:ind w:firstLine="0" w:firstLineChars="0"/>
              <w:jc w:val="center"/>
              <w:rPr>
                <w:rFonts w:hAnsi="宋体"/>
                <w:sz w:val="18"/>
                <w:szCs w:val="18"/>
              </w:rPr>
            </w:pPr>
            <w:r>
              <w:rPr>
                <w:rFonts w:hint="eastAsia" w:hAnsi="宋体"/>
                <w:sz w:val="18"/>
                <w:szCs w:val="18"/>
              </w:rPr>
              <w:t>4.7.3</w:t>
            </w:r>
          </w:p>
        </w:tc>
      </w:tr>
    </w:tbl>
    <w:p>
      <w:pPr>
        <w:pStyle w:val="30"/>
      </w:pPr>
    </w:p>
    <w:p>
      <w:pPr>
        <w:pStyle w:val="30"/>
      </w:pPr>
      <w:r>
        <w:rPr>
          <w:rFonts w:hint="eastAsia"/>
        </w:rPr>
        <w:t>判定规则：全数检验的项目应全部合格，对4.6.1抽检样品检查后，如全部合格，则该批产品判定为合格，如有一件不合格，经返修后进行全数检查，检查后应全部合格，否则判为不合格。</w:t>
      </w:r>
    </w:p>
    <w:p>
      <w:pPr>
        <w:pStyle w:val="30"/>
      </w:pPr>
      <w:r>
        <w:rPr>
          <w:rFonts w:hint="eastAsia"/>
        </w:rPr>
        <w:t>抽样方法：对本文件4.6.1允许每批抽0.5</w:t>
      </w:r>
      <w:r>
        <w:t xml:space="preserve"> </w:t>
      </w:r>
      <w:r>
        <w:rPr>
          <w:rFonts w:hint="eastAsia"/>
        </w:rPr>
        <w:t>%，但不少于3件。</w:t>
      </w:r>
    </w:p>
    <w:p>
      <w:pPr>
        <w:pStyle w:val="32"/>
        <w:spacing w:before="312" w:after="312"/>
        <w:ind w:left="0"/>
        <w:outlineLvl w:val="0"/>
      </w:pPr>
      <w:bookmarkStart w:id="82" w:name="_Toc98696260"/>
      <w:r>
        <w:rPr>
          <w:rFonts w:hint="eastAsia"/>
        </w:rPr>
        <w:t>标识、包装、运输和存储</w:t>
      </w:r>
      <w:bookmarkEnd w:id="82"/>
    </w:p>
    <w:p>
      <w:pPr>
        <w:pStyle w:val="33"/>
        <w:spacing w:before="156" w:after="156"/>
      </w:pPr>
      <w:bookmarkStart w:id="83" w:name="_Toc98696261"/>
      <w:r>
        <w:rPr>
          <w:rFonts w:hint="eastAsia"/>
        </w:rPr>
        <w:t>标识</w:t>
      </w:r>
      <w:bookmarkEnd w:id="83"/>
    </w:p>
    <w:p>
      <w:pPr>
        <w:pStyle w:val="30"/>
      </w:pPr>
      <w:r>
        <w:rPr>
          <w:rFonts w:hint="eastAsia"/>
        </w:rPr>
        <w:t>换电连接器的明显位置应有安全警示标识和铭牌标志，标志清晰明显、牢固可靠。铭牌内容包括：</w:t>
      </w:r>
    </w:p>
    <w:p>
      <w:pPr>
        <w:pStyle w:val="30"/>
      </w:pPr>
      <w:r>
        <w:t>a</w:t>
      </w:r>
      <w:r>
        <w:rPr>
          <w:rFonts w:hint="eastAsia"/>
        </w:rPr>
        <w:t>）</w:t>
      </w:r>
      <w:r>
        <w:t xml:space="preserve"> </w:t>
      </w:r>
      <w:r>
        <w:rPr>
          <w:rFonts w:hint="eastAsia"/>
        </w:rPr>
        <w:t>生产企业名称或商标；</w:t>
      </w:r>
    </w:p>
    <w:p>
      <w:pPr>
        <w:pStyle w:val="30"/>
      </w:pPr>
      <w:r>
        <w:t>b</w:t>
      </w:r>
      <w:r>
        <w:rPr>
          <w:rFonts w:hint="eastAsia"/>
        </w:rPr>
        <w:t>）</w:t>
      </w:r>
      <w:r>
        <w:t xml:space="preserve"> </w:t>
      </w:r>
      <w:r>
        <w:rPr>
          <w:rFonts w:hint="eastAsia"/>
        </w:rPr>
        <w:t>产品型号、名称；</w:t>
      </w:r>
    </w:p>
    <w:p>
      <w:pPr>
        <w:pStyle w:val="30"/>
      </w:pPr>
      <w:r>
        <w:t xml:space="preserve">c) </w:t>
      </w:r>
      <w:r>
        <w:rPr>
          <w:rFonts w:hint="eastAsia"/>
        </w:rPr>
        <w:t xml:space="preserve"> 产品制造年、月；</w:t>
      </w:r>
    </w:p>
    <w:p>
      <w:pPr>
        <w:pStyle w:val="30"/>
      </w:pPr>
      <w:r>
        <w:t>d</w:t>
      </w:r>
      <w:r>
        <w:rPr>
          <w:rFonts w:hint="eastAsia"/>
        </w:rPr>
        <w:t>）</w:t>
      </w:r>
      <w:r>
        <w:t xml:space="preserve"> </w:t>
      </w:r>
      <w:r>
        <w:rPr>
          <w:rFonts w:hint="eastAsia"/>
        </w:rPr>
        <w:t>产品编号或序列号；</w:t>
      </w:r>
    </w:p>
    <w:p>
      <w:pPr>
        <w:pStyle w:val="30"/>
      </w:pPr>
      <w:r>
        <w:t>e</w:t>
      </w:r>
      <w:r>
        <w:rPr>
          <w:rFonts w:hint="eastAsia"/>
        </w:rPr>
        <w:t>）</w:t>
      </w:r>
      <w:r>
        <w:t xml:space="preserve"> </w:t>
      </w:r>
      <w:r>
        <w:rPr>
          <w:rFonts w:hint="eastAsia"/>
        </w:rPr>
        <w:t>电气标识符号。</w:t>
      </w:r>
    </w:p>
    <w:p>
      <w:pPr>
        <w:pStyle w:val="33"/>
        <w:spacing w:before="156" w:after="156"/>
      </w:pPr>
      <w:bookmarkStart w:id="84" w:name="_Toc98696262"/>
      <w:r>
        <w:rPr>
          <w:rFonts w:hint="eastAsia"/>
        </w:rPr>
        <w:t>包装、运输</w:t>
      </w:r>
      <w:bookmarkEnd w:id="84"/>
    </w:p>
    <w:p>
      <w:pPr>
        <w:pStyle w:val="41"/>
        <w:spacing w:before="156" w:after="156"/>
        <w:rPr>
          <w:rFonts w:ascii="宋体" w:eastAsia="宋体" w:cs="宋体"/>
        </w:rPr>
      </w:pPr>
      <w:r>
        <w:rPr>
          <w:rFonts w:hint="eastAsia" w:ascii="宋体" w:eastAsia="宋体" w:cs="宋体"/>
        </w:rPr>
        <w:t>产品应用防潮材料包装，端子加防锈纸，再装入包装箱内，备附件应随同装入。包装应牢固，保证在运输中不应受剧烈冲击、暴晒、雨淋。在装卸过程中，应轻搬轻放，严禁摔掷和重压。</w:t>
      </w:r>
    </w:p>
    <w:p>
      <w:pPr>
        <w:pStyle w:val="41"/>
        <w:spacing w:before="156" w:after="156"/>
        <w:rPr>
          <w:rFonts w:hAnsi="黑体" w:cs="宋体"/>
        </w:rPr>
      </w:pPr>
      <w:r>
        <w:rPr>
          <w:rFonts w:hint="eastAsia" w:hAnsi="黑体" w:cs="宋体"/>
        </w:rPr>
        <w:t>包装箱内包括下列附件：</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a</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产品合格书；</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b</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产品使用说明书；</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c</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产品及文件清单。</w:t>
      </w:r>
    </w:p>
    <w:p>
      <w:pPr>
        <w:pStyle w:val="41"/>
        <w:spacing w:before="156" w:after="156"/>
      </w:pPr>
      <w:r>
        <w:rPr>
          <w:rFonts w:hint="eastAsia"/>
        </w:rPr>
        <w:t>包装箱上应包含下列标识：</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a</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名称、标准编号、型号及出厂日期；</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b</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生产企业名称、商标、详细地址及收货单位名称、地址；</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c</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装箱数量、总重量及外形尺寸；</w:t>
      </w:r>
    </w:p>
    <w:p>
      <w:pPr>
        <w:autoSpaceDE w:val="0"/>
        <w:autoSpaceDN w:val="0"/>
        <w:adjustRightInd w:val="0"/>
        <w:ind w:firstLine="420" w:firstLineChars="200"/>
        <w:jc w:val="left"/>
        <w:rPr>
          <w:rFonts w:ascii="宋体" w:hAnsi="Times New Roman" w:eastAsia="宋体" w:cs="宋体"/>
          <w:kern w:val="0"/>
          <w:szCs w:val="21"/>
        </w:rPr>
      </w:pPr>
      <w:r>
        <w:rPr>
          <w:rFonts w:ascii="宋体" w:hAnsi="Times New Roman" w:eastAsia="宋体" w:cs="宋体"/>
          <w:kern w:val="0"/>
          <w:szCs w:val="21"/>
        </w:rPr>
        <w:t>d</w:t>
      </w:r>
      <w:r>
        <w:rPr>
          <w:rFonts w:hint="eastAsia" w:ascii="宋体" w:hAnsi="Times New Roman" w:eastAsia="宋体" w:cs="宋体"/>
          <w:kern w:val="0"/>
          <w:szCs w:val="21"/>
        </w:rPr>
        <w:t>）</w:t>
      </w:r>
      <w:r>
        <w:rPr>
          <w:rFonts w:ascii="宋体" w:hAnsi="Times New Roman" w:eastAsia="宋体" w:cs="宋体"/>
          <w:kern w:val="0"/>
          <w:szCs w:val="21"/>
        </w:rPr>
        <w:t xml:space="preserve"> </w:t>
      </w:r>
      <w:r>
        <w:rPr>
          <w:rFonts w:hint="eastAsia" w:ascii="宋体" w:hAnsi="Times New Roman" w:eastAsia="宋体" w:cs="宋体"/>
          <w:kern w:val="0"/>
          <w:szCs w:val="21"/>
        </w:rPr>
        <w:t>收发货标识、包装储运图示标识及其它标识。</w:t>
      </w:r>
    </w:p>
    <w:p>
      <w:pPr>
        <w:pStyle w:val="33"/>
        <w:spacing w:before="156" w:after="156"/>
      </w:pPr>
      <w:bookmarkStart w:id="85" w:name="_Toc98696263"/>
      <w:r>
        <w:rPr>
          <w:rFonts w:hint="eastAsia"/>
        </w:rPr>
        <w:t>存储</w:t>
      </w:r>
      <w:bookmarkEnd w:id="85"/>
    </w:p>
    <w:p>
      <w:pPr>
        <w:pStyle w:val="30"/>
      </w:pPr>
      <w:r>
        <w:rPr>
          <w:rFonts w:hint="eastAsia"/>
        </w:rPr>
        <w:t>产品应存储在通风、干燥、清洁、不含有酸性或其他腐蚀性及爆炸性物质的场所内。距离热源不应少于</w:t>
      </w:r>
      <w:r>
        <w:t>2 m</w:t>
      </w:r>
      <w:r>
        <w:rPr>
          <w:rFonts w:hint="eastAsia"/>
        </w:rPr>
        <w:t>，不应重压。在存储期间不应淋雨、暴晒、凝露和霜冻。</w:t>
      </w: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szCs w:val="21"/>
        </w:rPr>
      </w:pPr>
    </w:p>
    <w:p>
      <w:pPr>
        <w:pStyle w:val="30"/>
        <w:rPr>
          <w:rFonts w:hint="eastAsia"/>
          <w:szCs w:val="21"/>
        </w:rPr>
      </w:pPr>
    </w:p>
    <w:p>
      <w:pPr>
        <w:pStyle w:val="30"/>
        <w:rPr>
          <w:rFonts w:hint="eastAsia"/>
          <w:szCs w:val="21"/>
        </w:rPr>
      </w:pPr>
    </w:p>
    <w:p>
      <w:pPr>
        <w:pStyle w:val="30"/>
        <w:rPr>
          <w:rFonts w:hint="eastAsia"/>
          <w:szCs w:val="21"/>
        </w:rPr>
      </w:pPr>
    </w:p>
    <w:p>
      <w:pPr>
        <w:pStyle w:val="30"/>
        <w:rPr>
          <w:rFonts w:hint="eastAsia"/>
          <w:szCs w:val="21"/>
        </w:rPr>
      </w:pPr>
    </w:p>
    <w:p>
      <w:pPr>
        <w:pStyle w:val="30"/>
        <w:rPr>
          <w:rFonts w:hint="eastAsia"/>
          <w:szCs w:val="21"/>
        </w:rPr>
      </w:pPr>
    </w:p>
    <w:p>
      <w:pPr>
        <w:pStyle w:val="30"/>
        <w:rPr>
          <w:rFonts w:hint="eastAsia"/>
          <w:szCs w:val="21"/>
        </w:rPr>
      </w:pPr>
    </w:p>
    <w:p>
      <w:pPr>
        <w:pStyle w:val="30"/>
        <w:rPr>
          <w:szCs w:val="21"/>
        </w:rPr>
      </w:pPr>
    </w:p>
    <w:p>
      <w:pPr>
        <w:pStyle w:val="30"/>
        <w:rPr>
          <w:szCs w:val="21"/>
        </w:rPr>
      </w:pPr>
    </w:p>
    <w:p>
      <w:pPr>
        <w:pStyle w:val="30"/>
        <w:rPr>
          <w:szCs w:val="21"/>
        </w:rPr>
      </w:pPr>
    </w:p>
    <w:p>
      <w:pPr>
        <w:pStyle w:val="53"/>
        <w:adjustRightInd/>
        <w:snapToGrid/>
        <w:spacing w:line="240" w:lineRule="auto"/>
        <w:rPr>
          <w:szCs w:val="21"/>
        </w:rPr>
      </w:pPr>
      <w:bookmarkStart w:id="86" w:name="_Toc98696264"/>
    </w:p>
    <w:p>
      <w:pPr>
        <w:pStyle w:val="53"/>
        <w:adjustRightInd/>
        <w:snapToGrid/>
        <w:spacing w:line="240" w:lineRule="auto"/>
        <w:rPr>
          <w:szCs w:val="21"/>
        </w:rPr>
      </w:pPr>
      <w:r>
        <w:rPr>
          <w:rFonts w:hint="eastAsia" w:ascii="黑体" w:hAnsi="黑体" w:eastAsia="黑体"/>
          <w:szCs w:val="21"/>
        </w:rPr>
        <w:t>（规范性附录）</w:t>
      </w:r>
    </w:p>
    <w:p>
      <w:pPr>
        <w:pStyle w:val="53"/>
        <w:adjustRightInd/>
        <w:snapToGrid/>
        <w:spacing w:line="240" w:lineRule="auto"/>
        <w:rPr>
          <w:szCs w:val="21"/>
        </w:rPr>
      </w:pPr>
      <w:r>
        <w:rPr>
          <w:rFonts w:hint="eastAsia"/>
          <w:szCs w:val="21"/>
        </w:rPr>
        <w:t>换电连接器界面尺寸</w:t>
      </w:r>
      <w:bookmarkEnd w:id="86"/>
    </w:p>
    <w:p>
      <w:pPr>
        <w:pStyle w:val="55"/>
        <w:spacing w:before="156" w:after="156"/>
      </w:pPr>
      <w:bookmarkStart w:id="87" w:name="_Toc98696265"/>
      <w:r>
        <w:rPr>
          <w:rFonts w:hint="eastAsia"/>
          <w:highlight w:val="yellow"/>
        </w:rPr>
        <w:t>I型</w:t>
      </w:r>
      <w:r>
        <w:rPr>
          <w:rFonts w:hint="eastAsia"/>
        </w:rPr>
        <w:t>换电连接器界面尺寸要求（12</w:t>
      </w:r>
      <w:r>
        <w:t>PIN</w:t>
      </w:r>
      <w:r>
        <w:rPr>
          <w:rFonts w:hint="eastAsia"/>
        </w:rPr>
        <w:t>低压触头</w:t>
      </w:r>
      <w:r>
        <w:rPr>
          <w:rFonts w:hint="eastAsia" w:hAnsi="黑体"/>
        </w:rPr>
        <w:t>形式</w:t>
      </w:r>
      <w:r>
        <w:rPr>
          <w:rFonts w:hint="eastAsia"/>
        </w:rPr>
        <w:t>）</w:t>
      </w:r>
      <w:bookmarkEnd w:id="87"/>
    </w:p>
    <w:p>
      <w:pPr>
        <w:pStyle w:val="30"/>
      </w:pPr>
      <w:r>
        <w:rPr>
          <w:rFonts w:hint="eastAsia"/>
        </w:rPr>
        <w:t>12</w:t>
      </w:r>
      <w:r>
        <w:t>PIN</w:t>
      </w:r>
      <w:r>
        <w:rPr>
          <w:rFonts w:hint="eastAsia"/>
        </w:rPr>
        <w:t>低压触头换电连接器插头界面尺寸见图</w:t>
      </w:r>
      <w:r>
        <w:t>A</w:t>
      </w:r>
      <w:r>
        <w:rPr>
          <w:rFonts w:hint="eastAsia"/>
        </w:rPr>
        <w:t>1，插座界面尺寸见图</w:t>
      </w:r>
      <w:r>
        <w:t>A</w:t>
      </w:r>
      <w:r>
        <w:rPr>
          <w:rFonts w:hint="eastAsia"/>
        </w:rPr>
        <w:t>2。</w:t>
      </w:r>
    </w:p>
    <w:p>
      <w:pPr>
        <w:pStyle w:val="30"/>
        <w:ind w:firstLine="0" w:firstLineChars="0"/>
        <w:jc w:val="center"/>
      </w:pPr>
      <w:r>
        <w:rPr>
          <w:rFonts w:hint="eastAsia"/>
        </w:rPr>
        <w:t xml:space="preserve"> </w:t>
      </w:r>
      <w:r>
        <w:t xml:space="preserve"> </w:t>
      </w:r>
      <w:r>
        <w:drawing>
          <wp:inline distT="0" distB="0" distL="0" distR="0">
            <wp:extent cx="5554980" cy="2693670"/>
            <wp:effectExtent l="0" t="0" r="762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rcRect l="1638" r="2938"/>
                    <a:stretch>
                      <a:fillRect/>
                    </a:stretch>
                  </pic:blipFill>
                  <pic:spPr>
                    <a:xfrm>
                      <a:off x="0" y="0"/>
                      <a:ext cx="5564926" cy="2699038"/>
                    </a:xfrm>
                    <a:prstGeom prst="rect">
                      <a:avLst/>
                    </a:prstGeom>
                    <a:ln>
                      <a:noFill/>
                    </a:ln>
                  </pic:spPr>
                </pic:pic>
              </a:graphicData>
            </a:graphic>
          </wp:inline>
        </w:drawing>
      </w:r>
    </w:p>
    <w:p>
      <w:pPr>
        <w:pStyle w:val="30"/>
        <w:ind w:firstLine="0" w:firstLineChars="0"/>
        <w:jc w:val="center"/>
      </w:pPr>
      <w:r>
        <w:drawing>
          <wp:inline distT="0" distB="0" distL="0" distR="0">
            <wp:extent cx="5514340" cy="3086100"/>
            <wp:effectExtent l="0" t="0" r="1016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cstate="print"/>
                    <a:srcRect l="674" r="1012"/>
                    <a:stretch>
                      <a:fillRect/>
                    </a:stretch>
                  </pic:blipFill>
                  <pic:spPr>
                    <a:xfrm>
                      <a:off x="0" y="0"/>
                      <a:ext cx="5521944" cy="3090282"/>
                    </a:xfrm>
                    <a:prstGeom prst="rect">
                      <a:avLst/>
                    </a:prstGeom>
                    <a:ln>
                      <a:noFill/>
                    </a:ln>
                  </pic:spPr>
                </pic:pic>
              </a:graphicData>
            </a:graphic>
          </wp:inline>
        </w:drawing>
      </w:r>
    </w:p>
    <w:p>
      <w:pPr>
        <w:pStyle w:val="30"/>
        <w:ind w:firstLine="0" w:firstLineChars="0"/>
        <w:jc w:val="center"/>
        <w:rPr>
          <w:rFonts w:ascii="黑体" w:hAnsi="黑体" w:eastAsia="黑体"/>
        </w:rPr>
      </w:pPr>
      <w:r>
        <w:rPr>
          <w:rFonts w:hint="eastAsia" w:ascii="黑体" w:hAnsi="黑体" w:eastAsia="黑体"/>
        </w:rPr>
        <w:t>图</w:t>
      </w:r>
      <w:r>
        <w:rPr>
          <w:rFonts w:ascii="黑体" w:hAnsi="黑体" w:eastAsia="黑体"/>
        </w:rPr>
        <w:t>A</w:t>
      </w:r>
      <w:r>
        <w:rPr>
          <w:rFonts w:hint="eastAsia" w:ascii="黑体" w:hAnsi="黑体" w:eastAsia="黑体"/>
        </w:rPr>
        <w:t>.1</w:t>
      </w:r>
      <w:r>
        <w:rPr>
          <w:rFonts w:ascii="黑体" w:hAnsi="黑体" w:eastAsia="黑体"/>
        </w:rPr>
        <w:t xml:space="preserve">  </w:t>
      </w:r>
      <w:r>
        <w:rPr>
          <w:rFonts w:hint="eastAsia" w:ascii="黑体" w:hAnsi="黑体" w:eastAsia="黑体"/>
        </w:rPr>
        <w:t>换电连接器插头界面尺寸（12</w:t>
      </w:r>
      <w:r>
        <w:rPr>
          <w:rFonts w:ascii="黑体" w:hAnsi="黑体" w:eastAsia="黑体"/>
        </w:rPr>
        <w:t>PIN</w:t>
      </w:r>
      <w:r>
        <w:rPr>
          <w:rFonts w:hint="eastAsia" w:ascii="黑体" w:hAnsi="黑体" w:eastAsia="黑体"/>
        </w:rPr>
        <w:t>低压触头形式）</w:t>
      </w:r>
    </w:p>
    <w:p>
      <w:pPr>
        <w:pStyle w:val="30"/>
      </w:pPr>
    </w:p>
    <w:p>
      <w:pPr>
        <w:pStyle w:val="30"/>
        <w:ind w:firstLine="0" w:firstLineChars="0"/>
      </w:pPr>
      <w:r>
        <w:drawing>
          <wp:inline distT="0" distB="0" distL="0" distR="0">
            <wp:extent cx="5276215" cy="2099945"/>
            <wp:effectExtent l="0" t="0" r="63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stretch>
                      <a:fillRect/>
                    </a:stretch>
                  </pic:blipFill>
                  <pic:spPr>
                    <a:xfrm>
                      <a:off x="0" y="0"/>
                      <a:ext cx="5285901" cy="2104250"/>
                    </a:xfrm>
                    <a:prstGeom prst="rect">
                      <a:avLst/>
                    </a:prstGeom>
                  </pic:spPr>
                </pic:pic>
              </a:graphicData>
            </a:graphic>
          </wp:inline>
        </w:drawing>
      </w:r>
    </w:p>
    <w:p>
      <w:pPr>
        <w:pStyle w:val="30"/>
        <w:ind w:firstLine="0" w:firstLineChars="0"/>
      </w:pPr>
      <w:r>
        <w:drawing>
          <wp:inline distT="0" distB="0" distL="0" distR="0">
            <wp:extent cx="5274310" cy="2064385"/>
            <wp:effectExtent l="0" t="0" r="254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stretch>
                      <a:fillRect/>
                    </a:stretch>
                  </pic:blipFill>
                  <pic:spPr>
                    <a:xfrm>
                      <a:off x="0" y="0"/>
                      <a:ext cx="5274310" cy="2064385"/>
                    </a:xfrm>
                    <a:prstGeom prst="rect">
                      <a:avLst/>
                    </a:prstGeom>
                  </pic:spPr>
                </pic:pic>
              </a:graphicData>
            </a:graphic>
          </wp:inline>
        </w:drawing>
      </w:r>
    </w:p>
    <w:p>
      <w:pPr>
        <w:pStyle w:val="30"/>
        <w:jc w:val="center"/>
        <w:rPr>
          <w:rFonts w:ascii="黑体" w:hAnsi="黑体" w:eastAsia="黑体"/>
        </w:rPr>
      </w:pPr>
      <w:r>
        <w:rPr>
          <w:rFonts w:hint="eastAsia" w:ascii="黑体" w:hAnsi="黑体" w:eastAsia="黑体"/>
        </w:rPr>
        <w:t>图</w:t>
      </w:r>
      <w:r>
        <w:rPr>
          <w:rFonts w:ascii="黑体" w:hAnsi="黑体" w:eastAsia="黑体"/>
        </w:rPr>
        <w:t>A</w:t>
      </w:r>
      <w:r>
        <w:rPr>
          <w:rFonts w:hint="eastAsia" w:ascii="黑体" w:hAnsi="黑体" w:eastAsia="黑体"/>
        </w:rPr>
        <w:t xml:space="preserve">.2 </w:t>
      </w:r>
      <w:r>
        <w:rPr>
          <w:rFonts w:ascii="黑体" w:hAnsi="黑体" w:eastAsia="黑体"/>
        </w:rPr>
        <w:t xml:space="preserve"> </w:t>
      </w:r>
      <w:r>
        <w:rPr>
          <w:rFonts w:hint="eastAsia" w:ascii="黑体" w:hAnsi="黑体" w:eastAsia="黑体"/>
        </w:rPr>
        <w:t>换电连接器插座界面尺寸（12</w:t>
      </w:r>
      <w:r>
        <w:rPr>
          <w:rFonts w:ascii="黑体" w:hAnsi="黑体" w:eastAsia="黑体"/>
        </w:rPr>
        <w:t>PIN</w:t>
      </w:r>
      <w:r>
        <w:rPr>
          <w:rFonts w:hint="eastAsia" w:ascii="黑体" w:hAnsi="黑体" w:eastAsia="黑体"/>
        </w:rPr>
        <w:t>低压触头形式）</w:t>
      </w:r>
    </w:p>
    <w:p>
      <w:pPr>
        <w:pStyle w:val="55"/>
        <w:spacing w:before="156" w:after="156"/>
      </w:pPr>
      <w:bookmarkStart w:id="88" w:name="_Toc98696266"/>
      <w:r>
        <w:rPr>
          <w:rFonts w:hint="eastAsia"/>
        </w:rPr>
        <w:t>换电连接器界面尺寸要求（23</w:t>
      </w:r>
      <w:r>
        <w:t>PIN</w:t>
      </w:r>
      <w:r>
        <w:rPr>
          <w:rFonts w:hint="eastAsia"/>
        </w:rPr>
        <w:t>低压触头方案形式）</w:t>
      </w:r>
      <w:bookmarkEnd w:id="88"/>
    </w:p>
    <w:p>
      <w:pPr>
        <w:pStyle w:val="30"/>
      </w:pPr>
      <w:r>
        <w:rPr>
          <w:rFonts w:hint="eastAsia"/>
        </w:rPr>
        <w:t>23</w:t>
      </w:r>
      <w:r>
        <w:t>PIN</w:t>
      </w:r>
      <w:r>
        <w:rPr>
          <w:rFonts w:hint="eastAsia"/>
        </w:rPr>
        <w:t>低压端子换电连接器插头界面尺寸见图</w:t>
      </w:r>
      <w:r>
        <w:t>A</w:t>
      </w:r>
      <w:r>
        <w:rPr>
          <w:rFonts w:hint="eastAsia"/>
        </w:rPr>
        <w:t>3，插座界面尺寸见图</w:t>
      </w:r>
      <w:r>
        <w:t>A</w:t>
      </w:r>
      <w:r>
        <w:rPr>
          <w:rFonts w:hint="eastAsia"/>
        </w:rPr>
        <w:t>4。</w:t>
      </w:r>
    </w:p>
    <w:p>
      <w:pPr>
        <w:pStyle w:val="30"/>
        <w:ind w:firstLine="0" w:firstLineChars="0"/>
      </w:pPr>
      <w:r>
        <w:drawing>
          <wp:inline distT="0" distB="0" distL="0" distR="0">
            <wp:extent cx="5274310" cy="22453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stretch>
                      <a:fillRect/>
                    </a:stretch>
                  </pic:blipFill>
                  <pic:spPr>
                    <a:xfrm>
                      <a:off x="0" y="0"/>
                      <a:ext cx="5274310" cy="2245360"/>
                    </a:xfrm>
                    <a:prstGeom prst="rect">
                      <a:avLst/>
                    </a:prstGeom>
                  </pic:spPr>
                </pic:pic>
              </a:graphicData>
            </a:graphic>
          </wp:inline>
        </w:drawing>
      </w:r>
    </w:p>
    <w:p>
      <w:pPr>
        <w:pStyle w:val="30"/>
        <w:ind w:firstLine="0" w:firstLineChars="0"/>
      </w:pPr>
      <w:r>
        <w:drawing>
          <wp:inline distT="0" distB="0" distL="0" distR="0">
            <wp:extent cx="5105400" cy="2158365"/>
            <wp:effectExtent l="0" t="0" r="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srcRect r="3202"/>
                    <a:stretch>
                      <a:fillRect/>
                    </a:stretch>
                  </pic:blipFill>
                  <pic:spPr>
                    <a:xfrm>
                      <a:off x="0" y="0"/>
                      <a:ext cx="5105400" cy="2158365"/>
                    </a:xfrm>
                    <a:prstGeom prst="rect">
                      <a:avLst/>
                    </a:prstGeom>
                    <a:ln>
                      <a:noFill/>
                    </a:ln>
                  </pic:spPr>
                </pic:pic>
              </a:graphicData>
            </a:graphic>
          </wp:inline>
        </w:drawing>
      </w:r>
    </w:p>
    <w:p>
      <w:pPr>
        <w:pStyle w:val="30"/>
        <w:ind w:firstLine="0" w:firstLineChars="0"/>
        <w:jc w:val="center"/>
        <w:rPr>
          <w:rFonts w:ascii="黑体" w:hAnsi="黑体" w:eastAsia="黑体"/>
        </w:rPr>
      </w:pPr>
      <w:r>
        <w:rPr>
          <w:rFonts w:hint="eastAsia" w:ascii="黑体" w:hAnsi="黑体" w:eastAsia="黑体"/>
        </w:rPr>
        <w:t>图</w:t>
      </w:r>
      <w:r>
        <w:rPr>
          <w:rFonts w:ascii="黑体" w:hAnsi="黑体" w:eastAsia="黑体"/>
        </w:rPr>
        <w:t>A</w:t>
      </w:r>
      <w:r>
        <w:rPr>
          <w:rFonts w:hint="eastAsia" w:ascii="黑体" w:hAnsi="黑体" w:eastAsia="黑体"/>
        </w:rPr>
        <w:t>.</w:t>
      </w:r>
      <w:r>
        <w:rPr>
          <w:rFonts w:ascii="黑体" w:hAnsi="黑体" w:eastAsia="黑体"/>
        </w:rPr>
        <w:t xml:space="preserve">3  </w:t>
      </w:r>
      <w:r>
        <w:rPr>
          <w:rFonts w:hint="eastAsia" w:ascii="黑体" w:hAnsi="黑体" w:eastAsia="黑体"/>
        </w:rPr>
        <w:t>换电连接器插头界面尺寸（23</w:t>
      </w:r>
      <w:r>
        <w:rPr>
          <w:rFonts w:ascii="黑体" w:hAnsi="黑体" w:eastAsia="黑体"/>
        </w:rPr>
        <w:t>PIN</w:t>
      </w:r>
      <w:r>
        <w:rPr>
          <w:rFonts w:hint="eastAsia" w:ascii="黑体" w:hAnsi="黑体" w:eastAsia="黑体"/>
        </w:rPr>
        <w:t>低压触头方案形式）</w:t>
      </w:r>
    </w:p>
    <w:p>
      <w:pPr>
        <w:pStyle w:val="30"/>
        <w:ind w:firstLine="0" w:firstLineChars="0"/>
      </w:pPr>
      <w:r>
        <w:drawing>
          <wp:inline distT="0" distB="0" distL="0" distR="0">
            <wp:extent cx="5274310" cy="19812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5274310" cy="1981200"/>
                    </a:xfrm>
                    <a:prstGeom prst="rect">
                      <a:avLst/>
                    </a:prstGeom>
                  </pic:spPr>
                </pic:pic>
              </a:graphicData>
            </a:graphic>
          </wp:inline>
        </w:drawing>
      </w:r>
    </w:p>
    <w:p>
      <w:pPr>
        <w:pStyle w:val="30"/>
        <w:ind w:firstLine="0" w:firstLineChars="0"/>
      </w:pPr>
      <w:r>
        <w:drawing>
          <wp:inline distT="0" distB="0" distL="0" distR="0">
            <wp:extent cx="5274310" cy="21488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cstate="print"/>
                    <a:stretch>
                      <a:fillRect/>
                    </a:stretch>
                  </pic:blipFill>
                  <pic:spPr>
                    <a:xfrm>
                      <a:off x="0" y="0"/>
                      <a:ext cx="5274310" cy="2148840"/>
                    </a:xfrm>
                    <a:prstGeom prst="rect">
                      <a:avLst/>
                    </a:prstGeom>
                  </pic:spPr>
                </pic:pic>
              </a:graphicData>
            </a:graphic>
          </wp:inline>
        </w:drawing>
      </w:r>
    </w:p>
    <w:p>
      <w:pPr>
        <w:pStyle w:val="30"/>
        <w:jc w:val="center"/>
        <w:rPr>
          <w:rFonts w:ascii="黑体" w:hAnsi="黑体" w:eastAsia="黑体"/>
        </w:rPr>
      </w:pPr>
      <w:r>
        <w:rPr>
          <w:rFonts w:hint="eastAsia" w:ascii="黑体" w:hAnsi="黑体" w:eastAsia="黑体"/>
        </w:rPr>
        <w:t>图</w:t>
      </w:r>
      <w:r>
        <w:rPr>
          <w:rFonts w:ascii="黑体" w:hAnsi="黑体" w:eastAsia="黑体"/>
        </w:rPr>
        <w:t>A</w:t>
      </w:r>
      <w:r>
        <w:rPr>
          <w:rFonts w:hint="eastAsia" w:ascii="黑体" w:hAnsi="黑体" w:eastAsia="黑体"/>
        </w:rPr>
        <w:t xml:space="preserve">.4 </w:t>
      </w:r>
      <w:r>
        <w:rPr>
          <w:rFonts w:ascii="黑体" w:hAnsi="黑体" w:eastAsia="黑体"/>
        </w:rPr>
        <w:t xml:space="preserve"> </w:t>
      </w:r>
      <w:r>
        <w:rPr>
          <w:rFonts w:hint="eastAsia" w:ascii="黑体" w:hAnsi="黑体" w:eastAsia="黑体"/>
        </w:rPr>
        <w:t>换电连接器插座界面尺寸（23</w:t>
      </w:r>
      <w:r>
        <w:rPr>
          <w:rFonts w:ascii="黑体" w:hAnsi="黑体" w:eastAsia="黑体"/>
        </w:rPr>
        <w:t>PIN</w:t>
      </w:r>
      <w:r>
        <w:rPr>
          <w:rFonts w:hint="eastAsia" w:ascii="黑体" w:hAnsi="黑体" w:eastAsia="黑体"/>
        </w:rPr>
        <w:t>低压触头方案形式）</w:t>
      </w: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30"/>
        <w:ind w:firstLine="0" w:firstLineChars="0"/>
        <w:rPr>
          <w:rFonts w:hint="eastAsia" w:hAnsi="宋体"/>
          <w:szCs w:val="21"/>
        </w:rPr>
      </w:pPr>
    </w:p>
    <w:p>
      <w:pPr>
        <w:pStyle w:val="55"/>
        <w:spacing w:before="156" w:after="156"/>
        <w:rPr>
          <w:highlight w:val="yellow"/>
        </w:rPr>
      </w:pPr>
      <w:r>
        <w:rPr>
          <w:rFonts w:hint="eastAsia"/>
          <w:highlight w:val="yellow"/>
        </w:rPr>
        <w:t>II型换电连接器界面尺寸要求（36</w:t>
      </w:r>
      <w:r>
        <w:rPr>
          <w:highlight w:val="yellow"/>
        </w:rPr>
        <w:t>PIN</w:t>
      </w:r>
      <w:r>
        <w:rPr>
          <w:rFonts w:hint="eastAsia"/>
          <w:highlight w:val="yellow"/>
        </w:rPr>
        <w:t>低压触头</w:t>
      </w:r>
      <w:r>
        <w:rPr>
          <w:rFonts w:hint="eastAsia" w:hAnsi="黑体"/>
          <w:highlight w:val="yellow"/>
        </w:rPr>
        <w:t>形式</w:t>
      </w:r>
      <w:r>
        <w:rPr>
          <w:rFonts w:hint="eastAsia"/>
          <w:highlight w:val="yellow"/>
        </w:rPr>
        <w:t>）</w:t>
      </w:r>
    </w:p>
    <w:p>
      <w:pPr>
        <w:pStyle w:val="30"/>
      </w:pPr>
      <w:r>
        <w:rPr>
          <w:rFonts w:hint="eastAsia"/>
          <w:highlight w:val="yellow"/>
        </w:rPr>
        <w:t>36</w:t>
      </w:r>
      <w:r>
        <w:rPr>
          <w:highlight w:val="yellow"/>
        </w:rPr>
        <w:t>PIN</w:t>
      </w:r>
      <w:r>
        <w:rPr>
          <w:rFonts w:hint="eastAsia"/>
          <w:highlight w:val="yellow"/>
        </w:rPr>
        <w:t>低压触头换电连接器插头界面尺寸见图、插座界面尺寸见图</w:t>
      </w:r>
      <w:r>
        <w:rPr>
          <w:highlight w:val="yellow"/>
        </w:rPr>
        <w:t>A</w:t>
      </w:r>
      <w:r>
        <w:rPr>
          <w:rFonts w:hint="eastAsia"/>
          <w:highlight w:val="yellow"/>
        </w:rPr>
        <w:t>5</w:t>
      </w:r>
      <w:r>
        <w:rPr>
          <w:rFonts w:hint="eastAsia"/>
        </w:rPr>
        <w:t>。</w:t>
      </w:r>
    </w:p>
    <w:p>
      <w:pPr>
        <w:pStyle w:val="30"/>
        <w:ind w:firstLine="0" w:firstLineChars="0"/>
        <w:rPr>
          <w:rFonts w:hAnsi="宋体"/>
          <w:szCs w:val="21"/>
        </w:rPr>
      </w:pPr>
      <w:r>
        <w:rPr>
          <w:rFonts w:hAnsi="宋体"/>
          <w:szCs w:val="21"/>
        </w:rPr>
        <w:drawing>
          <wp:inline distT="0" distB="0" distL="0" distR="0">
            <wp:extent cx="5662295" cy="2933700"/>
            <wp:effectExtent l="0" t="0" r="14605"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19" cstate="print"/>
                    <a:stretch>
                      <a:fillRect/>
                    </a:stretch>
                  </pic:blipFill>
                  <pic:spPr>
                    <a:xfrm>
                      <a:off x="0" y="0"/>
                      <a:ext cx="5688797" cy="2947179"/>
                    </a:xfrm>
                    <a:prstGeom prst="rect">
                      <a:avLst/>
                    </a:prstGeom>
                  </pic:spPr>
                </pic:pic>
              </a:graphicData>
            </a:graphic>
          </wp:inline>
        </w:drawing>
      </w:r>
      <w:r>
        <w:rPr>
          <w:rFonts w:hAnsi="宋体"/>
          <w:szCs w:val="21"/>
        </w:rPr>
        <mc:AlternateContent>
          <mc:Choice Requires="wps">
            <w:drawing>
              <wp:anchor distT="0" distB="0" distL="114300" distR="114300" simplePos="0" relativeHeight="251660288" behindDoc="0" locked="0" layoutInCell="1" allowOverlap="1">
                <wp:simplePos x="0" y="0"/>
                <wp:positionH relativeFrom="column">
                  <wp:posOffset>2143125</wp:posOffset>
                </wp:positionH>
                <wp:positionV relativeFrom="paragraph">
                  <wp:posOffset>624205</wp:posOffset>
                </wp:positionV>
                <wp:extent cx="1533525" cy="0"/>
                <wp:effectExtent l="0" t="0" r="28575" b="1905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168.75pt;margin-top:49.15pt;height:0pt;width:120.75pt;z-index:251660288;mso-width-relative:page;mso-height-relative:page;" filled="f" stroked="t" coordsize="21600,21600" o:gfxdata="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g3r51gAAAAkB&#10;AAAPAAAAAAAAAAEAIAAAACIAAABkcnMvZG93bnJldi54bWxQSwECFAAUAAAACACHTuJAizH3B+QB&#10;AACrAwAADgAAAAAAAAABACAAAAAlAQAAZHJzL2Uyb0RvYy54bWxQSwUGAAAAAAYABgBZAQAAewUA&#10;AAAA&#10;">
                <v:fill on="f" focussize="0,0"/>
                <v:stroke weight="1.5pt" color="#000000" joinstyle="round"/>
                <v:imagedata o:title=""/>
                <o:lock v:ext="edit" aspectratio="f"/>
              </v:line>
            </w:pict>
          </mc:Fallback>
        </mc:AlternateContent>
      </w:r>
    </w:p>
    <w:sectPr>
      <w:headerReference r:id="rId4" w:type="default"/>
      <w:footerReference r:id="rId5" w:type="default"/>
      <w:pgSz w:w="11906" w:h="16838"/>
      <w:pgMar w:top="1440" w:right="1800" w:bottom="1440" w:left="1800" w:header="851" w:footer="992" w:gutter="0"/>
      <w:pgNumType w:start="5"/>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9348"/>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Fonts w:hint="default" w:eastAsia="黑体"/>
        <w:lang w:val="en-US" w:eastAsia="zh-CN"/>
      </w:rPr>
    </w:pPr>
    <w:r>
      <w:rPr>
        <w:rFonts w:hint="eastAsia"/>
        <w:lang w:val="en-US" w:eastAsia="zh-CN"/>
      </w:rPr>
      <w:t>DB1502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BF583A"/>
    <w:multiLevelType w:val="multilevel"/>
    <w:tmpl w:val="1DBF583A"/>
    <w:lvl w:ilvl="0" w:tentative="0">
      <w:start w:val="1"/>
      <w:numFmt w:val="decimal"/>
      <w:pStyle w:val="50"/>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
    <w:nsid w:val="1FC91163"/>
    <w:multiLevelType w:val="multilevel"/>
    <w:tmpl w:val="1FC91163"/>
    <w:lvl w:ilvl="0" w:tentative="0">
      <w:start w:val="1"/>
      <w:numFmt w:val="decimal"/>
      <w:pStyle w:val="32"/>
      <w:suff w:val="nothing"/>
      <w:lvlText w:val="%1　"/>
      <w:lvlJc w:val="left"/>
      <w:pPr>
        <w:ind w:left="2835" w:firstLine="0"/>
      </w:pPr>
      <w:rPr>
        <w:rFonts w:hint="eastAsia" w:ascii="黑体" w:hAnsi="Times New Roman" w:eastAsia="黑体"/>
        <w:b w:val="0"/>
        <w:i w:val="0"/>
        <w:sz w:val="21"/>
        <w:szCs w:val="21"/>
      </w:rPr>
    </w:lvl>
    <w:lvl w:ilvl="1" w:tentative="0">
      <w:start w:val="1"/>
      <w:numFmt w:val="decimal"/>
      <w:pStyle w:val="3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1"/>
      <w:suff w:val="nothing"/>
      <w:lvlText w:val="%1.%2.%3　"/>
      <w:lvlJc w:val="left"/>
      <w:pPr>
        <w:ind w:left="0" w:firstLine="0"/>
      </w:pPr>
      <w:rPr>
        <w:rFonts w:hint="default" w:ascii="黑体" w:hAnsi="黑体" w:eastAsia="黑体"/>
        <w:b w:val="0"/>
        <w:i w:val="0"/>
        <w:color w:val="auto"/>
        <w:sz w:val="21"/>
        <w:highlight w:val="none"/>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44C50F90"/>
    <w:multiLevelType w:val="multilevel"/>
    <w:tmpl w:val="44C50F90"/>
    <w:lvl w:ilvl="0" w:tentative="0">
      <w:start w:val="1"/>
      <w:numFmt w:val="lowerLetter"/>
      <w:pStyle w:val="46"/>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3">
    <w:nsid w:val="557C2AF5"/>
    <w:multiLevelType w:val="multilevel"/>
    <w:tmpl w:val="557C2AF5"/>
    <w:lvl w:ilvl="0" w:tentative="0">
      <w:start w:val="1"/>
      <w:numFmt w:val="decimal"/>
      <w:pStyle w:val="4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646260FA"/>
    <w:multiLevelType w:val="multilevel"/>
    <w:tmpl w:val="646260FA"/>
    <w:lvl w:ilvl="0" w:tentative="0">
      <w:start w:val="1"/>
      <w:numFmt w:val="decimal"/>
      <w:pStyle w:val="48"/>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57D3FBC"/>
    <w:multiLevelType w:val="multilevel"/>
    <w:tmpl w:val="657D3FBC"/>
    <w:lvl w:ilvl="0" w:tentative="0">
      <w:start w:val="1"/>
      <w:numFmt w:val="upperLetter"/>
      <w:pStyle w:val="53"/>
      <w:suff w:val="nothing"/>
      <w:lvlText w:val="附　录　%1"/>
      <w:lvlJc w:val="left"/>
      <w:pPr>
        <w:ind w:left="0" w:firstLine="0"/>
      </w:pPr>
      <w:rPr>
        <w:rFonts w:hint="eastAsia" w:ascii="黑体" w:hAnsi="Times New Roman" w:eastAsia="黑体"/>
        <w:b w:val="0"/>
        <w:i w:val="0"/>
        <w:sz w:val="21"/>
      </w:rPr>
    </w:lvl>
    <w:lvl w:ilvl="1" w:tentative="0">
      <w:start w:val="1"/>
      <w:numFmt w:val="decimal"/>
      <w:pStyle w:val="55"/>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6"/>
      <w:suff w:val="nothing"/>
      <w:lvlText w:val="%1.%2.%3　"/>
      <w:lvlJc w:val="left"/>
      <w:pPr>
        <w:ind w:left="0" w:firstLine="0"/>
      </w:pPr>
      <w:rPr>
        <w:rFonts w:hint="eastAsia" w:ascii="黑体" w:hAnsi="Times New Roman" w:eastAsia="黑体"/>
        <w:b w:val="0"/>
        <w:i w:val="0"/>
        <w:sz w:val="21"/>
      </w:rPr>
    </w:lvl>
    <w:lvl w:ilvl="3" w:tentative="0">
      <w:start w:val="1"/>
      <w:numFmt w:val="decimal"/>
      <w:pStyle w:val="57"/>
      <w:suff w:val="nothing"/>
      <w:lvlText w:val="%1.%2.%3.%4　"/>
      <w:lvlJc w:val="left"/>
      <w:pPr>
        <w:ind w:left="0" w:firstLine="0"/>
      </w:pPr>
      <w:rPr>
        <w:rFonts w:hint="eastAsia" w:ascii="黑体" w:hAnsi="Times New Roman" w:eastAsia="黑体"/>
        <w:b w:val="0"/>
        <w:i w:val="0"/>
        <w:sz w:val="21"/>
      </w:rPr>
    </w:lvl>
    <w:lvl w:ilvl="4" w:tentative="0">
      <w:start w:val="1"/>
      <w:numFmt w:val="decimal"/>
      <w:pStyle w:val="58"/>
      <w:suff w:val="nothing"/>
      <w:lvlText w:val="%1.%2.%3.%4.%5　"/>
      <w:lvlJc w:val="left"/>
      <w:pPr>
        <w:ind w:left="0" w:firstLine="0"/>
      </w:pPr>
      <w:rPr>
        <w:rFonts w:hint="eastAsia" w:ascii="黑体" w:hAnsi="Times New Roman" w:eastAsia="黑体"/>
        <w:b w:val="0"/>
        <w:i w:val="0"/>
        <w:sz w:val="21"/>
      </w:rPr>
    </w:lvl>
    <w:lvl w:ilvl="5" w:tentative="0">
      <w:start w:val="1"/>
      <w:numFmt w:val="decimal"/>
      <w:pStyle w:val="59"/>
      <w:suff w:val="nothing"/>
      <w:lvlText w:val="%1.%2.%3.%4.%5.%6　"/>
      <w:lvlJc w:val="left"/>
      <w:pPr>
        <w:ind w:left="0" w:firstLine="0"/>
      </w:pPr>
      <w:rPr>
        <w:rFonts w:hint="eastAsia" w:ascii="黑体" w:hAnsi="Times New Roman" w:eastAsia="黑体"/>
        <w:b w:val="0"/>
        <w:i w:val="0"/>
        <w:sz w:val="21"/>
      </w:rPr>
    </w:lvl>
    <w:lvl w:ilvl="6" w:tentative="0">
      <w:start w:val="1"/>
      <w:numFmt w:val="decimal"/>
      <w:pStyle w:val="6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DBF04F4"/>
    <w:multiLevelType w:val="multilevel"/>
    <w:tmpl w:val="6DBF04F4"/>
    <w:lvl w:ilvl="0" w:tentative="0">
      <w:start w:val="1"/>
      <w:numFmt w:val="none"/>
      <w:pStyle w:val="35"/>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1"/>
  </w:num>
  <w:num w:numId="2">
    <w:abstractNumId w:val="6"/>
  </w:num>
  <w:num w:numId="3">
    <w:abstractNumId w:val="3"/>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DB7B08"/>
    <w:rsid w:val="00005A4F"/>
    <w:rsid w:val="00007DA0"/>
    <w:rsid w:val="0001771F"/>
    <w:rsid w:val="00042032"/>
    <w:rsid w:val="00057168"/>
    <w:rsid w:val="000640F3"/>
    <w:rsid w:val="00067216"/>
    <w:rsid w:val="00080B51"/>
    <w:rsid w:val="00081EF6"/>
    <w:rsid w:val="000A2FD7"/>
    <w:rsid w:val="000E004D"/>
    <w:rsid w:val="000E31F7"/>
    <w:rsid w:val="00101E49"/>
    <w:rsid w:val="00111682"/>
    <w:rsid w:val="00116377"/>
    <w:rsid w:val="001305B7"/>
    <w:rsid w:val="00157CD0"/>
    <w:rsid w:val="001639EB"/>
    <w:rsid w:val="00166C70"/>
    <w:rsid w:val="0017524C"/>
    <w:rsid w:val="00185389"/>
    <w:rsid w:val="00191D33"/>
    <w:rsid w:val="00192F83"/>
    <w:rsid w:val="001B29DB"/>
    <w:rsid w:val="001B5E54"/>
    <w:rsid w:val="001C0E0E"/>
    <w:rsid w:val="001C453C"/>
    <w:rsid w:val="001C5C1E"/>
    <w:rsid w:val="001E136A"/>
    <w:rsid w:val="001E41AC"/>
    <w:rsid w:val="001E6900"/>
    <w:rsid w:val="001F0F7E"/>
    <w:rsid w:val="001F59D5"/>
    <w:rsid w:val="002002FB"/>
    <w:rsid w:val="00206F7A"/>
    <w:rsid w:val="00207403"/>
    <w:rsid w:val="00211417"/>
    <w:rsid w:val="002150A6"/>
    <w:rsid w:val="002174FF"/>
    <w:rsid w:val="00217C12"/>
    <w:rsid w:val="00225699"/>
    <w:rsid w:val="0023340E"/>
    <w:rsid w:val="002343D3"/>
    <w:rsid w:val="00241A9B"/>
    <w:rsid w:val="00241BFB"/>
    <w:rsid w:val="00256008"/>
    <w:rsid w:val="00261F6C"/>
    <w:rsid w:val="002625A8"/>
    <w:rsid w:val="00262776"/>
    <w:rsid w:val="00262856"/>
    <w:rsid w:val="00266B92"/>
    <w:rsid w:val="00270CFB"/>
    <w:rsid w:val="002749FF"/>
    <w:rsid w:val="002810D2"/>
    <w:rsid w:val="00283752"/>
    <w:rsid w:val="0028460B"/>
    <w:rsid w:val="002863FB"/>
    <w:rsid w:val="00287FE1"/>
    <w:rsid w:val="002A0310"/>
    <w:rsid w:val="002B009C"/>
    <w:rsid w:val="002B014B"/>
    <w:rsid w:val="002B3D83"/>
    <w:rsid w:val="002B481E"/>
    <w:rsid w:val="002C32D9"/>
    <w:rsid w:val="002C3B5D"/>
    <w:rsid w:val="002D131B"/>
    <w:rsid w:val="002D53F5"/>
    <w:rsid w:val="00310360"/>
    <w:rsid w:val="0031191A"/>
    <w:rsid w:val="0032103A"/>
    <w:rsid w:val="00336AA3"/>
    <w:rsid w:val="00342D19"/>
    <w:rsid w:val="00345767"/>
    <w:rsid w:val="00347A4A"/>
    <w:rsid w:val="0036066D"/>
    <w:rsid w:val="00362990"/>
    <w:rsid w:val="0037174C"/>
    <w:rsid w:val="00385CF8"/>
    <w:rsid w:val="00387F8C"/>
    <w:rsid w:val="00396953"/>
    <w:rsid w:val="003A50BA"/>
    <w:rsid w:val="003B6578"/>
    <w:rsid w:val="003C0841"/>
    <w:rsid w:val="003C630A"/>
    <w:rsid w:val="003D062A"/>
    <w:rsid w:val="003D1673"/>
    <w:rsid w:val="003E1DC2"/>
    <w:rsid w:val="003F6180"/>
    <w:rsid w:val="004063CB"/>
    <w:rsid w:val="00414F39"/>
    <w:rsid w:val="00424A4F"/>
    <w:rsid w:val="00430839"/>
    <w:rsid w:val="00442ACE"/>
    <w:rsid w:val="004566D6"/>
    <w:rsid w:val="00472EFB"/>
    <w:rsid w:val="004766E2"/>
    <w:rsid w:val="0047764C"/>
    <w:rsid w:val="00483508"/>
    <w:rsid w:val="0048634A"/>
    <w:rsid w:val="00493EAC"/>
    <w:rsid w:val="004947CD"/>
    <w:rsid w:val="004A34E0"/>
    <w:rsid w:val="004B0B39"/>
    <w:rsid w:val="004B1044"/>
    <w:rsid w:val="004B175C"/>
    <w:rsid w:val="004B5C3F"/>
    <w:rsid w:val="004C4759"/>
    <w:rsid w:val="004C5621"/>
    <w:rsid w:val="004D06EB"/>
    <w:rsid w:val="004D314B"/>
    <w:rsid w:val="004E5F30"/>
    <w:rsid w:val="004F50F1"/>
    <w:rsid w:val="00500CEC"/>
    <w:rsid w:val="00505C3E"/>
    <w:rsid w:val="00511F2C"/>
    <w:rsid w:val="0051386F"/>
    <w:rsid w:val="00531B68"/>
    <w:rsid w:val="00532294"/>
    <w:rsid w:val="00535C5B"/>
    <w:rsid w:val="0053773E"/>
    <w:rsid w:val="00553421"/>
    <w:rsid w:val="00553E05"/>
    <w:rsid w:val="00556317"/>
    <w:rsid w:val="00563E20"/>
    <w:rsid w:val="005665CF"/>
    <w:rsid w:val="0057331E"/>
    <w:rsid w:val="00584C85"/>
    <w:rsid w:val="005A18A2"/>
    <w:rsid w:val="005A2EF7"/>
    <w:rsid w:val="005B327B"/>
    <w:rsid w:val="005C1F19"/>
    <w:rsid w:val="005C2BE1"/>
    <w:rsid w:val="005C3134"/>
    <w:rsid w:val="005D4119"/>
    <w:rsid w:val="005D5CF2"/>
    <w:rsid w:val="005D7F20"/>
    <w:rsid w:val="005E3E38"/>
    <w:rsid w:val="005E582D"/>
    <w:rsid w:val="005E5DFB"/>
    <w:rsid w:val="005F1069"/>
    <w:rsid w:val="005F14FC"/>
    <w:rsid w:val="00612376"/>
    <w:rsid w:val="00613120"/>
    <w:rsid w:val="00613B99"/>
    <w:rsid w:val="00623B00"/>
    <w:rsid w:val="00635C32"/>
    <w:rsid w:val="00636163"/>
    <w:rsid w:val="006410FE"/>
    <w:rsid w:val="0064635D"/>
    <w:rsid w:val="006470CD"/>
    <w:rsid w:val="00670BF9"/>
    <w:rsid w:val="0067404B"/>
    <w:rsid w:val="006745A2"/>
    <w:rsid w:val="00675614"/>
    <w:rsid w:val="00677C8C"/>
    <w:rsid w:val="00680B7F"/>
    <w:rsid w:val="006820CF"/>
    <w:rsid w:val="00691088"/>
    <w:rsid w:val="00694CF0"/>
    <w:rsid w:val="0069654A"/>
    <w:rsid w:val="006A1C88"/>
    <w:rsid w:val="006B1DBC"/>
    <w:rsid w:val="006B6C1E"/>
    <w:rsid w:val="006E5CFE"/>
    <w:rsid w:val="006F3BD8"/>
    <w:rsid w:val="00711AF8"/>
    <w:rsid w:val="00720369"/>
    <w:rsid w:val="00720C9C"/>
    <w:rsid w:val="00722D99"/>
    <w:rsid w:val="00737174"/>
    <w:rsid w:val="0073721A"/>
    <w:rsid w:val="00740DA3"/>
    <w:rsid w:val="007446F2"/>
    <w:rsid w:val="00751DEE"/>
    <w:rsid w:val="00752B90"/>
    <w:rsid w:val="00755285"/>
    <w:rsid w:val="007625B3"/>
    <w:rsid w:val="00762E94"/>
    <w:rsid w:val="007648DA"/>
    <w:rsid w:val="00772277"/>
    <w:rsid w:val="00781220"/>
    <w:rsid w:val="0078130D"/>
    <w:rsid w:val="007B230C"/>
    <w:rsid w:val="007B5B02"/>
    <w:rsid w:val="007C007D"/>
    <w:rsid w:val="007C0E45"/>
    <w:rsid w:val="007C214B"/>
    <w:rsid w:val="007C2E06"/>
    <w:rsid w:val="007C7A69"/>
    <w:rsid w:val="007D1D03"/>
    <w:rsid w:val="007D4F54"/>
    <w:rsid w:val="007E6459"/>
    <w:rsid w:val="007F2000"/>
    <w:rsid w:val="008106D9"/>
    <w:rsid w:val="00813CE5"/>
    <w:rsid w:val="0082672B"/>
    <w:rsid w:val="00826EB3"/>
    <w:rsid w:val="00836574"/>
    <w:rsid w:val="008558C8"/>
    <w:rsid w:val="0086640B"/>
    <w:rsid w:val="00870366"/>
    <w:rsid w:val="00876CF9"/>
    <w:rsid w:val="00877A87"/>
    <w:rsid w:val="00882512"/>
    <w:rsid w:val="0088276C"/>
    <w:rsid w:val="00885EB7"/>
    <w:rsid w:val="0088681B"/>
    <w:rsid w:val="008B1713"/>
    <w:rsid w:val="008B4656"/>
    <w:rsid w:val="008B50C9"/>
    <w:rsid w:val="008B795A"/>
    <w:rsid w:val="008D2CFE"/>
    <w:rsid w:val="008D624B"/>
    <w:rsid w:val="008D6A7D"/>
    <w:rsid w:val="008E196A"/>
    <w:rsid w:val="008E6DF8"/>
    <w:rsid w:val="008F17D0"/>
    <w:rsid w:val="009004B0"/>
    <w:rsid w:val="00900AEA"/>
    <w:rsid w:val="0090312D"/>
    <w:rsid w:val="009140AF"/>
    <w:rsid w:val="00924CE2"/>
    <w:rsid w:val="00935A07"/>
    <w:rsid w:val="00937D18"/>
    <w:rsid w:val="00946BE3"/>
    <w:rsid w:val="00947F0C"/>
    <w:rsid w:val="00950CF9"/>
    <w:rsid w:val="009533A8"/>
    <w:rsid w:val="00961EAE"/>
    <w:rsid w:val="00962472"/>
    <w:rsid w:val="009646B6"/>
    <w:rsid w:val="00964874"/>
    <w:rsid w:val="00974287"/>
    <w:rsid w:val="009758EB"/>
    <w:rsid w:val="00976C11"/>
    <w:rsid w:val="00982CDE"/>
    <w:rsid w:val="00987F04"/>
    <w:rsid w:val="00992613"/>
    <w:rsid w:val="00995917"/>
    <w:rsid w:val="009B2654"/>
    <w:rsid w:val="009D0999"/>
    <w:rsid w:val="009E5776"/>
    <w:rsid w:val="009E5803"/>
    <w:rsid w:val="009E6677"/>
    <w:rsid w:val="009F1999"/>
    <w:rsid w:val="00A037FE"/>
    <w:rsid w:val="00A05861"/>
    <w:rsid w:val="00A25B74"/>
    <w:rsid w:val="00A40732"/>
    <w:rsid w:val="00A43041"/>
    <w:rsid w:val="00A6158C"/>
    <w:rsid w:val="00A62A60"/>
    <w:rsid w:val="00A72443"/>
    <w:rsid w:val="00A745BD"/>
    <w:rsid w:val="00A777F3"/>
    <w:rsid w:val="00A7782B"/>
    <w:rsid w:val="00AA1183"/>
    <w:rsid w:val="00AA170B"/>
    <w:rsid w:val="00AA786C"/>
    <w:rsid w:val="00AB17E8"/>
    <w:rsid w:val="00AC1877"/>
    <w:rsid w:val="00AC239C"/>
    <w:rsid w:val="00AD0740"/>
    <w:rsid w:val="00AD7F22"/>
    <w:rsid w:val="00AE60D8"/>
    <w:rsid w:val="00AF74E0"/>
    <w:rsid w:val="00B03F32"/>
    <w:rsid w:val="00B06E0A"/>
    <w:rsid w:val="00B143EB"/>
    <w:rsid w:val="00B149EB"/>
    <w:rsid w:val="00B219F1"/>
    <w:rsid w:val="00B21F17"/>
    <w:rsid w:val="00B235BD"/>
    <w:rsid w:val="00B25337"/>
    <w:rsid w:val="00B32C31"/>
    <w:rsid w:val="00B335D4"/>
    <w:rsid w:val="00B34EB1"/>
    <w:rsid w:val="00B44D6C"/>
    <w:rsid w:val="00B503B7"/>
    <w:rsid w:val="00B508D2"/>
    <w:rsid w:val="00B51152"/>
    <w:rsid w:val="00B717CA"/>
    <w:rsid w:val="00B71AE2"/>
    <w:rsid w:val="00B74C29"/>
    <w:rsid w:val="00B92E7C"/>
    <w:rsid w:val="00B92EEB"/>
    <w:rsid w:val="00B9317E"/>
    <w:rsid w:val="00BA3272"/>
    <w:rsid w:val="00BA40F7"/>
    <w:rsid w:val="00BB08AD"/>
    <w:rsid w:val="00BB0FEE"/>
    <w:rsid w:val="00BB1AED"/>
    <w:rsid w:val="00BB4626"/>
    <w:rsid w:val="00BC1092"/>
    <w:rsid w:val="00BC45F2"/>
    <w:rsid w:val="00BD4FC1"/>
    <w:rsid w:val="00BE10B1"/>
    <w:rsid w:val="00BE20DF"/>
    <w:rsid w:val="00BE57DC"/>
    <w:rsid w:val="00BE7644"/>
    <w:rsid w:val="00BF0436"/>
    <w:rsid w:val="00BF0490"/>
    <w:rsid w:val="00BF4B87"/>
    <w:rsid w:val="00C036CD"/>
    <w:rsid w:val="00C14665"/>
    <w:rsid w:val="00C26DC8"/>
    <w:rsid w:val="00C26DE7"/>
    <w:rsid w:val="00C43F68"/>
    <w:rsid w:val="00C649E6"/>
    <w:rsid w:val="00C727E5"/>
    <w:rsid w:val="00C773EB"/>
    <w:rsid w:val="00C844CF"/>
    <w:rsid w:val="00C9527A"/>
    <w:rsid w:val="00CA045B"/>
    <w:rsid w:val="00CA0640"/>
    <w:rsid w:val="00CA0674"/>
    <w:rsid w:val="00CA0878"/>
    <w:rsid w:val="00CC117A"/>
    <w:rsid w:val="00CC1510"/>
    <w:rsid w:val="00CC7A55"/>
    <w:rsid w:val="00CD2FF9"/>
    <w:rsid w:val="00CD77C3"/>
    <w:rsid w:val="00CE383A"/>
    <w:rsid w:val="00CE68CA"/>
    <w:rsid w:val="00CE7E32"/>
    <w:rsid w:val="00CF3632"/>
    <w:rsid w:val="00CF4B9F"/>
    <w:rsid w:val="00D01944"/>
    <w:rsid w:val="00D04CCE"/>
    <w:rsid w:val="00D139B7"/>
    <w:rsid w:val="00D1452E"/>
    <w:rsid w:val="00D349CD"/>
    <w:rsid w:val="00D54EA5"/>
    <w:rsid w:val="00D572A8"/>
    <w:rsid w:val="00D61372"/>
    <w:rsid w:val="00D61E9A"/>
    <w:rsid w:val="00D70230"/>
    <w:rsid w:val="00D80250"/>
    <w:rsid w:val="00D8044A"/>
    <w:rsid w:val="00D806AD"/>
    <w:rsid w:val="00D86FDE"/>
    <w:rsid w:val="00D91BF0"/>
    <w:rsid w:val="00D922B2"/>
    <w:rsid w:val="00D93A17"/>
    <w:rsid w:val="00D95FCB"/>
    <w:rsid w:val="00D96017"/>
    <w:rsid w:val="00DA312D"/>
    <w:rsid w:val="00DA45D9"/>
    <w:rsid w:val="00DB7B08"/>
    <w:rsid w:val="00DC4623"/>
    <w:rsid w:val="00DD0A51"/>
    <w:rsid w:val="00DD1C8C"/>
    <w:rsid w:val="00DD6D1D"/>
    <w:rsid w:val="00DE3515"/>
    <w:rsid w:val="00E3452B"/>
    <w:rsid w:val="00E45BA2"/>
    <w:rsid w:val="00E45D5B"/>
    <w:rsid w:val="00E6304C"/>
    <w:rsid w:val="00E8474A"/>
    <w:rsid w:val="00E87C47"/>
    <w:rsid w:val="00E9146A"/>
    <w:rsid w:val="00E97B62"/>
    <w:rsid w:val="00EA7BEF"/>
    <w:rsid w:val="00EB0C42"/>
    <w:rsid w:val="00EB690E"/>
    <w:rsid w:val="00EE5E13"/>
    <w:rsid w:val="00F05565"/>
    <w:rsid w:val="00F05776"/>
    <w:rsid w:val="00F13011"/>
    <w:rsid w:val="00F44C80"/>
    <w:rsid w:val="00F50E9F"/>
    <w:rsid w:val="00F511D8"/>
    <w:rsid w:val="00F52F39"/>
    <w:rsid w:val="00F53AD9"/>
    <w:rsid w:val="00F53D76"/>
    <w:rsid w:val="00F64783"/>
    <w:rsid w:val="00F65AE5"/>
    <w:rsid w:val="00F7200A"/>
    <w:rsid w:val="00F72027"/>
    <w:rsid w:val="00F84C23"/>
    <w:rsid w:val="00F96927"/>
    <w:rsid w:val="00FB15E5"/>
    <w:rsid w:val="00FB5223"/>
    <w:rsid w:val="00FB7555"/>
    <w:rsid w:val="00FE1CDD"/>
    <w:rsid w:val="00FE5BFC"/>
    <w:rsid w:val="013B21B7"/>
    <w:rsid w:val="01724646"/>
    <w:rsid w:val="02333264"/>
    <w:rsid w:val="03414981"/>
    <w:rsid w:val="03B222EF"/>
    <w:rsid w:val="048D3B8C"/>
    <w:rsid w:val="04E52B55"/>
    <w:rsid w:val="055E7DF2"/>
    <w:rsid w:val="05F83692"/>
    <w:rsid w:val="065158F1"/>
    <w:rsid w:val="07144A20"/>
    <w:rsid w:val="080B1506"/>
    <w:rsid w:val="0B424668"/>
    <w:rsid w:val="0B9A72A2"/>
    <w:rsid w:val="0CA32B1A"/>
    <w:rsid w:val="0CD91264"/>
    <w:rsid w:val="0DDA4971"/>
    <w:rsid w:val="0EDE3488"/>
    <w:rsid w:val="0F816834"/>
    <w:rsid w:val="105D45E7"/>
    <w:rsid w:val="121F2903"/>
    <w:rsid w:val="122E564D"/>
    <w:rsid w:val="12D11E53"/>
    <w:rsid w:val="13762B65"/>
    <w:rsid w:val="169E6A88"/>
    <w:rsid w:val="1A3F0373"/>
    <w:rsid w:val="1AA524A6"/>
    <w:rsid w:val="1B2617A5"/>
    <w:rsid w:val="1BB25CBF"/>
    <w:rsid w:val="1D7958B1"/>
    <w:rsid w:val="1E1A1FA9"/>
    <w:rsid w:val="1E3D7E9C"/>
    <w:rsid w:val="1FF03D41"/>
    <w:rsid w:val="20F41F8D"/>
    <w:rsid w:val="21AB7004"/>
    <w:rsid w:val="25007758"/>
    <w:rsid w:val="28A31E5A"/>
    <w:rsid w:val="28FB15BC"/>
    <w:rsid w:val="2B9B278D"/>
    <w:rsid w:val="2BE136B1"/>
    <w:rsid w:val="2CA8397B"/>
    <w:rsid w:val="2FA505A7"/>
    <w:rsid w:val="32AF4B3F"/>
    <w:rsid w:val="33025A27"/>
    <w:rsid w:val="330A25B9"/>
    <w:rsid w:val="34BA2DC2"/>
    <w:rsid w:val="39043670"/>
    <w:rsid w:val="3A5E613F"/>
    <w:rsid w:val="3BB82210"/>
    <w:rsid w:val="3BCA52E8"/>
    <w:rsid w:val="3DA758A1"/>
    <w:rsid w:val="4304197C"/>
    <w:rsid w:val="438C259A"/>
    <w:rsid w:val="440767B2"/>
    <w:rsid w:val="44591EDE"/>
    <w:rsid w:val="47C16B3A"/>
    <w:rsid w:val="486A7913"/>
    <w:rsid w:val="48F862DC"/>
    <w:rsid w:val="4B464EA1"/>
    <w:rsid w:val="4F0C76DB"/>
    <w:rsid w:val="4F3B670F"/>
    <w:rsid w:val="4FE30DC7"/>
    <w:rsid w:val="52961C90"/>
    <w:rsid w:val="53214077"/>
    <w:rsid w:val="5410274F"/>
    <w:rsid w:val="542A45EF"/>
    <w:rsid w:val="56067960"/>
    <w:rsid w:val="561879D2"/>
    <w:rsid w:val="567335D7"/>
    <w:rsid w:val="57CA3BAF"/>
    <w:rsid w:val="58480E6D"/>
    <w:rsid w:val="58D20BB5"/>
    <w:rsid w:val="58DF4527"/>
    <w:rsid w:val="592502E1"/>
    <w:rsid w:val="5A683D70"/>
    <w:rsid w:val="5B836D5A"/>
    <w:rsid w:val="5B9667F2"/>
    <w:rsid w:val="5BF21980"/>
    <w:rsid w:val="5DBB4C27"/>
    <w:rsid w:val="5EA61318"/>
    <w:rsid w:val="5EBD0332"/>
    <w:rsid w:val="60695CC3"/>
    <w:rsid w:val="61462F6A"/>
    <w:rsid w:val="61A36471"/>
    <w:rsid w:val="622C1B69"/>
    <w:rsid w:val="626B7AE1"/>
    <w:rsid w:val="63A6147B"/>
    <w:rsid w:val="64792968"/>
    <w:rsid w:val="658F7A65"/>
    <w:rsid w:val="659A2DC5"/>
    <w:rsid w:val="660A6822"/>
    <w:rsid w:val="663C0CE5"/>
    <w:rsid w:val="683B4037"/>
    <w:rsid w:val="6A5A65C6"/>
    <w:rsid w:val="6CCC365D"/>
    <w:rsid w:val="6D804F56"/>
    <w:rsid w:val="6DA039CC"/>
    <w:rsid w:val="6DA82533"/>
    <w:rsid w:val="6EB82E28"/>
    <w:rsid w:val="6FBF6A00"/>
    <w:rsid w:val="73781966"/>
    <w:rsid w:val="74F37ABF"/>
    <w:rsid w:val="76560365"/>
    <w:rsid w:val="76A778EE"/>
    <w:rsid w:val="787F0E56"/>
    <w:rsid w:val="7A1C3BBE"/>
    <w:rsid w:val="7A21782E"/>
    <w:rsid w:val="7ACF1B7F"/>
    <w:rsid w:val="7B101282"/>
    <w:rsid w:val="7B90170B"/>
    <w:rsid w:val="7ED50772"/>
    <w:rsid w:val="7FFD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annotation text"/>
    <w:basedOn w:val="1"/>
    <w:link w:val="62"/>
    <w:semiHidden/>
    <w:unhideWhenUsed/>
    <w:qFormat/>
    <w:uiPriority w:val="0"/>
    <w:pPr>
      <w:jc w:val="left"/>
    </w:pPr>
  </w:style>
  <w:style w:type="paragraph" w:styleId="6">
    <w:name w:val="Body Text"/>
    <w:basedOn w:val="1"/>
    <w:link w:val="64"/>
    <w:unhideWhenUsed/>
    <w:qFormat/>
    <w:uiPriority w:val="1"/>
    <w:pPr>
      <w:autoSpaceDE w:val="0"/>
      <w:autoSpaceDN w:val="0"/>
      <w:jc w:val="left"/>
    </w:pPr>
    <w:rPr>
      <w:rFonts w:ascii="宋体" w:hAnsi="宋体" w:eastAsia="宋体" w:cs="宋体"/>
      <w:kern w:val="0"/>
      <w:szCs w:val="21"/>
      <w:lang w:eastAsia="en-US" w:bidi="en-US"/>
    </w:r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toc 8"/>
    <w:basedOn w:val="1"/>
    <w:next w:val="1"/>
    <w:qFormat/>
    <w:uiPriority w:val="0"/>
    <w:pPr>
      <w:ind w:left="2940" w:leftChars="1400"/>
    </w:pPr>
  </w:style>
  <w:style w:type="paragraph" w:styleId="10">
    <w:name w:val="Balloon Text"/>
    <w:basedOn w:val="1"/>
    <w:link w:val="5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toc 4"/>
    <w:basedOn w:val="1"/>
    <w:next w:val="1"/>
    <w:qFormat/>
    <w:uiPriority w:val="0"/>
    <w:pPr>
      <w:ind w:left="1260" w:leftChars="600"/>
    </w:pPr>
  </w:style>
  <w:style w:type="paragraph" w:styleId="15">
    <w:name w:val="toc 6"/>
    <w:basedOn w:val="1"/>
    <w:next w:val="1"/>
    <w:qFormat/>
    <w:uiPriority w:val="0"/>
    <w:pPr>
      <w:ind w:left="2100" w:leftChars="1000"/>
    </w:pPr>
  </w:style>
  <w:style w:type="paragraph" w:styleId="16">
    <w:name w:val="toc 2"/>
    <w:basedOn w:val="1"/>
    <w:next w:val="1"/>
    <w:qFormat/>
    <w:uiPriority w:val="39"/>
    <w:pPr>
      <w:ind w:left="420" w:leftChars="200"/>
    </w:pPr>
  </w:style>
  <w:style w:type="paragraph" w:styleId="17">
    <w:name w:val="toc 9"/>
    <w:basedOn w:val="1"/>
    <w:next w:val="1"/>
    <w:qFormat/>
    <w:uiPriority w:val="0"/>
    <w:pPr>
      <w:ind w:left="3360" w:leftChars="1600"/>
    </w:pPr>
  </w:style>
  <w:style w:type="paragraph" w:styleId="18">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paragraph" w:styleId="19">
    <w:name w:val="Normal (Web)"/>
    <w:basedOn w:val="1"/>
    <w:qFormat/>
    <w:uiPriority w:val="0"/>
    <w:rPr>
      <w:sz w:val="24"/>
    </w:rPr>
  </w:style>
  <w:style w:type="paragraph" w:styleId="20">
    <w:name w:val="annotation subject"/>
    <w:basedOn w:val="5"/>
    <w:next w:val="5"/>
    <w:link w:val="63"/>
    <w:semiHidden/>
    <w:unhideWhenUsed/>
    <w:qFormat/>
    <w:uiPriority w:val="0"/>
    <w:rPr>
      <w:b/>
      <w:bC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qFormat/>
    <w:uiPriority w:val="0"/>
    <w:rPr>
      <w:color w:val="771CAA"/>
      <w:u w:val="single"/>
    </w:rPr>
  </w:style>
  <w:style w:type="character" w:styleId="25">
    <w:name w:val="Emphasis"/>
    <w:basedOn w:val="23"/>
    <w:qFormat/>
    <w:uiPriority w:val="20"/>
    <w:rPr>
      <w:color w:val="F73131"/>
    </w:rPr>
  </w:style>
  <w:style w:type="character" w:styleId="26">
    <w:name w:val="Hyperlink"/>
    <w:qFormat/>
    <w:uiPriority w:val="99"/>
    <w:rPr>
      <w:color w:val="0000FF"/>
      <w:spacing w:val="0"/>
      <w:w w:val="100"/>
      <w:szCs w:val="21"/>
      <w:u w:val="single"/>
    </w:rPr>
  </w:style>
  <w:style w:type="character" w:styleId="27">
    <w:name w:val="annotation reference"/>
    <w:basedOn w:val="23"/>
    <w:semiHidden/>
    <w:unhideWhenUsed/>
    <w:qFormat/>
    <w:uiPriority w:val="0"/>
    <w:rPr>
      <w:sz w:val="21"/>
      <w:szCs w:val="21"/>
    </w:rPr>
  </w:style>
  <w:style w:type="character" w:styleId="28">
    <w:name w:val="HTML Cite"/>
    <w:basedOn w:val="23"/>
    <w:qFormat/>
    <w:uiPriority w:val="0"/>
    <w:rPr>
      <w:color w:val="008000"/>
    </w:rPr>
  </w:style>
  <w:style w:type="paragraph" w:customStyle="1" w:styleId="29">
    <w:name w:val="目次、标准名称标题"/>
    <w:basedOn w:val="1"/>
    <w:next w:val="30"/>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0">
    <w:name w:val="段"/>
    <w:link w:val="6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31">
    <w:name w:val="前言、引言标题"/>
    <w:next w:val="30"/>
    <w:qFormat/>
    <w:uiPriority w:val="0"/>
    <w:pPr>
      <w:keepNext/>
      <w:pageBreakBefore/>
      <w:shd w:val="clear" w:color="FFFFFF" w:fill="FFFFFF"/>
      <w:spacing w:before="640" w:after="560"/>
      <w:jc w:val="center"/>
      <w:outlineLvl w:val="0"/>
    </w:pPr>
    <w:rPr>
      <w:rFonts w:ascii="黑体" w:hAnsi="Times New Roman" w:eastAsia="黑体" w:cs="Times New Roman"/>
      <w:sz w:val="32"/>
      <w:szCs w:val="22"/>
      <w:lang w:val="en-US" w:eastAsia="zh-CN" w:bidi="ar-SA"/>
    </w:rPr>
  </w:style>
  <w:style w:type="paragraph" w:customStyle="1" w:styleId="32">
    <w:name w:val="章标题"/>
    <w:next w:val="30"/>
    <w:link w:val="71"/>
    <w:qFormat/>
    <w:uiPriority w:val="0"/>
    <w:pPr>
      <w:numPr>
        <w:ilvl w:val="0"/>
        <w:numId w:val="1"/>
      </w:numPr>
      <w:spacing w:before="312" w:beforeLines="100" w:after="312" w:afterLines="100"/>
      <w:jc w:val="both"/>
      <w:outlineLvl w:val="1"/>
    </w:pPr>
    <w:rPr>
      <w:rFonts w:ascii="黑体" w:hAnsi="Times New Roman" w:eastAsia="黑体" w:cs="Times New Roman"/>
      <w:sz w:val="21"/>
      <w:szCs w:val="22"/>
      <w:lang w:val="en-US" w:eastAsia="zh-CN" w:bidi="ar-SA"/>
    </w:rPr>
  </w:style>
  <w:style w:type="paragraph" w:customStyle="1" w:styleId="33">
    <w:name w:val="一级条标题"/>
    <w:basedOn w:val="32"/>
    <w:next w:val="30"/>
    <w:link w:val="72"/>
    <w:qFormat/>
    <w:uiPriority w:val="0"/>
    <w:pPr>
      <w:numPr>
        <w:ilvl w:val="1"/>
      </w:numPr>
      <w:spacing w:before="156" w:beforeLines="50" w:after="156" w:afterLines="50"/>
      <w:outlineLvl w:val="2"/>
    </w:pPr>
    <w:rPr>
      <w:szCs w:val="21"/>
    </w:rPr>
  </w:style>
  <w:style w:type="paragraph" w:customStyle="1" w:styleId="34">
    <w:name w:val="注：（正文）"/>
    <w:basedOn w:val="35"/>
    <w:next w:val="30"/>
    <w:qFormat/>
    <w:uiPriority w:val="0"/>
  </w:style>
  <w:style w:type="paragraph" w:customStyle="1" w:styleId="35">
    <w:name w:val="注："/>
    <w:next w:val="30"/>
    <w:qFormat/>
    <w:uiPriority w:val="0"/>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paragraph" w:customStyle="1" w:styleId="3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7">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character" w:customStyle="1" w:styleId="38">
    <w:name w:val="hover25"/>
    <w:basedOn w:val="23"/>
    <w:qFormat/>
    <w:uiPriority w:val="0"/>
    <w:rPr>
      <w:color w:val="315EFB"/>
    </w:rPr>
  </w:style>
  <w:style w:type="character" w:customStyle="1" w:styleId="39">
    <w:name w:val="hover26"/>
    <w:basedOn w:val="23"/>
    <w:qFormat/>
    <w:uiPriority w:val="0"/>
  </w:style>
  <w:style w:type="character" w:customStyle="1" w:styleId="40">
    <w:name w:val="c-icon30"/>
    <w:basedOn w:val="23"/>
    <w:qFormat/>
    <w:uiPriority w:val="0"/>
  </w:style>
  <w:style w:type="paragraph" w:customStyle="1" w:styleId="41">
    <w:name w:val="二级条标题"/>
    <w:basedOn w:val="33"/>
    <w:next w:val="30"/>
    <w:qFormat/>
    <w:uiPriority w:val="0"/>
    <w:pPr>
      <w:numPr>
        <w:ilvl w:val="2"/>
      </w:numPr>
      <w:spacing w:before="50" w:after="50"/>
      <w:outlineLvl w:val="3"/>
    </w:pPr>
  </w:style>
  <w:style w:type="paragraph" w:customStyle="1" w:styleId="42">
    <w:name w:val="二级无"/>
    <w:basedOn w:val="41"/>
    <w:qFormat/>
    <w:uiPriority w:val="0"/>
    <w:pPr>
      <w:spacing w:before="0" w:beforeLines="0" w:after="0" w:afterLines="0"/>
    </w:pPr>
    <w:rPr>
      <w:rFonts w:ascii="宋体" w:eastAsia="宋体"/>
    </w:rPr>
  </w:style>
  <w:style w:type="paragraph" w:customStyle="1" w:styleId="43">
    <w:name w:val="正文图标题"/>
    <w:next w:val="30"/>
    <w:qFormat/>
    <w:uiPriority w:val="0"/>
    <w:pPr>
      <w:numPr>
        <w:ilvl w:val="0"/>
        <w:numId w:val="3"/>
      </w:numPr>
      <w:spacing w:before="156" w:beforeLines="50" w:after="156" w:afterLines="50"/>
      <w:jc w:val="center"/>
    </w:pPr>
    <w:rPr>
      <w:rFonts w:ascii="黑体" w:hAnsi="Times New Roman" w:eastAsia="黑体" w:cs="Times New Roman"/>
      <w:sz w:val="21"/>
      <w:szCs w:val="22"/>
      <w:lang w:val="en-US" w:eastAsia="zh-CN" w:bidi="ar-SA"/>
    </w:rPr>
  </w:style>
  <w:style w:type="paragraph" w:customStyle="1" w:styleId="44">
    <w:name w:val="三级无"/>
    <w:basedOn w:val="45"/>
    <w:qFormat/>
    <w:uiPriority w:val="0"/>
    <w:pPr>
      <w:spacing w:before="0" w:beforeLines="0" w:after="0" w:afterLines="0"/>
    </w:pPr>
    <w:rPr>
      <w:rFonts w:ascii="宋体" w:eastAsia="宋体"/>
    </w:rPr>
  </w:style>
  <w:style w:type="paragraph" w:customStyle="1" w:styleId="45">
    <w:name w:val="三级条标题"/>
    <w:basedOn w:val="41"/>
    <w:next w:val="30"/>
    <w:qFormat/>
    <w:uiPriority w:val="0"/>
    <w:pPr>
      <w:numPr>
        <w:ilvl w:val="3"/>
        <w:numId w:val="0"/>
      </w:numPr>
      <w:outlineLvl w:val="4"/>
    </w:pPr>
  </w:style>
  <w:style w:type="paragraph" w:customStyle="1" w:styleId="46">
    <w:name w:val="字母编号列项（一级）"/>
    <w:qFormat/>
    <w:uiPriority w:val="0"/>
    <w:pPr>
      <w:numPr>
        <w:ilvl w:val="0"/>
        <w:numId w:val="4"/>
      </w:numPr>
      <w:jc w:val="both"/>
    </w:pPr>
    <w:rPr>
      <w:rFonts w:ascii="宋体" w:hAnsi="Times New Roman" w:eastAsia="宋体" w:cs="Times New Roman"/>
      <w:sz w:val="21"/>
      <w:szCs w:val="22"/>
      <w:lang w:val="en-US" w:eastAsia="zh-CN" w:bidi="ar-SA"/>
    </w:rPr>
  </w:style>
  <w:style w:type="paragraph" w:customStyle="1" w:styleId="47">
    <w:name w:val="终结线"/>
    <w:basedOn w:val="1"/>
    <w:qFormat/>
    <w:uiPriority w:val="0"/>
    <w:pPr>
      <w:framePr w:hSpace="181" w:vSpace="181" w:wrap="around" w:vAnchor="text" w:hAnchor="margin" w:xAlign="center" w:y="285"/>
    </w:pPr>
  </w:style>
  <w:style w:type="paragraph" w:customStyle="1" w:styleId="48">
    <w:name w:val="正文表标题"/>
    <w:next w:val="30"/>
    <w:qFormat/>
    <w:uiPriority w:val="0"/>
    <w:pPr>
      <w:numPr>
        <w:ilvl w:val="0"/>
        <w:numId w:val="5"/>
      </w:numPr>
      <w:tabs>
        <w:tab w:val="left" w:pos="360"/>
      </w:tabs>
      <w:spacing w:before="156" w:beforeLines="50" w:after="156" w:afterLines="50"/>
      <w:jc w:val="center"/>
    </w:pPr>
    <w:rPr>
      <w:rFonts w:ascii="黑体" w:hAnsi="Times New Roman" w:eastAsia="黑体" w:cs="Times New Roman"/>
      <w:sz w:val="21"/>
      <w:lang w:val="en-US" w:eastAsia="zh-CN" w:bidi="ar-SA"/>
    </w:rPr>
  </w:style>
  <w:style w:type="character" w:customStyle="1" w:styleId="49">
    <w:name w:val="fontstyle01"/>
    <w:basedOn w:val="23"/>
    <w:qFormat/>
    <w:uiPriority w:val="0"/>
    <w:rPr>
      <w:rFonts w:ascii="仿宋_GB2312" w:hAnsi="仿宋_GB2312" w:eastAsia="仿宋_GB2312" w:cs="仿宋_GB2312"/>
      <w:color w:val="000000"/>
      <w:sz w:val="32"/>
      <w:szCs w:val="32"/>
    </w:rPr>
  </w:style>
  <w:style w:type="paragraph" w:customStyle="1" w:styleId="50">
    <w:name w:val="注×：（正文）"/>
    <w:qFormat/>
    <w:uiPriority w:val="0"/>
    <w:pPr>
      <w:numPr>
        <w:ilvl w:val="0"/>
        <w:numId w:val="6"/>
      </w:numPr>
      <w:jc w:val="both"/>
    </w:pPr>
    <w:rPr>
      <w:rFonts w:ascii="宋体" w:hAnsi="Times New Roman" w:eastAsia="宋体" w:cs="Times New Roman"/>
      <w:sz w:val="18"/>
      <w:szCs w:val="18"/>
      <w:lang w:val="en-US" w:eastAsia="zh-CN" w:bidi="ar-SA"/>
    </w:rPr>
  </w:style>
  <w:style w:type="character" w:customStyle="1" w:styleId="51">
    <w:name w:val="批注框文本 字符"/>
    <w:basedOn w:val="23"/>
    <w:link w:val="10"/>
    <w:qFormat/>
    <w:uiPriority w:val="0"/>
    <w:rPr>
      <w:rFonts w:asciiTheme="minorHAnsi" w:hAnsiTheme="minorHAnsi" w:eastAsiaTheme="minorEastAsia" w:cstheme="minorBidi"/>
      <w:kern w:val="2"/>
      <w:sz w:val="18"/>
      <w:szCs w:val="18"/>
    </w:rPr>
  </w:style>
  <w:style w:type="character" w:customStyle="1" w:styleId="52">
    <w:name w:val="HTML 预设格式 字符"/>
    <w:basedOn w:val="23"/>
    <w:link w:val="18"/>
    <w:qFormat/>
    <w:uiPriority w:val="99"/>
    <w:rPr>
      <w:rFonts w:ascii="Arial" w:hAnsi="Arial" w:cs="Arial"/>
      <w:sz w:val="24"/>
      <w:szCs w:val="24"/>
    </w:rPr>
  </w:style>
  <w:style w:type="paragraph" w:customStyle="1" w:styleId="53">
    <w:name w:val="附录标识"/>
    <w:basedOn w:val="31"/>
    <w:qFormat/>
    <w:uiPriority w:val="0"/>
    <w:pPr>
      <w:keepNext w:val="0"/>
      <w:pageBreakBefore w:val="0"/>
      <w:numPr>
        <w:ilvl w:val="0"/>
        <w:numId w:val="7"/>
      </w:numPr>
      <w:tabs>
        <w:tab w:val="left" w:pos="6405"/>
      </w:tabs>
      <w:adjustRightInd w:val="0"/>
      <w:snapToGrid w:val="0"/>
      <w:spacing w:after="200" w:line="240" w:lineRule="atLeast"/>
    </w:pPr>
    <w:rPr>
      <w:rFonts w:ascii="宋体" w:hAnsi="宋体" w:eastAsia="宋体"/>
      <w:sz w:val="21"/>
      <w:szCs w:val="20"/>
    </w:rPr>
  </w:style>
  <w:style w:type="paragraph" w:customStyle="1" w:styleId="54">
    <w:name w:val="附录表标题"/>
    <w:next w:val="30"/>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55">
    <w:name w:val="附录章标题"/>
    <w:next w:val="30"/>
    <w:qFormat/>
    <w:uiPriority w:val="0"/>
    <w:pPr>
      <w:numPr>
        <w:ilvl w:val="1"/>
        <w:numId w:val="7"/>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56">
    <w:name w:val="附录一级条标题"/>
    <w:basedOn w:val="55"/>
    <w:next w:val="30"/>
    <w:qFormat/>
    <w:uiPriority w:val="0"/>
    <w:pPr>
      <w:numPr>
        <w:ilvl w:val="2"/>
      </w:numPr>
      <w:autoSpaceDN w:val="0"/>
      <w:spacing w:before="0" w:beforeLines="0" w:after="0" w:afterLines="0"/>
      <w:outlineLvl w:val="2"/>
    </w:pPr>
  </w:style>
  <w:style w:type="paragraph" w:customStyle="1" w:styleId="57">
    <w:name w:val="附录二级条标题"/>
    <w:basedOn w:val="56"/>
    <w:next w:val="30"/>
    <w:qFormat/>
    <w:uiPriority w:val="0"/>
    <w:pPr>
      <w:numPr>
        <w:ilvl w:val="3"/>
      </w:numPr>
      <w:outlineLvl w:val="3"/>
    </w:pPr>
  </w:style>
  <w:style w:type="paragraph" w:customStyle="1" w:styleId="58">
    <w:name w:val="附录三级条标题"/>
    <w:basedOn w:val="57"/>
    <w:next w:val="30"/>
    <w:qFormat/>
    <w:uiPriority w:val="0"/>
    <w:pPr>
      <w:numPr>
        <w:ilvl w:val="4"/>
      </w:numPr>
      <w:outlineLvl w:val="4"/>
    </w:pPr>
  </w:style>
  <w:style w:type="paragraph" w:customStyle="1" w:styleId="59">
    <w:name w:val="附录四级条标题"/>
    <w:basedOn w:val="58"/>
    <w:next w:val="30"/>
    <w:qFormat/>
    <w:uiPriority w:val="0"/>
    <w:pPr>
      <w:numPr>
        <w:ilvl w:val="5"/>
      </w:numPr>
      <w:outlineLvl w:val="5"/>
    </w:pPr>
  </w:style>
  <w:style w:type="paragraph" w:customStyle="1" w:styleId="60">
    <w:name w:val="附录五级条标题"/>
    <w:basedOn w:val="59"/>
    <w:next w:val="30"/>
    <w:qFormat/>
    <w:uiPriority w:val="0"/>
    <w:pPr>
      <w:numPr>
        <w:ilvl w:val="6"/>
      </w:numPr>
      <w:outlineLvl w:val="6"/>
    </w:pPr>
  </w:style>
  <w:style w:type="character" w:customStyle="1" w:styleId="61">
    <w:name w:val="段 Char"/>
    <w:basedOn w:val="23"/>
    <w:link w:val="30"/>
    <w:qFormat/>
    <w:uiPriority w:val="0"/>
    <w:rPr>
      <w:rFonts w:ascii="宋体"/>
      <w:sz w:val="21"/>
      <w:szCs w:val="22"/>
    </w:rPr>
  </w:style>
  <w:style w:type="character" w:customStyle="1" w:styleId="62">
    <w:name w:val="批注文字 字符"/>
    <w:basedOn w:val="23"/>
    <w:link w:val="5"/>
    <w:semiHidden/>
    <w:qFormat/>
    <w:uiPriority w:val="0"/>
    <w:rPr>
      <w:rFonts w:asciiTheme="minorHAnsi" w:hAnsiTheme="minorHAnsi" w:eastAsiaTheme="minorEastAsia" w:cstheme="minorBidi"/>
      <w:kern w:val="2"/>
      <w:sz w:val="21"/>
      <w:szCs w:val="24"/>
    </w:rPr>
  </w:style>
  <w:style w:type="character" w:customStyle="1" w:styleId="63">
    <w:name w:val="批注主题 字符"/>
    <w:basedOn w:val="62"/>
    <w:link w:val="20"/>
    <w:semiHidden/>
    <w:qFormat/>
    <w:uiPriority w:val="0"/>
    <w:rPr>
      <w:rFonts w:asciiTheme="minorHAnsi" w:hAnsiTheme="minorHAnsi" w:eastAsiaTheme="minorEastAsia" w:cstheme="minorBidi"/>
      <w:b/>
      <w:bCs/>
      <w:kern w:val="2"/>
      <w:sz w:val="21"/>
      <w:szCs w:val="24"/>
    </w:rPr>
  </w:style>
  <w:style w:type="character" w:customStyle="1" w:styleId="64">
    <w:name w:val="正文文本 字符"/>
    <w:basedOn w:val="23"/>
    <w:link w:val="6"/>
    <w:qFormat/>
    <w:uiPriority w:val="1"/>
    <w:rPr>
      <w:rFonts w:ascii="宋体" w:hAnsi="宋体" w:cs="宋体"/>
      <w:sz w:val="21"/>
      <w:szCs w:val="21"/>
      <w:lang w:eastAsia="en-US" w:bidi="en-US"/>
    </w:rPr>
  </w:style>
  <w:style w:type="paragraph" w:styleId="65">
    <w:name w:val="List Paragraph"/>
    <w:basedOn w:val="1"/>
    <w:qFormat/>
    <w:uiPriority w:val="1"/>
    <w:pPr>
      <w:autoSpaceDE w:val="0"/>
      <w:autoSpaceDN w:val="0"/>
      <w:ind w:left="1528" w:hanging="629"/>
      <w:jc w:val="left"/>
    </w:pPr>
    <w:rPr>
      <w:rFonts w:ascii="黑体" w:hAnsi="黑体" w:eastAsia="黑体" w:cs="黑体"/>
      <w:kern w:val="0"/>
      <w:sz w:val="22"/>
      <w:szCs w:val="22"/>
      <w:lang w:eastAsia="en-US" w:bidi="en-US"/>
    </w:rPr>
  </w:style>
  <w:style w:type="paragraph" w:customStyle="1" w:styleId="66">
    <w:name w:val="Table Paragraph"/>
    <w:basedOn w:val="1"/>
    <w:qFormat/>
    <w:uiPriority w:val="1"/>
    <w:pPr>
      <w:autoSpaceDE w:val="0"/>
      <w:autoSpaceDN w:val="0"/>
      <w:spacing w:before="40"/>
      <w:jc w:val="center"/>
    </w:pPr>
    <w:rPr>
      <w:rFonts w:ascii="宋体" w:hAnsi="宋体" w:eastAsia="宋体" w:cs="宋体"/>
      <w:kern w:val="0"/>
      <w:sz w:val="22"/>
      <w:szCs w:val="22"/>
      <w:lang w:eastAsia="en-US" w:bidi="en-US"/>
    </w:rPr>
  </w:style>
  <w:style w:type="character" w:customStyle="1" w:styleId="67">
    <w:name w:val="标准文件_段 Char"/>
    <w:link w:val="68"/>
    <w:qFormat/>
    <w:locked/>
    <w:uiPriority w:val="0"/>
    <w:rPr>
      <w:rFonts w:ascii="宋体"/>
      <w:sz w:val="21"/>
    </w:rPr>
  </w:style>
  <w:style w:type="paragraph" w:customStyle="1" w:styleId="68">
    <w:name w:val="标准文件_段"/>
    <w:link w:val="6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9">
    <w:name w:val="样式1"/>
    <w:basedOn w:val="33"/>
    <w:link w:val="73"/>
    <w:qFormat/>
    <w:uiPriority w:val="0"/>
  </w:style>
  <w:style w:type="character" w:customStyle="1" w:styleId="70">
    <w:name w:val="标题 2 字符"/>
    <w:basedOn w:val="23"/>
    <w:link w:val="3"/>
    <w:semiHidden/>
    <w:qFormat/>
    <w:uiPriority w:val="0"/>
    <w:rPr>
      <w:rFonts w:asciiTheme="majorHAnsi" w:hAnsiTheme="majorHAnsi" w:eastAsiaTheme="majorEastAsia" w:cstheme="majorBidi"/>
      <w:b/>
      <w:bCs/>
      <w:kern w:val="2"/>
      <w:sz w:val="32"/>
      <w:szCs w:val="32"/>
    </w:rPr>
  </w:style>
  <w:style w:type="character" w:customStyle="1" w:styleId="71">
    <w:name w:val="章标题 字符"/>
    <w:basedOn w:val="23"/>
    <w:link w:val="32"/>
    <w:qFormat/>
    <w:uiPriority w:val="0"/>
    <w:rPr>
      <w:rFonts w:ascii="黑体" w:eastAsia="黑体"/>
      <w:sz w:val="21"/>
      <w:szCs w:val="22"/>
    </w:rPr>
  </w:style>
  <w:style w:type="character" w:customStyle="1" w:styleId="72">
    <w:name w:val="一级条标题 字符"/>
    <w:basedOn w:val="71"/>
    <w:link w:val="33"/>
    <w:qFormat/>
    <w:uiPriority w:val="0"/>
    <w:rPr>
      <w:rFonts w:ascii="黑体" w:eastAsia="黑体"/>
      <w:sz w:val="21"/>
      <w:szCs w:val="21"/>
    </w:rPr>
  </w:style>
  <w:style w:type="character" w:customStyle="1" w:styleId="73">
    <w:name w:val="样式1 字符"/>
    <w:basedOn w:val="72"/>
    <w:link w:val="69"/>
    <w:qFormat/>
    <w:uiPriority w:val="0"/>
    <w:rPr>
      <w:rFonts w:ascii="黑体" w:eastAsia="黑体"/>
      <w:sz w:val="21"/>
      <w:szCs w:val="21"/>
    </w:rPr>
  </w:style>
  <w:style w:type="character" w:customStyle="1" w:styleId="74">
    <w:name w:val="标题 1 字符"/>
    <w:basedOn w:val="23"/>
    <w:link w:val="2"/>
    <w:qFormat/>
    <w:uiPriority w:val="0"/>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4DA7C3-3ECA-4441-8B0F-A51240C1F5D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7107</Words>
  <Characters>8826</Characters>
  <Lines>94</Lines>
  <Paragraphs>26</Paragraphs>
  <TotalTime>1</TotalTime>
  <ScaleCrop>false</ScaleCrop>
  <LinksUpToDate>false</LinksUpToDate>
  <CharactersWithSpaces>9461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2022-03-30T06:24:00Z</dcterms:created>
  <dc:creator>20060439</dc:creator>
  <cp:lastModifiedBy>永飞</cp:lastModifiedBy>
  <cp:lastPrinted>2022-03-20T11:27:00Z</cp:lastPrinted>
  <dcterms:modified xsi:type="dcterms:W3CDTF">2022-05-26T00:18:02Z</dcterms:modified>
  <dc:title>ICS 号_x000b_中国标准文献分类号</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A4DC2032413E469E83E0E72344FF1973</vt:lpwstr>
  </property>
</Properties>
</file>