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sz w:val="22"/>
          <w:szCs w:val="22"/>
        </w:rPr>
      </w:pPr>
    </w:p>
    <w:p>
      <w:pPr>
        <w:spacing w:before="44" w:line="185" w:lineRule="auto"/>
        <w:ind w:firstLine="82"/>
        <w:rPr>
          <w:rFonts w:ascii="宋体" w:hAnsi="宋体" w:eastAsia="宋体" w:cs="宋体"/>
          <w:sz w:val="22"/>
          <w:szCs w:val="22"/>
          <w:highlight w:val="yellow"/>
        </w:rPr>
      </w:pPr>
      <w:r>
        <w:rPr>
          <w:rFonts w:ascii="宋体" w:hAnsi="宋体" w:eastAsia="宋体" w:cs="宋体"/>
          <w:spacing w:val="-5"/>
          <w:sz w:val="22"/>
          <w:szCs w:val="22"/>
          <w:highlight w:val="yellow"/>
        </w:rPr>
        <w:t>ICS</w:t>
      </w:r>
      <w:r>
        <w:rPr>
          <w:rFonts w:ascii="宋体" w:hAnsi="宋体" w:eastAsia="宋体" w:cs="宋体"/>
          <w:spacing w:val="14"/>
          <w:sz w:val="22"/>
          <w:szCs w:val="22"/>
          <w:highlight w:val="yellow"/>
        </w:rPr>
        <w:t xml:space="preserve"> </w:t>
      </w:r>
      <w:r>
        <w:rPr>
          <w:rFonts w:ascii="宋体" w:hAnsi="宋体" w:eastAsia="宋体" w:cs="宋体"/>
          <w:spacing w:val="-5"/>
          <w:sz w:val="22"/>
          <w:szCs w:val="22"/>
          <w:highlight w:val="yellow"/>
        </w:rPr>
        <w:t>号</w:t>
      </w:r>
    </w:p>
    <w:p>
      <w:pPr>
        <w:spacing w:before="91" w:line="185" w:lineRule="auto"/>
        <w:ind w:firstLine="91"/>
        <w:rPr>
          <w:rFonts w:ascii="宋体" w:hAnsi="宋体" w:eastAsia="宋体" w:cs="宋体"/>
          <w:sz w:val="22"/>
          <w:szCs w:val="22"/>
          <w:highlight w:val="yellow"/>
        </w:rPr>
      </w:pPr>
      <w:r>
        <w:rPr>
          <w:rFonts w:ascii="宋体" w:hAnsi="宋体" w:eastAsia="宋体" w:cs="宋体"/>
          <w:spacing w:val="-3"/>
          <w:sz w:val="22"/>
          <w:szCs w:val="22"/>
          <w:highlight w:val="yellow"/>
        </w:rPr>
        <w:t>中国标准文献分类号</w:t>
      </w:r>
    </w:p>
    <w:p>
      <w:pPr>
        <w:spacing w:line="267" w:lineRule="auto"/>
        <w:rPr>
          <w:rFonts w:ascii="宋体"/>
        </w:rPr>
      </w:pPr>
    </w:p>
    <w:p>
      <w:pPr>
        <w:spacing w:line="267" w:lineRule="auto"/>
        <w:jc w:val="right"/>
        <w:rPr>
          <w:rFonts w:eastAsia="宋体" w:asciiTheme="majorHAnsi" w:hAnsiTheme="majorHAnsi"/>
          <w:b/>
          <w:bCs/>
          <w:sz w:val="84"/>
          <w:szCs w:val="84"/>
        </w:rPr>
      </w:pPr>
      <w:r>
        <w:rPr>
          <w:rFonts w:ascii="Arial Black" w:hAnsi="Arial Black" w:cs="Arial Black" w:eastAsiaTheme="minorEastAsia"/>
          <w:b/>
          <w:bCs/>
          <w:snapToGrid w:val="0"/>
          <w:color w:val="000000"/>
          <w:kern w:val="0"/>
          <w:sz w:val="84"/>
          <w:szCs w:val="84"/>
          <w:highlight w:val="yellow"/>
        </w:rPr>
        <w:t>DB1502</w:t>
      </w:r>
    </w:p>
    <w:p>
      <w:pPr>
        <w:spacing w:line="267" w:lineRule="auto"/>
        <w:rPr>
          <w:rFonts w:ascii="宋体"/>
        </w:rPr>
      </w:pPr>
    </w:p>
    <w:p>
      <w:pPr>
        <w:spacing w:before="274" w:line="185" w:lineRule="auto"/>
        <w:ind w:firstLine="774" w:firstLineChars="100"/>
        <w:rPr>
          <w:rFonts w:ascii="黑体" w:hAnsi="黑体" w:eastAsia="黑体" w:cs="黑体"/>
          <w:sz w:val="84"/>
          <w:szCs w:val="84"/>
        </w:rPr>
      </w:pPr>
      <w:r>
        <w:rPr>
          <w:rFonts w:hint="eastAsia" w:ascii="黑体" w:hAnsi="黑体" w:eastAsia="黑体" w:cs="黑体"/>
          <w:spacing w:val="-33"/>
          <w:sz w:val="84"/>
          <w:szCs w:val="84"/>
        </w:rPr>
        <w:t>包 头 市 地 方</w:t>
      </w:r>
      <w:r>
        <w:rPr>
          <w:rFonts w:ascii="黑体" w:hAnsi="黑体" w:eastAsia="黑体" w:cs="黑体"/>
          <w:spacing w:val="18"/>
          <w:sz w:val="84"/>
          <w:szCs w:val="84"/>
        </w:rPr>
        <w:t xml:space="preserve"> </w:t>
      </w:r>
      <w:r>
        <w:rPr>
          <w:rFonts w:ascii="黑体" w:hAnsi="黑体" w:eastAsia="黑体" w:cs="黑体"/>
          <w:spacing w:val="-33"/>
          <w:sz w:val="84"/>
          <w:szCs w:val="84"/>
        </w:rPr>
        <w:t>标</w:t>
      </w:r>
      <w:r>
        <w:rPr>
          <w:rFonts w:ascii="黑体" w:hAnsi="黑体" w:eastAsia="黑体" w:cs="黑体"/>
          <w:spacing w:val="36"/>
          <w:sz w:val="84"/>
          <w:szCs w:val="84"/>
        </w:rPr>
        <w:t xml:space="preserve"> </w:t>
      </w:r>
      <w:r>
        <w:rPr>
          <w:rFonts w:ascii="黑体" w:hAnsi="黑体" w:eastAsia="黑体" w:cs="黑体"/>
          <w:spacing w:val="-33"/>
          <w:sz w:val="84"/>
          <w:szCs w:val="84"/>
        </w:rPr>
        <w:t>准</w:t>
      </w:r>
    </w:p>
    <w:p>
      <w:pPr>
        <w:spacing w:line="261" w:lineRule="auto"/>
        <w:rPr>
          <w:rFonts w:ascii="宋体"/>
        </w:rPr>
      </w:pPr>
    </w:p>
    <w:p>
      <w:pPr>
        <w:spacing w:line="262" w:lineRule="auto"/>
        <w:rPr>
          <w:rFonts w:ascii="宋体"/>
        </w:rPr>
      </w:pPr>
    </w:p>
    <w:p>
      <w:pPr>
        <w:spacing w:before="92" w:line="185" w:lineRule="auto"/>
        <w:ind w:firstLine="6766"/>
        <w:rPr>
          <w:rFonts w:ascii="黑体" w:hAnsi="黑体" w:eastAsia="黑体" w:cs="黑体"/>
          <w:sz w:val="28"/>
          <w:szCs w:val="28"/>
        </w:rPr>
      </w:pPr>
      <w:r>
        <w:rPr>
          <w:rFonts w:hint="eastAsia" w:ascii="黑体" w:hAnsi="黑体" w:eastAsia="黑体" w:cs="黑体"/>
          <w:spacing w:val="-1"/>
          <w:sz w:val="28"/>
          <w:szCs w:val="28"/>
        </w:rPr>
        <w:t>DB 1502/XXX XXX</w:t>
      </w:r>
    </w:p>
    <w:p>
      <w:pPr>
        <w:spacing w:before="221" w:line="41" w:lineRule="exact"/>
        <w:textAlignment w:val="center"/>
        <w:rPr>
          <w:rFonts w:ascii="宋体"/>
        </w:rPr>
      </w:pPr>
      <w:r>
        <w:drawing>
          <wp:inline distT="0" distB="0" distL="0" distR="0">
            <wp:extent cx="5794375" cy="74295"/>
            <wp:effectExtent l="0" t="0" r="15875" b="190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9"/>
                    <a:stretch>
                      <a:fillRect/>
                    </a:stretch>
                  </pic:blipFill>
                  <pic:spPr>
                    <a:xfrm flipV="1">
                      <a:off x="0" y="0"/>
                      <a:ext cx="7059968" cy="90679"/>
                    </a:xfrm>
                    <a:prstGeom prst="rect">
                      <a:avLst/>
                    </a:prstGeom>
                  </pic:spPr>
                </pic:pic>
              </a:graphicData>
            </a:graphic>
          </wp:inline>
        </w:drawing>
      </w:r>
    </w:p>
    <w:p>
      <w:pPr>
        <w:spacing w:line="256" w:lineRule="auto"/>
        <w:rPr>
          <w:rFonts w:ascii="宋体"/>
        </w:rPr>
      </w:pPr>
    </w:p>
    <w:p>
      <w:pPr>
        <w:spacing w:line="256" w:lineRule="auto"/>
        <w:rPr>
          <w:rFonts w:ascii="宋体"/>
        </w:rPr>
      </w:pPr>
    </w:p>
    <w:p>
      <w:pPr>
        <w:spacing w:line="257" w:lineRule="auto"/>
        <w:rPr>
          <w:rFonts w:ascii="宋体"/>
        </w:rPr>
      </w:pPr>
    </w:p>
    <w:p>
      <w:pPr>
        <w:spacing w:line="257" w:lineRule="auto"/>
        <w:rPr>
          <w:rFonts w:ascii="宋体"/>
        </w:rPr>
      </w:pPr>
    </w:p>
    <w:p>
      <w:pPr>
        <w:spacing w:line="257" w:lineRule="auto"/>
        <w:rPr>
          <w:rFonts w:ascii="宋体"/>
        </w:rPr>
      </w:pPr>
    </w:p>
    <w:p>
      <w:pPr>
        <w:spacing w:before="143" w:line="184" w:lineRule="auto"/>
        <w:ind w:firstLine="991"/>
        <w:rPr>
          <w:rFonts w:ascii="黑体" w:hAnsi="黑体" w:eastAsia="黑体" w:cs="黑体"/>
          <w:sz w:val="44"/>
          <w:szCs w:val="44"/>
        </w:rPr>
      </w:pPr>
      <w:r>
        <w:rPr>
          <w:rFonts w:ascii="黑体" w:hAnsi="黑体" w:eastAsia="黑体" w:cs="黑体"/>
          <w:spacing w:val="-3"/>
          <w:sz w:val="44"/>
          <w:szCs w:val="44"/>
        </w:rPr>
        <w:t>电动中重卡共享换电站建设及换电车辆</w:t>
      </w:r>
    </w:p>
    <w:p>
      <w:pPr>
        <w:spacing w:before="184" w:line="625" w:lineRule="exact"/>
        <w:ind w:firstLine="3825"/>
        <w:rPr>
          <w:rFonts w:ascii="黑体" w:hAnsi="黑体" w:eastAsia="黑体" w:cs="黑体"/>
          <w:sz w:val="44"/>
          <w:szCs w:val="44"/>
        </w:rPr>
      </w:pPr>
      <w:r>
        <w:rPr>
          <w:rFonts w:ascii="黑体" w:hAnsi="黑体" w:eastAsia="黑体" w:cs="黑体"/>
          <w:spacing w:val="-5"/>
          <w:position w:val="12"/>
          <w:sz w:val="44"/>
          <w:szCs w:val="44"/>
        </w:rPr>
        <w:t>技术规范</w:t>
      </w:r>
    </w:p>
    <w:p>
      <w:pPr>
        <w:spacing w:line="204" w:lineRule="auto"/>
        <w:jc w:val="center"/>
        <w:rPr>
          <w:rFonts w:hint="default" w:ascii="黑体" w:hAnsi="黑体" w:eastAsia="黑体" w:cs="黑体"/>
          <w:sz w:val="44"/>
          <w:szCs w:val="44"/>
          <w:lang w:val="en-US" w:eastAsia="zh-CN"/>
        </w:rPr>
      </w:pPr>
      <w:r>
        <w:rPr>
          <w:rFonts w:ascii="黑体" w:hAnsi="黑体" w:eastAsia="黑体" w:cs="黑体"/>
          <w:spacing w:val="-3"/>
          <w:sz w:val="44"/>
          <w:szCs w:val="44"/>
        </w:rPr>
        <w:t>第</w:t>
      </w:r>
      <w:r>
        <w:rPr>
          <w:rFonts w:hint="eastAsia" w:ascii="黑体" w:hAnsi="黑体" w:eastAsia="黑体" w:cs="黑体"/>
          <w:spacing w:val="-3"/>
          <w:sz w:val="44"/>
          <w:szCs w:val="44"/>
          <w:lang w:eastAsia="zh-CN"/>
        </w:rPr>
        <w:t>五</w:t>
      </w:r>
      <w:r>
        <w:rPr>
          <w:rFonts w:ascii="黑体" w:hAnsi="黑体" w:eastAsia="黑体" w:cs="黑体"/>
          <w:spacing w:val="-3"/>
          <w:sz w:val="44"/>
          <w:szCs w:val="44"/>
        </w:rPr>
        <w:t>部分</w:t>
      </w:r>
      <w:r>
        <w:rPr>
          <w:rFonts w:ascii="黑体" w:hAnsi="黑体" w:eastAsia="黑体" w:cs="黑体"/>
          <w:spacing w:val="-19"/>
          <w:w w:val="87"/>
          <w:sz w:val="44"/>
          <w:szCs w:val="44"/>
        </w:rPr>
        <w:t>：</w:t>
      </w:r>
      <w:r>
        <w:rPr>
          <w:rFonts w:hint="eastAsia" w:ascii="黑体" w:hAnsi="黑体" w:eastAsia="黑体" w:cs="黑体"/>
          <w:spacing w:val="-19"/>
          <w:w w:val="87"/>
          <w:sz w:val="44"/>
          <w:szCs w:val="44"/>
        </w:rPr>
        <w:t>换电系统设备技术要求</w:t>
      </w:r>
    </w:p>
    <w:p>
      <w:pPr>
        <w:spacing w:line="316" w:lineRule="auto"/>
        <w:rPr>
          <w:rFonts w:ascii="宋体"/>
        </w:rPr>
      </w:pPr>
    </w:p>
    <w:p>
      <w:pPr>
        <w:spacing w:before="70" w:line="232" w:lineRule="auto"/>
        <w:ind w:left="1752" w:right="277" w:hanging="168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electric</w:t>
      </w:r>
      <w:r>
        <w:rPr>
          <w:rFonts w:ascii="Times New Roman" w:hAnsi="Times New Roman" w:eastAsia="Times New Roman" w:cs="Times New Roman"/>
          <w:spacing w:val="24"/>
          <w:w w:val="101"/>
          <w:sz w:val="24"/>
          <w:szCs w:val="24"/>
        </w:rPr>
        <w:t xml:space="preserve"> </w:t>
      </w:r>
      <w:r>
        <w:rPr>
          <w:rFonts w:ascii="Times New Roman" w:hAnsi="Times New Roman" w:eastAsia="Times New Roman" w:cs="Times New Roman"/>
          <w:spacing w:val="-1"/>
          <w:sz w:val="24"/>
          <w:szCs w:val="24"/>
        </w:rPr>
        <w:t>medium</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heavy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truck</w:t>
      </w:r>
      <w:r>
        <w:rPr>
          <w:rFonts w:ascii="Times New Roman" w:hAnsi="Times New Roman" w:eastAsia="Times New Roman" w:cs="Times New Roman"/>
          <w:spacing w:val="10"/>
          <w:w w:val="101"/>
          <w:sz w:val="24"/>
          <w:szCs w:val="24"/>
        </w:rPr>
        <w:t xml:space="preserve"> </w:t>
      </w:r>
      <w:r>
        <w:rPr>
          <w:rFonts w:ascii="Times New Roman" w:hAnsi="Times New Roman" w:eastAsia="Times New Roman" w:cs="Times New Roman"/>
          <w:spacing w:val="-1"/>
          <w:sz w:val="24"/>
          <w:szCs w:val="24"/>
        </w:rPr>
        <w:t>sharing replacement power</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station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construction</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technical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specifications</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power</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exchange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vehicles</w:t>
      </w:r>
    </w:p>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Times New Roman" w:cs="Times New Roman"/>
          <w:spacing w:val="-2"/>
          <w:position w:val="27"/>
          <w:sz w:val="24"/>
          <w:szCs w:val="24"/>
          <w:lang w:val="en-US" w:eastAsia="zh-CN"/>
        </w:rPr>
      </w:pPr>
      <w:r>
        <w:rPr>
          <w:rFonts w:ascii="Times New Roman" w:hAnsi="Times New Roman" w:eastAsia="Times New Roman" w:cs="Times New Roman"/>
          <w:spacing w:val="-2"/>
          <w:position w:val="27"/>
          <w:sz w:val="24"/>
          <w:szCs w:val="24"/>
        </w:rPr>
        <w:t xml:space="preserve">part </w:t>
      </w:r>
      <w:r>
        <w:rPr>
          <w:rFonts w:hint="eastAsia" w:ascii="Times New Roman" w:hAnsi="Times New Roman" w:cs="Times New Roman"/>
          <w:spacing w:val="-2"/>
          <w:position w:val="27"/>
          <w:sz w:val="24"/>
          <w:szCs w:val="24"/>
          <w:lang w:val="en-US" w:eastAsia="zh-CN"/>
        </w:rPr>
        <w:t>5</w:t>
      </w:r>
      <w:r>
        <w:rPr>
          <w:rFonts w:ascii="Times New Roman" w:hAnsi="Times New Roman" w:eastAsia="Times New Roman" w:cs="Times New Roman"/>
          <w:spacing w:val="-2"/>
          <w:position w:val="27"/>
          <w:sz w:val="24"/>
          <w:szCs w:val="24"/>
        </w:rPr>
        <w:t>:</w:t>
      </w:r>
      <w:r>
        <w:rPr>
          <w:rFonts w:hint="eastAsia" w:ascii="Times New Roman" w:hAnsi="Times New Roman" w:eastAsia="Times New Roman" w:cs="Times New Roman"/>
          <w:spacing w:val="-2"/>
          <w:position w:val="27"/>
          <w:sz w:val="24"/>
          <w:szCs w:val="24"/>
        </w:rPr>
        <w:t>Technical requirements for power exchange system equipment</w:t>
      </w:r>
    </w:p>
    <w:p>
      <w:pPr>
        <w:widowControl/>
        <w:wordWrap w:val="0"/>
        <w:jc w:val="center"/>
        <w:rPr>
          <w:rFonts w:hint="default" w:ascii="黑体" w:hAnsi="宋体" w:eastAsia="宋体" w:cs="黑体"/>
          <w:sz w:val="24"/>
          <w:lang w:val="en-US" w:eastAsia="zh-CN"/>
        </w:rPr>
      </w:pPr>
    </w:p>
    <w:p>
      <w:pPr>
        <w:spacing w:before="91" w:line="587" w:lineRule="exact"/>
        <w:ind w:firstLine="2952"/>
        <w:rPr>
          <w:rFonts w:ascii="Times New Roman" w:hAnsi="Times New Roman" w:eastAsia="Times New Roman" w:cs="Times New Roman"/>
          <w:sz w:val="24"/>
          <w:szCs w:val="24"/>
        </w:rPr>
      </w:pPr>
    </w:p>
    <w:p>
      <w:pPr>
        <w:spacing w:line="204" w:lineRule="auto"/>
        <w:ind w:firstLine="4162"/>
        <w:rPr>
          <w:rFonts w:ascii="宋体"/>
        </w:rPr>
      </w:pPr>
      <w:r>
        <w:rPr>
          <w:rFonts w:ascii="黑体" w:hAnsi="黑体" w:eastAsia="黑体" w:cs="黑体"/>
          <w:spacing w:val="-9"/>
          <w:sz w:val="24"/>
          <w:szCs w:val="24"/>
        </w:rPr>
        <w:t>（</w:t>
      </w:r>
      <w:r>
        <w:rPr>
          <w:rFonts w:ascii="黑体" w:hAnsi="黑体" w:eastAsia="黑体" w:cs="黑体"/>
          <w:spacing w:val="11"/>
          <w:sz w:val="24"/>
          <w:szCs w:val="24"/>
        </w:rPr>
        <w:t xml:space="preserve"> </w:t>
      </w:r>
      <w:r>
        <w:rPr>
          <w:rFonts w:ascii="黑体" w:hAnsi="黑体" w:eastAsia="黑体" w:cs="黑体"/>
          <w:spacing w:val="-9"/>
          <w:sz w:val="24"/>
          <w:szCs w:val="24"/>
        </w:rPr>
        <w:t>草案</w:t>
      </w:r>
      <w:r>
        <w:rPr>
          <w:rFonts w:ascii="黑体" w:hAnsi="黑体" w:eastAsia="黑体" w:cs="黑体"/>
          <w:sz w:val="24"/>
          <w:szCs w:val="24"/>
        </w:rPr>
        <w:t xml:space="preserve"> </w:t>
      </w:r>
      <w:r>
        <w:rPr>
          <w:rFonts w:ascii="黑体" w:hAnsi="黑体" w:eastAsia="黑体" w:cs="黑体"/>
          <w:spacing w:val="-9"/>
          <w:sz w:val="24"/>
          <w:szCs w:val="24"/>
        </w:rPr>
        <w:t>）</w:t>
      </w: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9" w:lineRule="auto"/>
        <w:rPr>
          <w:rFonts w:ascii="宋体"/>
        </w:rPr>
      </w:pPr>
    </w:p>
    <w:p>
      <w:pPr>
        <w:spacing w:line="259" w:lineRule="auto"/>
        <w:rPr>
          <w:rFonts w:ascii="宋体"/>
        </w:rPr>
      </w:pPr>
    </w:p>
    <w:p>
      <w:pPr>
        <w:spacing w:line="259" w:lineRule="auto"/>
        <w:rPr>
          <w:rFonts w:ascii="宋体"/>
        </w:rPr>
      </w:pPr>
    </w:p>
    <w:p>
      <w:pPr>
        <w:spacing w:line="259" w:lineRule="auto"/>
        <w:rPr>
          <w:rFonts w:ascii="宋体"/>
        </w:rPr>
      </w:pPr>
    </w:p>
    <w:p>
      <w:pPr>
        <w:spacing w:before="98" w:line="198" w:lineRule="auto"/>
        <w:ind w:firstLine="147"/>
        <w:rPr>
          <w:rFonts w:ascii="黑体" w:hAnsi="黑体" w:eastAsia="黑体" w:cs="黑体"/>
          <w:sz w:val="30"/>
          <w:szCs w:val="30"/>
        </w:rPr>
      </w:pPr>
      <w:r>
        <w:rPr>
          <w:rFonts w:ascii="Times New Roman" w:hAnsi="Times New Roman" w:eastAsia="Times New Roman" w:cs="Times New Roman"/>
          <w:spacing w:val="-2"/>
          <w:sz w:val="30"/>
          <w:szCs w:val="30"/>
        </w:rPr>
        <w:t>xxxx-xx-xx</w:t>
      </w:r>
      <w:r>
        <w:rPr>
          <w:rFonts w:ascii="Times New Roman" w:hAnsi="Times New Roman" w:eastAsia="Times New Roman" w:cs="Times New Roman"/>
          <w:spacing w:val="75"/>
          <w:sz w:val="30"/>
          <w:szCs w:val="30"/>
        </w:rPr>
        <w:t xml:space="preserve"> </w:t>
      </w:r>
      <w:r>
        <w:rPr>
          <w:rFonts w:ascii="黑体" w:hAnsi="黑体" w:eastAsia="黑体" w:cs="黑体"/>
          <w:spacing w:val="-2"/>
          <w:sz w:val="30"/>
          <w:szCs w:val="30"/>
        </w:rPr>
        <w:t>发布</w:t>
      </w:r>
      <w:r>
        <w:rPr>
          <w:rFonts w:ascii="黑体" w:hAnsi="黑体" w:eastAsia="黑体" w:cs="黑体"/>
          <w:sz w:val="30"/>
          <w:szCs w:val="30"/>
        </w:rPr>
        <w:t xml:space="preserve">                               </w:t>
      </w:r>
      <w:r>
        <w:rPr>
          <w:rFonts w:ascii="Times New Roman" w:hAnsi="Times New Roman" w:eastAsia="Times New Roman" w:cs="Times New Roman"/>
          <w:spacing w:val="-2"/>
          <w:sz w:val="30"/>
          <w:szCs w:val="30"/>
        </w:rPr>
        <w:t>xxxx-xx-xx</w:t>
      </w:r>
      <w:r>
        <w:rPr>
          <w:rFonts w:ascii="Times New Roman" w:hAnsi="Times New Roman" w:eastAsia="Times New Roman" w:cs="Times New Roman"/>
          <w:spacing w:val="70"/>
          <w:sz w:val="30"/>
          <w:szCs w:val="30"/>
        </w:rPr>
        <w:t xml:space="preserve"> </w:t>
      </w:r>
      <w:r>
        <w:rPr>
          <w:rFonts w:ascii="黑体" w:hAnsi="黑体" w:eastAsia="黑体" w:cs="黑体"/>
          <w:spacing w:val="-2"/>
          <w:sz w:val="30"/>
          <w:szCs w:val="30"/>
        </w:rPr>
        <w:t>实施</w:t>
      </w:r>
    </w:p>
    <w:p>
      <w:pPr>
        <w:spacing w:line="406" w:lineRule="auto"/>
        <w:rPr>
          <w:rFonts w:ascii="宋体"/>
        </w:rPr>
      </w:pPr>
      <w:r>
        <w:rPr>
          <w:highlight w:val="yellow"/>
        </w:rPr>
        <w:drawing>
          <wp:anchor distT="0" distB="0" distL="0" distR="0" simplePos="0" relativeHeight="251659264" behindDoc="0" locked="0" layoutInCell="0" allowOverlap="1">
            <wp:simplePos x="0" y="0"/>
            <wp:positionH relativeFrom="page">
              <wp:posOffset>923925</wp:posOffset>
            </wp:positionH>
            <wp:positionV relativeFrom="page">
              <wp:posOffset>9813290</wp:posOffset>
            </wp:positionV>
            <wp:extent cx="6017895" cy="45720"/>
            <wp:effectExtent l="0" t="0" r="1905" b="11430"/>
            <wp:wrapNone/>
            <wp:docPr id="5" name="IM 1"/>
            <wp:cNvGraphicFramePr/>
            <a:graphic xmlns:a="http://schemas.openxmlformats.org/drawingml/2006/main">
              <a:graphicData uri="http://schemas.openxmlformats.org/drawingml/2006/picture">
                <pic:pic xmlns:pic="http://schemas.openxmlformats.org/drawingml/2006/picture">
                  <pic:nvPicPr>
                    <pic:cNvPr id="5" name="IM 1"/>
                    <pic:cNvPicPr/>
                  </pic:nvPicPr>
                  <pic:blipFill>
                    <a:blip r:embed="rId10"/>
                    <a:stretch>
                      <a:fillRect/>
                    </a:stretch>
                  </pic:blipFill>
                  <pic:spPr>
                    <a:xfrm>
                      <a:off x="0" y="0"/>
                      <a:ext cx="6018028" cy="45719"/>
                    </a:xfrm>
                    <a:prstGeom prst="rect">
                      <a:avLst/>
                    </a:prstGeom>
                  </pic:spPr>
                </pic:pic>
              </a:graphicData>
            </a:graphic>
          </wp:anchor>
        </w:drawing>
      </w:r>
    </w:p>
    <w:p>
      <w:pPr>
        <w:spacing w:before="92" w:line="185" w:lineRule="auto"/>
        <w:ind w:firstLine="2659"/>
        <w:sectPr>
          <w:pgSz w:w="11907" w:h="16839"/>
          <w:pgMar w:top="567" w:right="1129" w:bottom="0" w:left="1357" w:header="0" w:footer="0" w:gutter="0"/>
          <w:cols w:space="720" w:num="1"/>
        </w:sectPr>
      </w:pPr>
      <w:r>
        <w:rPr>
          <w:rFonts w:hint="eastAsia" w:ascii="黑体" w:hAnsi="黑体" w:eastAsia="黑体" w:cs="黑体"/>
          <w:spacing w:val="32"/>
          <w:sz w:val="28"/>
          <w:szCs w:val="28"/>
          <w:highlight w:val="yellow"/>
        </w:rPr>
        <w:t>包头市市场监督管理局</w:t>
      </w:r>
      <w:r>
        <w:rPr>
          <w:rFonts w:ascii="黑体" w:hAnsi="黑体" w:eastAsia="黑体" w:cs="黑体"/>
          <w:spacing w:val="32"/>
          <w:sz w:val="28"/>
          <w:szCs w:val="28"/>
          <w:highlight w:val="yellow"/>
        </w:rPr>
        <w:t xml:space="preserve">   </w:t>
      </w:r>
      <w:r>
        <w:rPr>
          <w:rFonts w:ascii="黑体" w:hAnsi="黑体" w:eastAsia="黑体" w:cs="黑体"/>
          <w:spacing w:val="51"/>
          <w:w w:val="125"/>
          <w:sz w:val="24"/>
          <w:szCs w:val="24"/>
          <w:highlight w:val="yellow"/>
        </w:rPr>
        <w:t>发布</w:t>
      </w:r>
    </w:p>
    <w:p>
      <w:pPr>
        <w:jc w:val="both"/>
        <w:rPr>
          <w:rFonts w:ascii="宋体" w:hAnsi="宋体" w:cs="宋体"/>
          <w:sz w:val="22"/>
          <w:szCs w:val="22"/>
        </w:rPr>
      </w:pPr>
      <w:r>
        <w:rPr>
          <w:rFonts w:ascii="黑体" w:hAnsi="宋体" w:eastAsia="黑体" w:cs="黑体"/>
          <w:sz w:val="84"/>
          <w:szCs w:val="84"/>
        </w:rPr>
        <w:br w:type="textWrapping"/>
      </w:r>
      <w:bookmarkStart w:id="0" w:name="_Toc28424"/>
      <w:bookmarkStart w:id="1" w:name="_Toc2675404"/>
    </w:p>
    <w:sdt>
      <w:sdtPr>
        <w:rPr>
          <w:rFonts w:ascii="Arial" w:hAnsi="Arial" w:eastAsia="宋体" w:cstheme="minorBidi"/>
          <w:color w:val="auto"/>
          <w:kern w:val="2"/>
          <w:sz w:val="21"/>
          <w:szCs w:val="24"/>
          <w:lang w:val="zh-CN"/>
        </w:rPr>
        <w:id w:val="252479185"/>
        <w:docPartObj>
          <w:docPartGallery w:val="Table of Contents"/>
          <w:docPartUnique/>
        </w:docPartObj>
      </w:sdtPr>
      <w:sdtEndPr>
        <w:rPr>
          <w:rFonts w:ascii="Arial" w:hAnsi="Arial" w:eastAsia="宋体" w:cstheme="minorBidi"/>
          <w:b/>
          <w:bCs/>
          <w:color w:val="auto"/>
          <w:kern w:val="2"/>
          <w:sz w:val="21"/>
          <w:szCs w:val="24"/>
          <w:lang w:val="zh-CN"/>
        </w:rPr>
      </w:sdtEndPr>
      <w:sdtContent>
        <w:p>
          <w:pPr>
            <w:pStyle w:val="43"/>
            <w:spacing w:line="360" w:lineRule="auto"/>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 xml:space="preserve"> 录</w:t>
          </w:r>
        </w:p>
        <w:p>
          <w:pPr>
            <w:pStyle w:val="10"/>
            <w:ind w:firstLine="420" w:firstLineChars="200"/>
            <w:rPr>
              <w:rFonts w:asciiTheme="minorHAnsi" w:hAnsiTheme="minorHAnsi" w:eastAsiaTheme="minorEastAsia"/>
              <w:szCs w:val="22"/>
            </w:rPr>
          </w:pPr>
          <w:r>
            <w:fldChar w:fldCharType="begin"/>
          </w:r>
          <w:r>
            <w:instrText xml:space="preserve"> TOC \o "1-2" \h \z \u </w:instrText>
          </w:r>
          <w:r>
            <w:fldChar w:fldCharType="separate"/>
          </w:r>
          <w:r>
            <w:fldChar w:fldCharType="begin"/>
          </w:r>
          <w:r>
            <w:instrText xml:space="preserve"> HYPERLINK \l "_Toc101795874" </w:instrText>
          </w:r>
          <w:r>
            <w:fldChar w:fldCharType="separate"/>
          </w:r>
          <w:r>
            <w:rPr>
              <w:rStyle w:val="17"/>
            </w:rPr>
            <w:t>前</w:t>
          </w:r>
          <w:r>
            <w:rPr>
              <w:rStyle w:val="17"/>
              <w:rFonts w:hAnsi="黑体"/>
            </w:rPr>
            <w:t>  </w:t>
          </w:r>
          <w:r>
            <w:rPr>
              <w:rStyle w:val="17"/>
            </w:rPr>
            <w:t>言</w:t>
          </w:r>
          <w:r>
            <w:tab/>
          </w:r>
          <w:r>
            <w:fldChar w:fldCharType="begin"/>
          </w:r>
          <w:r>
            <w:instrText xml:space="preserve"> PAGEREF _Toc101795874 \h </w:instrText>
          </w:r>
          <w:r>
            <w:fldChar w:fldCharType="separate"/>
          </w:r>
          <w:r>
            <w:t>III</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"_Toc101795875" </w:instrText>
          </w:r>
          <w:r>
            <w:fldChar w:fldCharType="separate"/>
          </w:r>
          <w:r>
            <w:rPr>
              <w:rStyle w:val="17"/>
            </w:rPr>
            <w:t>1 范围</w:t>
          </w:r>
          <w:r>
            <w:tab/>
          </w:r>
          <w:r>
            <w:fldChar w:fldCharType="begin"/>
          </w:r>
          <w:r>
            <w:instrText xml:space="preserve"> PAGEREF _Toc101795875 \h </w:instrText>
          </w:r>
          <w:r>
            <w:fldChar w:fldCharType="separate"/>
          </w:r>
          <w:r>
            <w:t>1</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"_Toc101795876" </w:instrText>
          </w:r>
          <w:r>
            <w:fldChar w:fldCharType="separate"/>
          </w:r>
          <w:r>
            <w:rPr>
              <w:rStyle w:val="17"/>
            </w:rPr>
            <w:t>2 规范性引用文件</w:t>
          </w:r>
          <w:r>
            <w:tab/>
          </w:r>
          <w:r>
            <w:fldChar w:fldCharType="begin"/>
          </w:r>
          <w:r>
            <w:instrText xml:space="preserve"> PAGEREF _Toc101795876 \h </w:instrText>
          </w:r>
          <w:r>
            <w:fldChar w:fldCharType="separate"/>
          </w:r>
          <w:r>
            <w:t>1</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"_Toc101795877" </w:instrText>
          </w:r>
          <w:r>
            <w:fldChar w:fldCharType="separate"/>
          </w:r>
          <w:r>
            <w:rPr>
              <w:rStyle w:val="17"/>
            </w:rPr>
            <w:t>3 术语和定义</w:t>
          </w:r>
          <w:r>
            <w:tab/>
          </w:r>
          <w:r>
            <w:fldChar w:fldCharType="begin"/>
          </w:r>
          <w:r>
            <w:instrText xml:space="preserve"> PAGEREF _Toc101795877 \h </w:instrText>
          </w:r>
          <w:r>
            <w:fldChar w:fldCharType="separate"/>
          </w:r>
          <w:r>
            <w:t>2</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"_Toc101795878" </w:instrText>
          </w:r>
          <w:r>
            <w:fldChar w:fldCharType="separate"/>
          </w:r>
          <w:r>
            <w:rPr>
              <w:rStyle w:val="17"/>
            </w:rPr>
            <w:t>4 基本构成与分类</w:t>
          </w:r>
          <w:r>
            <w:tab/>
          </w:r>
          <w:r>
            <w:fldChar w:fldCharType="begin"/>
          </w:r>
          <w:r>
            <w:instrText xml:space="preserve"> PAGEREF _Toc101795878 \h </w:instrText>
          </w:r>
          <w:r>
            <w:fldChar w:fldCharType="separate"/>
          </w:r>
          <w:r>
            <w:t>3</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"_Toc101795879" </w:instrText>
          </w:r>
          <w:r>
            <w:fldChar w:fldCharType="separate"/>
          </w:r>
          <w:r>
            <w:rPr>
              <w:rStyle w:val="17"/>
            </w:rPr>
            <w:t>5 技术要求</w:t>
          </w:r>
          <w:r>
            <w:tab/>
          </w:r>
          <w:r>
            <w:fldChar w:fldCharType="begin"/>
          </w:r>
          <w:r>
            <w:instrText xml:space="preserve"> PAGEREF _Toc101795879 \h </w:instrText>
          </w:r>
          <w:r>
            <w:fldChar w:fldCharType="separate"/>
          </w:r>
          <w:r>
            <w:t>4</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"_Toc101795880" </w:instrText>
          </w:r>
          <w:r>
            <w:fldChar w:fldCharType="separate"/>
          </w:r>
          <w:r>
            <w:rPr>
              <w:rStyle w:val="17"/>
            </w:rPr>
            <w:t>6 试验方法</w:t>
          </w:r>
          <w:r>
            <w:tab/>
          </w:r>
          <w:r>
            <w:fldChar w:fldCharType="begin"/>
          </w:r>
          <w:r>
            <w:instrText xml:space="preserve"> PAGEREF _Toc101795880 \h </w:instrText>
          </w:r>
          <w:r>
            <w:fldChar w:fldCharType="separate"/>
          </w:r>
          <w:r>
            <w:t>11</w:t>
          </w:r>
          <w:r>
            <w:fldChar w:fldCharType="end"/>
          </w:r>
          <w:r>
            <w:fldChar w:fldCharType="end"/>
          </w:r>
        </w:p>
        <w:p>
          <w:pPr>
            <w:pStyle w:val="12"/>
            <w:tabs>
              <w:tab w:val="right" w:leader="dot" w:pos="9344"/>
            </w:tabs>
            <w:rPr>
              <w:rFonts w:asciiTheme="minorHAnsi" w:hAnsiTheme="minorHAnsi" w:eastAsiaTheme="minorEastAsia"/>
              <w:szCs w:val="22"/>
            </w:rPr>
          </w:pPr>
          <w:r>
            <w:fldChar w:fldCharType="begin"/>
          </w:r>
          <w:r>
            <w:instrText xml:space="preserve"> HYPERLINK \l "_Toc101795881" </w:instrText>
          </w:r>
          <w:r>
            <w:fldChar w:fldCharType="separate"/>
          </w:r>
          <w:r>
            <w:rPr>
              <w:rStyle w:val="17"/>
            </w:rPr>
            <w:t>7 附录</w:t>
          </w:r>
          <w:r>
            <w:tab/>
          </w:r>
          <w:r>
            <w:fldChar w:fldCharType="begin"/>
          </w:r>
          <w:r>
            <w:instrText xml:space="preserve"> PAGEREF _Toc101795881 \h </w:instrText>
          </w:r>
          <w:r>
            <w:fldChar w:fldCharType="separate"/>
          </w:r>
          <w:r>
            <w:t>15</w:t>
          </w:r>
          <w:r>
            <w:fldChar w:fldCharType="end"/>
          </w:r>
          <w:r>
            <w:fldChar w:fldCharType="end"/>
          </w:r>
        </w:p>
        <w:p>
          <w:pPr>
            <w:spacing w:line="360" w:lineRule="auto"/>
          </w:pPr>
          <w:r>
            <w:fldChar w:fldCharType="end"/>
          </w:r>
        </w:p>
      </w:sdtContent>
    </w:sdt>
    <w:p/>
    <w:bookmarkEnd w:id="0"/>
    <w:bookmarkEnd w:id="1"/>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z w:val="32"/>
          <w:szCs w:val="32"/>
        </w:rPr>
      </w:pPr>
      <w:r>
        <w:rPr>
          <w:rFonts w:ascii="黑体" w:hAnsi="黑体" w:eastAsia="黑体" w:cs="黑体"/>
          <w:spacing w:val="-7"/>
          <w:sz w:val="32"/>
          <w:szCs w:val="32"/>
        </w:rPr>
        <w:t>前</w:t>
      </w:r>
      <w:r>
        <w:rPr>
          <w:rFonts w:ascii="黑体" w:hAnsi="黑体" w:eastAsia="黑体" w:cs="黑体"/>
          <w:spacing w:val="6"/>
          <w:sz w:val="32"/>
          <w:szCs w:val="32"/>
        </w:rPr>
        <w:t xml:space="preserve">    </w:t>
      </w:r>
      <w:r>
        <w:rPr>
          <w:rFonts w:ascii="黑体" w:hAnsi="黑体" w:eastAsia="黑体" w:cs="黑体"/>
          <w:spacing w:val="-7"/>
          <w:sz w:val="32"/>
          <w:szCs w:val="32"/>
        </w:rPr>
        <w:t>言</w:t>
      </w:r>
    </w:p>
    <w:p>
      <w:pPr>
        <w:spacing w:line="306" w:lineRule="auto"/>
        <w:rPr>
          <w:rFonts w:ascii="宋体"/>
        </w:rPr>
      </w:pPr>
    </w:p>
    <w:p>
      <w:pPr>
        <w:spacing w:line="306" w:lineRule="auto"/>
        <w:rPr>
          <w:rFonts w:ascii="宋体"/>
        </w:rPr>
      </w:pPr>
    </w:p>
    <w:p>
      <w:pPr>
        <w:spacing w:line="360" w:lineRule="auto"/>
        <w:ind w:left="36" w:right="24" w:firstLine="421"/>
        <w:rPr>
          <w:rFonts w:ascii="宋体" w:hAnsi="宋体" w:eastAsia="宋体" w:cs="宋体"/>
          <w:spacing w:val="-5"/>
        </w:rPr>
      </w:pPr>
      <w:r>
        <w:rPr>
          <w:rFonts w:ascii="宋体" w:hAnsi="宋体" w:eastAsia="宋体" w:cs="宋体"/>
          <w:spacing w:val="-5"/>
        </w:rPr>
        <w:t>本文件对车端及站端硬件接口及通信协议等相关技术条件进行统一，遵循行业技术先进性、前瞻性 及通用性原则，实现“车&amp;站互通互换”目的，满足市场车电分离需求。</w:t>
      </w:r>
    </w:p>
    <w:p>
      <w:pPr>
        <w:spacing w:line="360" w:lineRule="auto"/>
        <w:ind w:left="36" w:right="24" w:firstLine="421"/>
        <w:rPr>
          <w:rFonts w:ascii="宋体" w:hAnsi="宋体" w:eastAsia="宋体" w:cs="宋体"/>
          <w:spacing w:val="-5"/>
        </w:rPr>
      </w:pPr>
      <w:r>
        <w:rPr>
          <w:rFonts w:ascii="宋体" w:hAnsi="宋体" w:eastAsia="宋体" w:cs="宋体"/>
          <w:spacing w:val="-5"/>
        </w:rPr>
        <w:t>本文件适用于电动中重卡</w:t>
      </w:r>
      <w:r>
        <w:rPr>
          <w:rFonts w:ascii="宋体" w:hAnsi="宋体" w:eastAsia="宋体" w:cs="宋体"/>
          <w:spacing w:val="-5"/>
          <w:highlight w:val="none"/>
        </w:rPr>
        <w:t>吊装式</w:t>
      </w:r>
      <w:r>
        <w:rPr>
          <w:rFonts w:ascii="宋体" w:hAnsi="宋体" w:eastAsia="宋体" w:cs="宋体"/>
          <w:spacing w:val="-5"/>
        </w:rPr>
        <w:t>换电车辆，其它车型可参照使用。</w:t>
      </w:r>
    </w:p>
    <w:p>
      <w:pPr>
        <w:spacing w:line="360" w:lineRule="auto"/>
        <w:ind w:left="36" w:right="24" w:firstLine="421"/>
        <w:rPr>
          <w:rFonts w:ascii="宋体" w:hAnsi="宋体" w:eastAsia="宋体" w:cs="宋体"/>
          <w:spacing w:val="-5"/>
        </w:rPr>
      </w:pPr>
      <w:bookmarkStart w:id="22" w:name="_GoBack"/>
      <w:bookmarkEnd w:id="22"/>
      <w:r>
        <w:rPr>
          <w:rFonts w:ascii="宋体" w:hAnsi="宋体" w:eastAsia="宋体" w:cs="宋体"/>
          <w:spacing w:val="-5"/>
          <w:highlight w:val="none"/>
        </w:rPr>
        <w:t xml:space="preserve"> XX《电动中重卡共享换电站建设及换电车辆技术规范》共分为</w:t>
      </w:r>
      <w:r>
        <w:rPr>
          <w:rFonts w:hint="eastAsia" w:ascii="宋体" w:hAnsi="宋体" w:eastAsia="宋体" w:cs="宋体"/>
          <w:spacing w:val="-5"/>
          <w:highlight w:val="none"/>
          <w:lang w:val="en-US" w:eastAsia="zh-CN"/>
        </w:rPr>
        <w:t>8</w:t>
      </w:r>
      <w:r>
        <w:rPr>
          <w:rFonts w:ascii="宋体" w:hAnsi="宋体" w:eastAsia="宋体" w:cs="宋体"/>
          <w:spacing w:val="-5"/>
          <w:highlight w:val="none"/>
        </w:rPr>
        <w:t>部分</w:t>
      </w:r>
      <w:r>
        <w:rPr>
          <w:rFonts w:hint="eastAsia" w:ascii="宋体" w:hAnsi="宋体" w:eastAsia="宋体" w:cs="宋体"/>
          <w:spacing w:val="-5"/>
          <w:highlight w:val="none"/>
          <w:lang w:eastAsia="zh-CN"/>
        </w:rPr>
        <w:t>。</w:t>
      </w:r>
      <w:r>
        <w:rPr>
          <w:rFonts w:ascii="宋体" w:hAnsi="宋体" w:eastAsia="宋体" w:cs="宋体"/>
          <w:spacing w:val="-5"/>
        </w:rPr>
        <w:t>规定了电动中重型卡车共享换电站建设及换电车辆的相关技术规范</w:t>
      </w:r>
      <w:r>
        <w:rPr>
          <w:rFonts w:hint="eastAsia" w:ascii="宋体" w:hAnsi="宋体" w:eastAsia="宋体" w:cs="宋体"/>
          <w:spacing w:val="-5"/>
          <w:lang w:eastAsia="zh-CN"/>
        </w:rPr>
        <w:t>的</w:t>
      </w:r>
      <w:r>
        <w:rPr>
          <w:rFonts w:ascii="宋体" w:hAnsi="宋体" w:eastAsia="宋体" w:cs="宋体"/>
          <w:spacing w:val="-5"/>
        </w:rPr>
        <w:t>要求：</w:t>
      </w:r>
    </w:p>
    <w:p>
      <w:pPr>
        <w:spacing w:line="360" w:lineRule="auto"/>
        <w:ind w:left="36" w:right="24" w:firstLine="421"/>
        <w:rPr>
          <w:rFonts w:ascii="宋体" w:hAnsi="宋体" w:eastAsia="宋体" w:cs="宋体"/>
          <w:spacing w:val="-5"/>
        </w:rPr>
      </w:pPr>
      <w:r>
        <w:rPr>
          <w:rFonts w:ascii="宋体" w:hAnsi="宋体" w:eastAsia="宋体" w:cs="宋体"/>
          <w:spacing w:val="-5"/>
        </w:rPr>
        <w:t>——第</w:t>
      </w:r>
      <w:r>
        <w:rPr>
          <w:rFonts w:hint="eastAsia" w:ascii="宋体" w:hAnsi="宋体" w:eastAsia="宋体" w:cs="宋体"/>
          <w:spacing w:val="-5"/>
        </w:rPr>
        <w:t>一</w:t>
      </w:r>
      <w:r>
        <w:rPr>
          <w:rFonts w:ascii="宋体" w:hAnsi="宋体" w:eastAsia="宋体" w:cs="宋体"/>
          <w:spacing w:val="-5"/>
        </w:rPr>
        <w:t>部分：总则</w:t>
      </w:r>
      <w:r>
        <w:rPr>
          <w:rFonts w:hint="eastAsia" w:ascii="宋体" w:hAnsi="宋体" w:eastAsia="宋体" w:cs="宋体"/>
          <w:spacing w:val="-5"/>
        </w:rPr>
        <w:t>；</w:t>
      </w:r>
    </w:p>
    <w:p>
      <w:pPr>
        <w:spacing w:line="360" w:lineRule="auto"/>
        <w:ind w:left="36" w:right="24" w:firstLine="421"/>
        <w:rPr>
          <w:rFonts w:ascii="宋体" w:hAnsi="宋体" w:eastAsia="宋体" w:cs="宋体"/>
          <w:spacing w:val="-5"/>
        </w:rPr>
      </w:pPr>
      <w:r>
        <w:rPr>
          <w:rFonts w:ascii="宋体" w:hAnsi="宋体" w:eastAsia="宋体" w:cs="宋体"/>
          <w:spacing w:val="-5"/>
        </w:rPr>
        <w:t>——第二部分：换电车辆换电箱体与换电底托技术要求</w:t>
      </w:r>
      <w:r>
        <w:rPr>
          <w:rFonts w:hint="eastAsia" w:ascii="宋体" w:hAnsi="宋体" w:eastAsia="宋体" w:cs="宋体"/>
          <w:spacing w:val="-5"/>
        </w:rPr>
        <w:t>；</w:t>
      </w:r>
    </w:p>
    <w:p>
      <w:pPr>
        <w:spacing w:line="360" w:lineRule="auto"/>
        <w:ind w:left="36" w:right="24" w:firstLine="421"/>
        <w:rPr>
          <w:rFonts w:ascii="宋体" w:hAnsi="宋体" w:eastAsia="宋体" w:cs="宋体"/>
          <w:spacing w:val="-5"/>
        </w:rPr>
      </w:pPr>
      <w:r>
        <w:rPr>
          <w:rFonts w:ascii="宋体" w:hAnsi="宋体" w:eastAsia="宋体" w:cs="宋体"/>
          <w:spacing w:val="-5"/>
        </w:rPr>
        <w:t>——第三部分：换电车辆换电连接器技术要求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——第四部分：换电车辆换电控制器技术要求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五</w:t>
      </w:r>
      <w:r>
        <w:rPr>
          <w:rFonts w:ascii="宋体" w:hAnsi="宋体" w:eastAsia="宋体" w:cs="宋体"/>
          <w:spacing w:val="-5"/>
        </w:rPr>
        <w:t>部分：换电系统设备技术安全</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六</w:t>
      </w:r>
      <w:r>
        <w:rPr>
          <w:rFonts w:ascii="宋体" w:hAnsi="宋体" w:eastAsia="宋体" w:cs="宋体"/>
          <w:spacing w:val="-5"/>
        </w:rPr>
        <w:t>部分：换电系统通讯协议技术要求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七</w:t>
      </w:r>
      <w:r>
        <w:rPr>
          <w:rFonts w:ascii="宋体" w:hAnsi="宋体" w:eastAsia="宋体" w:cs="宋体"/>
          <w:spacing w:val="-5"/>
        </w:rPr>
        <w:t>部分：数据安全管理，风险预警分析技术要求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lang w:eastAsia="zh-CN"/>
        </w:rPr>
      </w:pPr>
      <w:r>
        <w:rPr>
          <w:rFonts w:ascii="宋体" w:hAnsi="宋体" w:eastAsia="宋体" w:cs="宋体"/>
          <w:spacing w:val="-5"/>
        </w:rPr>
        <w:t>——第</w:t>
      </w:r>
      <w:r>
        <w:rPr>
          <w:rFonts w:hint="eastAsia" w:ascii="宋体" w:hAnsi="宋体" w:eastAsia="宋体" w:cs="宋体"/>
          <w:spacing w:val="-5"/>
          <w:lang w:eastAsia="zh-CN"/>
        </w:rPr>
        <w:t>八</w:t>
      </w:r>
      <w:r>
        <w:rPr>
          <w:rFonts w:ascii="宋体" w:hAnsi="宋体" w:eastAsia="宋体" w:cs="宋体"/>
          <w:spacing w:val="-5"/>
        </w:rPr>
        <w:t>部分：换电站的规划布局及安装防护要求</w:t>
      </w:r>
      <w:r>
        <w:rPr>
          <w:rFonts w:hint="eastAsia" w:ascii="宋体" w:hAnsi="宋体" w:eastAsia="宋体" w:cs="宋体"/>
          <w:spacing w:val="-5"/>
          <w:lang w:eastAsia="zh-CN"/>
        </w:rPr>
        <w:t>。</w:t>
      </w:r>
    </w:p>
    <w:p>
      <w:pPr>
        <w:spacing w:line="360" w:lineRule="auto"/>
        <w:ind w:left="36" w:right="24" w:firstLine="421"/>
        <w:rPr>
          <w:rFonts w:ascii="宋体" w:hAnsi="宋体" w:eastAsia="宋体" w:cs="宋体"/>
          <w:spacing w:val="-5"/>
          <w:highlight w:val="none"/>
        </w:rPr>
      </w:pPr>
      <w:r>
        <w:rPr>
          <w:rFonts w:ascii="宋体" w:hAnsi="宋体" w:eastAsia="宋体" w:cs="宋体"/>
          <w:spacing w:val="-5"/>
          <w:highlight w:val="none"/>
        </w:rPr>
        <w:t>本文件按照GB/T 1.1 ―2020 《标准化工作导则第1 部分： 标准化文件的结构和起草规则》给出的规则起草。</w:t>
      </w:r>
    </w:p>
    <w:p>
      <w:pPr>
        <w:spacing w:line="360" w:lineRule="auto"/>
        <w:ind w:left="36" w:right="24" w:firstLine="421"/>
        <w:rPr>
          <w:rFonts w:ascii="宋体" w:hAnsi="宋体" w:eastAsia="宋体" w:cs="宋体"/>
          <w:spacing w:val="-5"/>
          <w:highlight w:val="none"/>
        </w:rPr>
      </w:pPr>
      <w:r>
        <w:rPr>
          <w:rFonts w:ascii="宋体" w:hAnsi="宋体" w:eastAsia="宋体" w:cs="宋体"/>
          <w:spacing w:val="-5"/>
          <w:highlight w:val="none"/>
        </w:rPr>
        <w:t>本文件由</w:t>
      </w:r>
      <w:r>
        <w:rPr>
          <w:rFonts w:hint="eastAsia" w:ascii="宋体" w:hAnsi="宋体" w:eastAsia="宋体" w:cs="宋体"/>
          <w:color w:val="auto"/>
          <w:spacing w:val="-5"/>
          <w:highlight w:val="none"/>
        </w:rPr>
        <w:t>北奔重</w:t>
      </w:r>
      <w:r>
        <w:rPr>
          <w:rFonts w:hint="eastAsia" w:ascii="宋体" w:hAnsi="宋体" w:eastAsia="宋体" w:cs="宋体"/>
          <w:color w:val="auto"/>
          <w:spacing w:val="-5"/>
          <w:highlight w:val="none"/>
          <w:lang w:eastAsia="zh-CN"/>
        </w:rPr>
        <w:t>型汽车集团有限公司</w:t>
      </w:r>
      <w:r>
        <w:rPr>
          <w:rFonts w:ascii="宋体" w:hAnsi="宋体" w:eastAsia="宋体" w:cs="宋体"/>
          <w:spacing w:val="-5"/>
          <w:highlight w:val="none"/>
        </w:rPr>
        <w:t>提出</w:t>
      </w:r>
      <w:r>
        <w:rPr>
          <w:rFonts w:hint="eastAsia" w:ascii="宋体" w:hAnsi="宋体" w:eastAsia="宋体" w:cs="宋体"/>
          <w:spacing w:val="-5"/>
          <w:highlight w:val="none"/>
        </w:rPr>
        <w:t>,包头市市场监督管理局</w:t>
      </w:r>
      <w:r>
        <w:rPr>
          <w:rFonts w:ascii="宋体" w:hAnsi="宋体" w:eastAsia="宋体" w:cs="宋体"/>
          <w:spacing w:val="-5"/>
          <w:highlight w:val="none"/>
        </w:rPr>
        <w:t>归口</w:t>
      </w:r>
      <w:r>
        <w:rPr>
          <w:rFonts w:hint="eastAsia" w:ascii="宋体" w:hAnsi="宋体" w:eastAsia="宋体" w:cs="宋体"/>
          <w:spacing w:val="-5"/>
          <w:highlight w:val="none"/>
        </w:rPr>
        <w:t>管理</w:t>
      </w:r>
      <w:r>
        <w:rPr>
          <w:rFonts w:ascii="宋体" w:hAnsi="宋体" w:eastAsia="宋体" w:cs="宋体"/>
          <w:spacing w:val="-5"/>
          <w:highlight w:val="none"/>
        </w:rPr>
        <w:t>。</w:t>
      </w:r>
    </w:p>
    <w:p>
      <w:pPr>
        <w:spacing w:line="360" w:lineRule="auto"/>
        <w:ind w:left="36" w:right="24" w:firstLine="421"/>
        <w:rPr>
          <w:rFonts w:hint="default" w:ascii="宋体" w:hAnsi="宋体" w:eastAsia="宋体" w:cs="宋体"/>
          <w:spacing w:val="-5"/>
          <w:highlight w:val="none"/>
          <w:lang w:val="en-US" w:eastAsia="zh-CN"/>
        </w:rPr>
      </w:pPr>
      <w:r>
        <w:rPr>
          <w:rFonts w:ascii="宋体" w:hAnsi="宋体" w:eastAsia="宋体" w:cs="宋体"/>
          <w:spacing w:val="-5"/>
          <w:highlight w:val="none"/>
        </w:rPr>
        <w:t>本文件起草单位：</w:t>
      </w:r>
    </w:p>
    <w:p>
      <w:pPr>
        <w:spacing w:line="360" w:lineRule="auto"/>
        <w:ind w:left="36" w:right="24" w:firstLine="421"/>
        <w:rPr>
          <w:rFonts w:ascii="宋体" w:hAnsi="宋体" w:eastAsia="宋体" w:cs="宋体"/>
          <w:spacing w:val="-5"/>
          <w:highlight w:val="yellow"/>
        </w:rPr>
      </w:pPr>
      <w:r>
        <w:rPr>
          <w:rFonts w:ascii="宋体" w:hAnsi="宋体" w:eastAsia="宋体" w:cs="宋体"/>
          <w:spacing w:val="-5"/>
          <w:highlight w:val="yellow"/>
        </w:rPr>
        <w:t>本文件主要起草人：</w:t>
      </w:r>
    </w:p>
    <w:p>
      <w:pPr>
        <w:spacing w:line="360" w:lineRule="auto"/>
        <w:ind w:left="36" w:right="24" w:firstLine="421"/>
        <w:rPr>
          <w:rFonts w:ascii="宋体" w:hAnsi="宋体" w:eastAsia="宋体" w:cs="宋体"/>
          <w:spacing w:val="-5"/>
        </w:rPr>
        <w:sectPr>
          <w:footerReference r:id="rId3" w:type="default"/>
          <w:pgSz w:w="11907" w:h="16839"/>
          <w:pgMar w:top="1431" w:right="1103" w:bottom="1291" w:left="1390" w:header="0" w:footer="1175" w:gutter="0"/>
          <w:pgNumType w:fmt="decimal"/>
          <w:cols w:space="720" w:num="1"/>
        </w:sectPr>
      </w:pPr>
      <w:r>
        <w:rPr>
          <w:rFonts w:ascii="宋体" w:hAnsi="宋体" w:eastAsia="宋体" w:cs="宋体"/>
          <w:spacing w:val="-5"/>
          <w:highlight w:val="yellow"/>
        </w:rPr>
        <w:t>本文件为首次发布。</w:t>
      </w:r>
    </w:p>
    <w:p>
      <w:pPr>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ind w:firstLine="480"/>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pPr>
    </w:p>
    <w:p>
      <w:pPr>
        <w:rPr>
          <w:vanish/>
          <w:sz w:val="21"/>
        </w:rPr>
        <w:sectPr>
          <w:headerReference r:id="rId4" w:type="default"/>
          <w:footerReference r:id="rId5" w:type="default"/>
          <w:pgSz w:w="11906" w:h="16838"/>
          <w:pgMar w:top="567" w:right="1134" w:bottom="1134" w:left="1418" w:header="851" w:footer="992" w:gutter="0"/>
          <w:pgNumType w:fmt="upperRoman" w:start="1"/>
          <w:cols w:space="425" w:num="1"/>
          <w:titlePg/>
          <w:docGrid w:type="lines" w:linePitch="326" w:charSpace="0"/>
        </w:sectPr>
      </w:pPr>
    </w:p>
    <w:p>
      <w:pPr>
        <w:pStyle w:val="11"/>
        <w:rPr>
          <w:rFonts w:hint="eastAsia" w:ascii="黑体" w:hAnsi="黑体" w:eastAsia="黑体"/>
          <w:b w:val="0"/>
        </w:rPr>
      </w:pPr>
    </w:p>
    <w:p>
      <w:pPr>
        <w:pStyle w:val="11"/>
        <w:rPr>
          <w:rFonts w:ascii="黑体" w:hAnsi="黑体" w:eastAsia="黑体"/>
          <w:b w:val="0"/>
        </w:rPr>
      </w:pPr>
      <w:r>
        <w:rPr>
          <w:rFonts w:hint="eastAsia" w:ascii="黑体" w:hAnsi="黑体" w:eastAsia="黑体"/>
          <w:b w:val="0"/>
        </w:rPr>
        <w:t>电动中重卡共享换电站建设及换电车辆技术规范</w:t>
      </w:r>
    </w:p>
    <w:p>
      <w:pPr>
        <w:pStyle w:val="11"/>
        <w:rPr>
          <w:rFonts w:ascii="黑体" w:hAnsi="黑体" w:eastAsia="黑体"/>
          <w:b w:val="0"/>
        </w:rPr>
      </w:pPr>
      <w:r>
        <w:rPr>
          <w:rFonts w:hint="eastAsia" w:ascii="黑体" w:hAnsi="黑体" w:eastAsia="黑体"/>
          <w:b w:val="0"/>
          <w:lang w:eastAsia="zh-CN"/>
        </w:rPr>
        <w:t>第五部分</w:t>
      </w:r>
      <w:r>
        <w:rPr>
          <w:rFonts w:hint="eastAsia" w:ascii="黑体" w:hAnsi="黑体" w:eastAsia="黑体"/>
          <w:b w:val="0"/>
        </w:rPr>
        <w:t>：换电系统设备技术要求</w:t>
      </w:r>
    </w:p>
    <w:p>
      <w:pPr>
        <w:pStyle w:val="29"/>
        <w:spacing w:before="326" w:after="326"/>
        <w:rPr>
          <w:rStyle w:val="16"/>
          <w:color w:val="auto"/>
          <w:u w:val="none"/>
        </w:rPr>
      </w:pPr>
      <w:bookmarkStart w:id="2" w:name="_Toc2675405"/>
      <w:bookmarkStart w:id="3" w:name="_Toc1484809"/>
      <w:bookmarkStart w:id="4" w:name="_Toc1910588"/>
      <w:bookmarkStart w:id="5" w:name="_Toc101795875"/>
      <w:bookmarkStart w:id="6" w:name="_Toc20252"/>
      <w:bookmarkStart w:id="7" w:name="_Toc2615015"/>
      <w:bookmarkStart w:id="8" w:name="_Toc1910462"/>
      <w:bookmarkStart w:id="9" w:name="_Toc2613713"/>
      <w:r>
        <w:rPr>
          <w:rStyle w:val="16"/>
          <w:rFonts w:hint="eastAsia"/>
          <w:color w:val="auto"/>
          <w:u w:val="none"/>
        </w:rPr>
        <w:t>范围</w:t>
      </w:r>
      <w:bookmarkEnd w:id="2"/>
      <w:bookmarkEnd w:id="3"/>
      <w:bookmarkEnd w:id="4"/>
      <w:bookmarkEnd w:id="5"/>
      <w:bookmarkEnd w:id="6"/>
      <w:bookmarkEnd w:id="7"/>
      <w:bookmarkEnd w:id="8"/>
      <w:bookmarkEnd w:id="9"/>
    </w:p>
    <w:p>
      <w:pPr>
        <w:ind w:firstLine="420"/>
      </w:pPr>
      <w:r>
        <w:rPr>
          <w:rFonts w:hint="eastAsia"/>
        </w:rPr>
        <w:t>本标准规定了电动中重卡换电站换电系统设备的基本构成、环境要求、性能要求、安全性能、环境适应性能和试验方法等。</w:t>
      </w:r>
    </w:p>
    <w:p>
      <w:pPr>
        <w:ind w:firstLine="420"/>
      </w:pPr>
      <w:r>
        <w:rPr>
          <w:rFonts w:hint="eastAsia"/>
        </w:rPr>
        <w:t>本标准适用于</w:t>
      </w:r>
      <w:r>
        <w:rPr>
          <w:rFonts w:hint="eastAsia"/>
          <w:kern w:val="0"/>
        </w:rPr>
        <w:t>电动中重型卡车吊装式换电站</w:t>
      </w:r>
      <w:r>
        <w:rPr>
          <w:rFonts w:hint="eastAsia"/>
        </w:rPr>
        <w:t>。</w:t>
      </w:r>
    </w:p>
    <w:p>
      <w:pPr>
        <w:pStyle w:val="29"/>
        <w:spacing w:before="326" w:after="326"/>
      </w:pPr>
      <w:bookmarkStart w:id="10" w:name="_Toc1484810"/>
      <w:bookmarkStart w:id="11" w:name="_Toc101795876"/>
      <w:bookmarkStart w:id="12" w:name="_Toc1910463"/>
      <w:bookmarkStart w:id="13" w:name="_Toc14112"/>
      <w:bookmarkStart w:id="14" w:name="_Toc2675406"/>
      <w:bookmarkStart w:id="15" w:name="_Toc2613714"/>
      <w:bookmarkStart w:id="16" w:name="_Toc1910589"/>
      <w:bookmarkStart w:id="17" w:name="_Toc2615016"/>
      <w:r>
        <w:rPr>
          <w:rFonts w:hint="eastAsia"/>
        </w:rPr>
        <w:t>规范性引用文件</w:t>
      </w:r>
      <w:bookmarkEnd w:id="10"/>
      <w:bookmarkEnd w:id="11"/>
      <w:bookmarkEnd w:id="12"/>
      <w:bookmarkEnd w:id="13"/>
      <w:bookmarkEnd w:id="14"/>
      <w:bookmarkEnd w:id="15"/>
      <w:bookmarkEnd w:id="16"/>
      <w:bookmarkEnd w:id="17"/>
    </w:p>
    <w:p>
      <w:pPr>
        <w:pStyle w:val="25"/>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
      </w:pPr>
      <w:r>
        <w:rPr>
          <w:rFonts w:hint="eastAsia"/>
        </w:rPr>
        <w:t>GB/T</w:t>
      </w:r>
      <w:r>
        <w:t xml:space="preserve"> </w:t>
      </w:r>
      <w:r>
        <w:rPr>
          <w:rFonts w:hint="eastAsia"/>
        </w:rPr>
        <w:t>1733漆膜耐水性测定法</w:t>
      </w:r>
    </w:p>
    <w:p>
      <w:pPr>
        <w:pStyle w:val="25"/>
      </w:pPr>
      <w:r>
        <w:rPr>
          <w:rFonts w:hint="eastAsia"/>
        </w:rPr>
        <w:t>GB/T</w:t>
      </w:r>
      <w:r>
        <w:t xml:space="preserve"> </w:t>
      </w:r>
      <w:r>
        <w:rPr>
          <w:rFonts w:hint="eastAsia"/>
        </w:rPr>
        <w:t>1766色漆和清漆涂层老化的评级方法</w:t>
      </w:r>
    </w:p>
    <w:p>
      <w:pPr>
        <w:pStyle w:val="25"/>
      </w:pPr>
      <w:r>
        <w:rPr>
          <w:rFonts w:hint="eastAsia"/>
        </w:rPr>
        <w:t>GB/T</w:t>
      </w:r>
      <w:r>
        <w:t xml:space="preserve"> </w:t>
      </w:r>
      <w:r>
        <w:rPr>
          <w:rFonts w:hint="eastAsia"/>
        </w:rPr>
        <w:t>10125人造气氛腐蚀试验盐雾试验</w:t>
      </w:r>
    </w:p>
    <w:p>
      <w:pPr>
        <w:pStyle w:val="25"/>
      </w:pPr>
      <w:r>
        <w:rPr>
          <w:rFonts w:hint="eastAsia"/>
        </w:rPr>
        <w:t>GB/T 2423.1电工电子产品环境试验第2部分：试验方法试验A：低温</w:t>
      </w:r>
    </w:p>
    <w:p>
      <w:pPr>
        <w:pStyle w:val="25"/>
      </w:pPr>
      <w:r>
        <w:rPr>
          <w:rFonts w:hint="eastAsia"/>
        </w:rPr>
        <w:t>GB/T 2423.2电工电子产品环境试验第2部分：试验方法试验B：高温</w:t>
      </w:r>
    </w:p>
    <w:p>
      <w:pPr>
        <w:pStyle w:val="25"/>
      </w:pPr>
      <w:r>
        <w:rPr>
          <w:rFonts w:hint="eastAsia"/>
        </w:rPr>
        <w:t>GB/T</w:t>
      </w:r>
      <w:r>
        <w:t xml:space="preserve"> </w:t>
      </w:r>
      <w:r>
        <w:rPr>
          <w:rFonts w:hint="eastAsia"/>
        </w:rPr>
        <w:t>2423.3电工电子产品环境试验第2部分：试验方法试验Cab:恒定湿热试验</w:t>
      </w:r>
    </w:p>
    <w:p>
      <w:pPr>
        <w:pStyle w:val="25"/>
      </w:pPr>
      <w:r>
        <w:rPr>
          <w:rFonts w:hint="eastAsia"/>
        </w:rPr>
        <w:t>GB/T</w:t>
      </w:r>
      <w:r>
        <w:t xml:space="preserve"> </w:t>
      </w:r>
      <w:r>
        <w:rPr>
          <w:rFonts w:hint="eastAsia"/>
        </w:rPr>
        <w:t>2423.22电工电子产品环境试验第2部分：试验方法试验N:温度变化</w:t>
      </w:r>
    </w:p>
    <w:p>
      <w:pPr>
        <w:pStyle w:val="25"/>
      </w:pPr>
      <w:r>
        <w:rPr>
          <w:rFonts w:hint="eastAsia"/>
        </w:rPr>
        <w:t>GB/T</w:t>
      </w:r>
      <w:r>
        <w:t xml:space="preserve"> </w:t>
      </w:r>
      <w:r>
        <w:rPr>
          <w:rFonts w:hint="eastAsia"/>
        </w:rPr>
        <w:t>4208外壳防护等级（IP代码）</w:t>
      </w:r>
    </w:p>
    <w:p>
      <w:pPr>
        <w:pStyle w:val="25"/>
      </w:pPr>
      <w:r>
        <w:rPr>
          <w:rFonts w:hint="eastAsia"/>
        </w:rPr>
        <w:t>GB</w:t>
      </w:r>
      <w:r>
        <w:t xml:space="preserve"> </w:t>
      </w:r>
      <w:r>
        <w:rPr>
          <w:rFonts w:hint="eastAsia"/>
        </w:rPr>
        <w:t>4793测量、控制和实验室用电气设备的安全要求</w:t>
      </w:r>
    </w:p>
    <w:p>
      <w:pPr>
        <w:pStyle w:val="25"/>
      </w:pPr>
      <w:r>
        <w:rPr>
          <w:rFonts w:hint="eastAsia"/>
        </w:rPr>
        <w:t>GB</w:t>
      </w:r>
      <w:r>
        <w:t xml:space="preserve"> </w:t>
      </w:r>
      <w:r>
        <w:rPr>
          <w:rFonts w:hint="eastAsia"/>
        </w:rPr>
        <w:t>5226.1-2008机械电气安全机械电气设备第1部分：通用技术条件</w:t>
      </w:r>
    </w:p>
    <w:p>
      <w:pPr>
        <w:pStyle w:val="25"/>
      </w:pPr>
      <w:r>
        <w:rPr>
          <w:rFonts w:hint="eastAsia"/>
        </w:rPr>
        <w:t>GB/T</w:t>
      </w:r>
      <w:r>
        <w:t xml:space="preserve"> </w:t>
      </w:r>
      <w:r>
        <w:rPr>
          <w:rFonts w:hint="eastAsia"/>
        </w:rPr>
        <w:t>5290电火花成型机床参数</w:t>
      </w:r>
    </w:p>
    <w:p>
      <w:pPr>
        <w:pStyle w:val="25"/>
      </w:pPr>
      <w:r>
        <w:rPr>
          <w:rFonts w:hint="eastAsia"/>
        </w:rPr>
        <w:t>GB/T</w:t>
      </w:r>
      <w:r>
        <w:t xml:space="preserve"> </w:t>
      </w:r>
      <w:r>
        <w:rPr>
          <w:rFonts w:hint="eastAsia"/>
        </w:rPr>
        <w:t>7251.1-201</w:t>
      </w:r>
      <w:r>
        <w:t>3</w:t>
      </w:r>
      <w:r>
        <w:rPr>
          <w:rFonts w:hint="eastAsia"/>
        </w:rPr>
        <w:t>低压成套开关设备和控制设备第1部分总则</w:t>
      </w:r>
    </w:p>
    <w:p>
      <w:pPr>
        <w:pStyle w:val="25"/>
      </w:pPr>
      <w:r>
        <w:rPr>
          <w:rFonts w:hint="eastAsia"/>
        </w:rPr>
        <w:t>GB/T</w:t>
      </w:r>
      <w:r>
        <w:t xml:space="preserve"> </w:t>
      </w:r>
      <w:r>
        <w:rPr>
          <w:rFonts w:hint="eastAsia"/>
        </w:rPr>
        <w:t>8554电子和通信设备用变压器和电感器测量方法及试验程序</w:t>
      </w:r>
    </w:p>
    <w:p>
      <w:pPr>
        <w:pStyle w:val="25"/>
      </w:pPr>
      <w:r>
        <w:rPr>
          <w:rFonts w:hint="eastAsia"/>
        </w:rPr>
        <w:t>GB 8624建筑材料及制品燃烧性能分级</w:t>
      </w:r>
    </w:p>
    <w:p>
      <w:pPr>
        <w:pStyle w:val="25"/>
      </w:pPr>
      <w:r>
        <w:rPr>
          <w:rFonts w:hint="eastAsia"/>
        </w:rPr>
        <w:t>GB</w:t>
      </w:r>
      <w:r>
        <w:t xml:space="preserve"> </w:t>
      </w:r>
      <w:r>
        <w:rPr>
          <w:rFonts w:hint="eastAsia"/>
        </w:rPr>
        <w:t>8702电磁环境控制限值</w:t>
      </w:r>
    </w:p>
    <w:p>
      <w:pPr>
        <w:pStyle w:val="25"/>
      </w:pPr>
      <w:r>
        <w:rPr>
          <w:rFonts w:hint="eastAsia"/>
        </w:rPr>
        <w:t>GB/T</w:t>
      </w:r>
      <w:r>
        <w:t xml:space="preserve"> </w:t>
      </w:r>
      <w:r>
        <w:rPr>
          <w:rFonts w:hint="eastAsia"/>
        </w:rPr>
        <w:t>9254-2008信息技术设备的无线电骚扰限制和测量方法</w:t>
      </w:r>
    </w:p>
    <w:p>
      <w:pPr>
        <w:pStyle w:val="25"/>
      </w:pPr>
      <w:r>
        <w:rPr>
          <w:rFonts w:hint="eastAsia"/>
        </w:rPr>
        <w:t>GB/T 15211安全防范报警设备环境适应性要求和试验方法</w:t>
      </w:r>
    </w:p>
    <w:p>
      <w:pPr>
        <w:pStyle w:val="25"/>
      </w:pPr>
      <w:r>
        <w:rPr>
          <w:rFonts w:hint="eastAsia"/>
        </w:rPr>
        <w:t>GB/T</w:t>
      </w:r>
      <w:r>
        <w:t xml:space="preserve"> </w:t>
      </w:r>
      <w:r>
        <w:rPr>
          <w:rFonts w:hint="eastAsia"/>
        </w:rPr>
        <w:t>15290电子设备用电源变压器和滤波扼流圈总技术条件</w:t>
      </w:r>
    </w:p>
    <w:p>
      <w:pPr>
        <w:pStyle w:val="25"/>
      </w:pPr>
      <w:r>
        <w:rPr>
          <w:rFonts w:hint="eastAsia"/>
        </w:rPr>
        <w:t>GB 16735-2019道路车辆车辆识别代号（VIN）</w:t>
      </w:r>
    </w:p>
    <w:p>
      <w:pPr>
        <w:pStyle w:val="25"/>
      </w:pPr>
      <w:r>
        <w:rPr>
          <w:rFonts w:hint="eastAsia"/>
        </w:rPr>
        <w:t>GB</w:t>
      </w:r>
      <w:r>
        <w:t xml:space="preserve"> </w:t>
      </w:r>
      <w:r>
        <w:rPr>
          <w:rFonts w:hint="eastAsia"/>
        </w:rPr>
        <w:t>16796安全防范报警设备安全要求和试验方法</w:t>
      </w:r>
    </w:p>
    <w:p>
      <w:pPr>
        <w:pStyle w:val="25"/>
      </w:pPr>
      <w:r>
        <w:rPr>
          <w:rFonts w:hint="eastAsia"/>
        </w:rPr>
        <w:t>GB/T</w:t>
      </w:r>
      <w:r>
        <w:t xml:space="preserve"> </w:t>
      </w:r>
      <w:r>
        <w:rPr>
          <w:rFonts w:hint="eastAsia"/>
        </w:rPr>
        <w:t>16935.1低压系统内设备的绝缘配合第1部分：原理、要求和试验</w:t>
      </w:r>
    </w:p>
    <w:p>
      <w:pPr>
        <w:pStyle w:val="25"/>
      </w:pPr>
      <w:r>
        <w:rPr>
          <w:rFonts w:hint="eastAsia"/>
        </w:rPr>
        <w:t>GB/T</w:t>
      </w:r>
      <w:r>
        <w:t xml:space="preserve"> </w:t>
      </w:r>
      <w:r>
        <w:rPr>
          <w:rFonts w:hint="eastAsia"/>
        </w:rPr>
        <w:t>17626(所有部分）电磁兼容试验和测量技术</w:t>
      </w:r>
    </w:p>
    <w:p>
      <w:pPr>
        <w:pStyle w:val="25"/>
      </w:pPr>
      <w:r>
        <w:rPr>
          <w:rFonts w:hint="eastAsia"/>
        </w:rPr>
        <w:t>GB/T 17626.2电磁兼容试验和测量技术静电放电抗扰度试验</w:t>
      </w:r>
    </w:p>
    <w:p>
      <w:pPr>
        <w:pStyle w:val="25"/>
      </w:pPr>
      <w:r>
        <w:rPr>
          <w:rFonts w:hint="eastAsia"/>
        </w:rPr>
        <w:t>GB/T 17626.3电磁兼容试验和测量技术射频电磁场辐射抗扰度试验</w:t>
      </w:r>
    </w:p>
    <w:p>
      <w:pPr>
        <w:pStyle w:val="25"/>
      </w:pPr>
      <w:r>
        <w:rPr>
          <w:rFonts w:hint="eastAsia"/>
        </w:rPr>
        <w:t>GB/T</w:t>
      </w:r>
      <w:r>
        <w:t xml:space="preserve"> </w:t>
      </w:r>
      <w:r>
        <w:rPr>
          <w:rFonts w:hint="eastAsia"/>
        </w:rPr>
        <w:t>18487.1-2015电动汽车传导充电系统第1部分通用要求</w:t>
      </w:r>
    </w:p>
    <w:p>
      <w:pPr>
        <w:pStyle w:val="25"/>
      </w:pPr>
      <w:r>
        <w:rPr>
          <w:rFonts w:hint="eastAsia"/>
        </w:rPr>
        <w:t>GB/T</w:t>
      </w:r>
      <w:r>
        <w:t xml:space="preserve"> </w:t>
      </w:r>
      <w:r>
        <w:rPr>
          <w:rFonts w:hint="eastAsia"/>
        </w:rPr>
        <w:t>19666阻燃和耐火电线电缆通则</w:t>
      </w:r>
    </w:p>
    <w:p>
      <w:pPr>
        <w:pStyle w:val="25"/>
      </w:pPr>
      <w:r>
        <w:rPr>
          <w:rFonts w:hint="eastAsia"/>
        </w:rPr>
        <w:t>GB 20815视频安防监控数字录像设备</w:t>
      </w:r>
    </w:p>
    <w:p>
      <w:pPr>
        <w:pStyle w:val="25"/>
      </w:pPr>
      <w:r>
        <w:rPr>
          <w:rFonts w:hint="eastAsia"/>
        </w:rPr>
        <w:t>GB/T</w:t>
      </w:r>
      <w:r>
        <w:t xml:space="preserve"> </w:t>
      </w:r>
      <w:r>
        <w:rPr>
          <w:rFonts w:hint="eastAsia"/>
        </w:rPr>
        <w:t>28569电动汽车交流充电粧电能计量</w:t>
      </w:r>
    </w:p>
    <w:p>
      <w:pPr>
        <w:pStyle w:val="25"/>
      </w:pPr>
      <w:r>
        <w:rPr>
          <w:rFonts w:hint="eastAsia"/>
        </w:rPr>
        <w:t>GB/T 28649机动车号牌自动识别系统</w:t>
      </w:r>
    </w:p>
    <w:p>
      <w:pPr>
        <w:pStyle w:val="25"/>
      </w:pPr>
      <w:r>
        <w:rPr>
          <w:rFonts w:hint="eastAsia"/>
        </w:rPr>
        <w:t>GB/T</w:t>
      </w:r>
      <w:r>
        <w:t xml:space="preserve"> </w:t>
      </w:r>
      <w:r>
        <w:rPr>
          <w:rFonts w:hint="eastAsia"/>
        </w:rPr>
        <w:t>32879电动汽车更换用电池箱连接器通用技术要求</w:t>
      </w:r>
    </w:p>
    <w:p>
      <w:pPr>
        <w:pStyle w:val="25"/>
      </w:pPr>
      <w:r>
        <w:rPr>
          <w:rFonts w:hint="eastAsia"/>
        </w:rPr>
        <w:t>GB/T</w:t>
      </w:r>
      <w:r>
        <w:t xml:space="preserve"> </w:t>
      </w:r>
      <w:r>
        <w:rPr>
          <w:rFonts w:hint="eastAsia"/>
        </w:rPr>
        <w:t>34657.1电动汽车传导充电互操作性测试规范第1部分：供电设备</w:t>
      </w:r>
    </w:p>
    <w:p>
      <w:pPr>
        <w:pStyle w:val="25"/>
      </w:pPr>
      <w:r>
        <w:rPr>
          <w:rFonts w:hint="eastAsia"/>
        </w:rPr>
        <w:t>GB</w:t>
      </w:r>
      <w:r>
        <w:t xml:space="preserve"> </w:t>
      </w:r>
      <w:r>
        <w:rPr>
          <w:rFonts w:hint="eastAsia"/>
        </w:rPr>
        <w:t>50016建筑设计防火规范</w:t>
      </w:r>
    </w:p>
    <w:p>
      <w:pPr>
        <w:pStyle w:val="25"/>
      </w:pPr>
      <w:r>
        <w:rPr>
          <w:rFonts w:hint="eastAsia"/>
        </w:rPr>
        <w:t>GB/T</w:t>
      </w:r>
      <w:r>
        <w:t xml:space="preserve"> </w:t>
      </w:r>
      <w:r>
        <w:rPr>
          <w:rFonts w:hint="eastAsia"/>
        </w:rPr>
        <w:t>50065-2011交流电气装置的接地设计规范</w:t>
      </w:r>
    </w:p>
    <w:p>
      <w:pPr>
        <w:pStyle w:val="25"/>
      </w:pPr>
      <w:r>
        <w:rPr>
          <w:rFonts w:hint="eastAsia"/>
        </w:rPr>
        <w:t>GB</w:t>
      </w:r>
      <w:r>
        <w:t xml:space="preserve"> </w:t>
      </w:r>
      <w:r>
        <w:rPr>
          <w:rFonts w:hint="eastAsia"/>
        </w:rPr>
        <w:t>50217-2017电力工程电缆设计标准</w:t>
      </w:r>
    </w:p>
    <w:p>
      <w:pPr>
        <w:pStyle w:val="25"/>
      </w:pPr>
      <w:r>
        <w:rPr>
          <w:rFonts w:hint="eastAsia"/>
        </w:rPr>
        <w:t>GB</w:t>
      </w:r>
      <w:r>
        <w:t xml:space="preserve"> </w:t>
      </w:r>
      <w:r>
        <w:rPr>
          <w:rFonts w:hint="eastAsia"/>
        </w:rPr>
        <w:t>50229火力发电厂与变电站设计防火标准</w:t>
      </w:r>
    </w:p>
    <w:p>
      <w:pPr>
        <w:pStyle w:val="25"/>
      </w:pPr>
      <w:r>
        <w:rPr>
          <w:rFonts w:hint="eastAsia"/>
        </w:rPr>
        <w:t>JT/T 604汽车号牌视频自动识别系统</w:t>
      </w:r>
    </w:p>
    <w:p>
      <w:pPr>
        <w:pStyle w:val="25"/>
      </w:pPr>
      <w:r>
        <w:rPr>
          <w:rFonts w:hint="eastAsia"/>
        </w:rPr>
        <w:t>ISO/IEC15444-1:2000信息技术JPEG 2000图像编码系统</w:t>
      </w:r>
    </w:p>
    <w:p>
      <w:pPr>
        <w:pStyle w:val="25"/>
      </w:pPr>
      <w:r>
        <w:rPr>
          <w:rFonts w:hint="eastAsia"/>
        </w:rPr>
        <w:t>JB</w:t>
      </w:r>
      <w:r>
        <w:t xml:space="preserve"> </w:t>
      </w:r>
      <w:r>
        <w:rPr>
          <w:rFonts w:hint="eastAsia"/>
        </w:rPr>
        <w:t>7233包装机械安全要求</w:t>
      </w:r>
    </w:p>
    <w:p>
      <w:pPr>
        <w:pStyle w:val="25"/>
      </w:pPr>
      <w:r>
        <w:rPr>
          <w:rFonts w:hint="eastAsia"/>
        </w:rPr>
        <w:t>NB/T</w:t>
      </w:r>
      <w:r>
        <w:t xml:space="preserve"> </w:t>
      </w:r>
      <w:r>
        <w:rPr>
          <w:rFonts w:hint="eastAsia"/>
        </w:rPr>
        <w:t>33008.1电动汽车充电设备检验试验规范第1部分非车载充电机</w:t>
      </w:r>
    </w:p>
    <w:p>
      <w:pPr>
        <w:pStyle w:val="25"/>
      </w:pPr>
    </w:p>
    <w:p>
      <w:pPr>
        <w:pStyle w:val="29"/>
        <w:spacing w:before="326" w:after="326"/>
      </w:pPr>
      <w:bookmarkStart w:id="18" w:name="_Toc101795877"/>
      <w:r>
        <w:rPr>
          <w:rFonts w:hint="eastAsia"/>
        </w:rPr>
        <w:t>术语和定义</w:t>
      </w:r>
      <w:bookmarkEnd w:id="18"/>
    </w:p>
    <w:p>
      <w:pPr>
        <w:pStyle w:val="30"/>
        <w:spacing w:before="163" w:after="163"/>
        <w:ind w:left="0"/>
      </w:pPr>
      <w:r>
        <w:rPr>
          <w:rFonts w:hint="eastAsia"/>
        </w:rPr>
        <w:t xml:space="preserve">停车平台 </w:t>
      </w:r>
      <w:r>
        <w:t>parking platform</w:t>
      </w:r>
    </w:p>
    <w:p>
      <w:pPr>
        <w:pStyle w:val="25"/>
      </w:pPr>
      <w:r>
        <w:rPr>
          <w:rFonts w:hint="eastAsia"/>
        </w:rPr>
        <w:t>换电车辆进行电池箱更换时，用于停放车辆的区域，包括引导与辅助停泊设施。</w:t>
      </w:r>
    </w:p>
    <w:p>
      <w:pPr>
        <w:pStyle w:val="30"/>
        <w:spacing w:before="163" w:after="163"/>
        <w:ind w:left="0"/>
      </w:pPr>
      <w:r>
        <w:rPr>
          <w:rFonts w:hint="eastAsia"/>
        </w:rPr>
        <w:t xml:space="preserve">泊车位 </w:t>
      </w:r>
      <w:r>
        <w:t>parking space</w:t>
      </w:r>
    </w:p>
    <w:p>
      <w:pPr>
        <w:pStyle w:val="25"/>
      </w:pPr>
      <w:r>
        <w:rPr>
          <w:rFonts w:hint="eastAsia"/>
        </w:rPr>
        <w:t>换电车辆进行电池箱更换时，满足换电操作范围需求的车辆停放位置。</w:t>
      </w:r>
    </w:p>
    <w:p>
      <w:pPr>
        <w:pStyle w:val="30"/>
        <w:spacing w:before="163" w:after="163"/>
        <w:ind w:left="0"/>
      </w:pPr>
      <w:r>
        <w:rPr>
          <w:rFonts w:hint="eastAsia"/>
        </w:rPr>
        <w:t>电池箱更换设备 battery</w:t>
      </w:r>
      <w:r>
        <w:t xml:space="preserve"> </w:t>
      </w:r>
      <w:r>
        <w:rPr>
          <w:rFonts w:hint="eastAsia"/>
        </w:rPr>
        <w:t>swap</w:t>
      </w:r>
      <w:r>
        <w:t xml:space="preserve"> </w:t>
      </w:r>
      <w:r>
        <w:rPr>
          <w:rFonts w:hint="eastAsia"/>
        </w:rPr>
        <w:t>equipment</w:t>
      </w:r>
    </w:p>
    <w:p>
      <w:pPr>
        <w:pStyle w:val="25"/>
      </w:pPr>
      <w:r>
        <w:rPr>
          <w:rFonts w:hint="eastAsia"/>
        </w:rPr>
        <w:t>具备电池箱固定或解除固定，以及电池箱转运功能的设备、系统，由电池箱固定单元和转运单元组成。</w:t>
      </w:r>
    </w:p>
    <w:p>
      <w:pPr>
        <w:pStyle w:val="25"/>
      </w:pPr>
      <w:r>
        <w:rPr>
          <w:rFonts w:hint="eastAsia"/>
        </w:rPr>
        <w:t>针对电池箱更换设备的吊装解决方案，电池箱固定单元一般称为吊具，转运单元在吊装解决方案中称为吊装设备。</w:t>
      </w:r>
    </w:p>
    <w:p>
      <w:pPr>
        <w:pStyle w:val="30"/>
        <w:spacing w:before="163" w:after="163"/>
        <w:ind w:left="0"/>
      </w:pPr>
      <w:r>
        <w:rPr>
          <w:rFonts w:hint="eastAsia"/>
        </w:rPr>
        <w:t>坐标系 c</w:t>
      </w:r>
      <w:r>
        <w:t>oordinate system</w:t>
      </w:r>
    </w:p>
    <w:p>
      <w:pPr>
        <w:pStyle w:val="25"/>
      </w:pPr>
      <w:r>
        <w:rPr>
          <w:rFonts w:hint="eastAsia"/>
        </w:rPr>
        <w:t>换电站采用车身坐标系。当换电车辆停于换电平台时:</w:t>
      </w:r>
    </w:p>
    <w:p>
      <w:pPr>
        <w:pStyle w:val="25"/>
      </w:pPr>
      <w:r>
        <w:rPr>
          <w:rFonts w:hint="eastAsia"/>
        </w:rPr>
        <w:t>X为车辆长度方向，车尾方向为正；</w:t>
      </w:r>
    </w:p>
    <w:p>
      <w:pPr>
        <w:pStyle w:val="25"/>
      </w:pPr>
      <w:r>
        <w:rPr>
          <w:rFonts w:hint="eastAsia"/>
        </w:rPr>
        <w:t>Y为车辆宽度方向，副驾驶方向为正；</w:t>
      </w:r>
    </w:p>
    <w:p>
      <w:pPr>
        <w:pStyle w:val="25"/>
      </w:pPr>
      <w:r>
        <w:rPr>
          <w:rFonts w:hint="eastAsia"/>
        </w:rPr>
        <w:t>Z为车辆高度方向，车顶方向为正。</w:t>
      </w:r>
    </w:p>
    <w:p>
      <w:pPr>
        <w:pStyle w:val="25"/>
      </w:pPr>
      <w:r>
        <w:rPr>
          <w:rFonts w:hint="eastAsia"/>
        </w:rPr>
        <w:t>以车辆前轮轴中心作为原点。</w:t>
      </w:r>
    </w:p>
    <w:p>
      <w:pPr>
        <w:pStyle w:val="30"/>
        <w:spacing w:before="163" w:after="163"/>
        <w:ind w:left="0"/>
      </w:pPr>
      <w:r>
        <w:rPr>
          <w:rFonts w:hint="eastAsia"/>
        </w:rPr>
        <w:t>VIN码 Vehicle Identification Number</w:t>
      </w:r>
    </w:p>
    <w:p>
      <w:pPr>
        <w:pStyle w:val="25"/>
      </w:pPr>
      <w:r>
        <w:rPr>
          <w:rFonts w:hint="eastAsia"/>
        </w:rPr>
        <w:t>用于识别车辆的唯一编码，长度17字符，符合国标GB16735要求。</w:t>
      </w:r>
    </w:p>
    <w:p>
      <w:pPr>
        <w:pStyle w:val="30"/>
        <w:numPr>
          <w:ilvl w:val="0"/>
          <w:numId w:val="0"/>
        </w:numPr>
        <w:spacing w:before="163" w:after="163"/>
      </w:pPr>
    </w:p>
    <w:p>
      <w:pPr>
        <w:pStyle w:val="30"/>
        <w:spacing w:before="163" w:after="163"/>
        <w:ind w:left="0"/>
      </w:pPr>
      <w:r>
        <w:rPr>
          <w:rFonts w:hint="eastAsia"/>
        </w:rPr>
        <w:t xml:space="preserve">车辆识别系统 </w:t>
      </w:r>
      <w:r>
        <w:t xml:space="preserve">vehicle </w:t>
      </w:r>
      <w:r>
        <w:rPr>
          <w:rFonts w:hint="eastAsia"/>
        </w:rPr>
        <w:t>identification</w:t>
      </w:r>
      <w:r>
        <w:t xml:space="preserve"> </w:t>
      </w:r>
      <w:r>
        <w:rPr>
          <w:rFonts w:hint="eastAsia"/>
        </w:rPr>
        <w:t>system</w:t>
      </w:r>
    </w:p>
    <w:p>
      <w:pPr>
        <w:pStyle w:val="25"/>
      </w:pPr>
      <w:r>
        <w:rPr>
          <w:rFonts w:hint="eastAsia"/>
        </w:rPr>
        <w:t>车辆识别系统是指在换电车辆进入换电站时，对车辆信息(车牌信息、车型信息、状态信息、VIN码信息等)进行识别并与车辆进行数据交互的系统。</w:t>
      </w:r>
    </w:p>
    <w:p>
      <w:pPr>
        <w:pStyle w:val="30"/>
        <w:spacing w:before="163" w:after="163"/>
        <w:ind w:left="0"/>
      </w:pPr>
      <w:r>
        <w:rPr>
          <w:rFonts w:hint="eastAsia"/>
        </w:rPr>
        <w:t>车辆号牌 vehicle</w:t>
      </w:r>
      <w:r>
        <w:t xml:space="preserve"> </w:t>
      </w:r>
      <w:r>
        <w:rPr>
          <w:rFonts w:hint="eastAsia"/>
        </w:rPr>
        <w:t>license</w:t>
      </w:r>
      <w:r>
        <w:t xml:space="preserve"> </w:t>
      </w:r>
      <w:r>
        <w:rPr>
          <w:rFonts w:hint="eastAsia"/>
        </w:rPr>
        <w:t>plat</w:t>
      </w:r>
      <w:r>
        <w:t>e(VLP)</w:t>
      </w:r>
    </w:p>
    <w:p>
      <w:pPr>
        <w:pStyle w:val="25"/>
      </w:pPr>
      <w:r>
        <w:rPr>
          <w:rFonts w:hint="eastAsia"/>
        </w:rPr>
        <w:t>按照机动车管理机关要求在机动车规定位置悬挂的号码牌，以下简称“号牌”。</w:t>
      </w:r>
    </w:p>
    <w:p>
      <w:pPr>
        <w:pStyle w:val="30"/>
        <w:spacing w:before="163" w:after="163"/>
        <w:ind w:left="0"/>
      </w:pPr>
      <w:r>
        <w:rPr>
          <w:rFonts w:hint="eastAsia"/>
        </w:rPr>
        <w:t>号牌信息 VLP</w:t>
      </w:r>
      <w:r>
        <w:t xml:space="preserve"> </w:t>
      </w:r>
      <w:r>
        <w:rPr>
          <w:rFonts w:hint="eastAsia"/>
        </w:rPr>
        <w:t>information</w:t>
      </w:r>
    </w:p>
    <w:p>
      <w:pPr>
        <w:pStyle w:val="25"/>
      </w:pPr>
      <w:r>
        <w:rPr>
          <w:rFonts w:hint="eastAsia"/>
        </w:rPr>
        <w:t>车辆号牌所包含的号牌号码(含汉字字符、英文字母、阿拉伯数字等)、号牌颜色等信息。</w:t>
      </w:r>
    </w:p>
    <w:p>
      <w:pPr>
        <w:pStyle w:val="30"/>
        <w:spacing w:before="163" w:after="163"/>
        <w:ind w:left="0"/>
      </w:pPr>
      <w:r>
        <w:rPr>
          <w:rFonts w:hint="eastAsia"/>
        </w:rPr>
        <w:t>车辆识别单元 vehicle</w:t>
      </w:r>
      <w:r>
        <w:t xml:space="preserve"> </w:t>
      </w:r>
      <w:r>
        <w:rPr>
          <w:rFonts w:hint="eastAsia"/>
        </w:rPr>
        <w:t>identification</w:t>
      </w:r>
      <w:r>
        <w:t xml:space="preserve"> </w:t>
      </w:r>
      <w:r>
        <w:rPr>
          <w:rFonts w:hint="eastAsia"/>
        </w:rPr>
        <w:t>unit</w:t>
      </w:r>
    </w:p>
    <w:p>
      <w:pPr>
        <w:pStyle w:val="25"/>
      </w:pPr>
      <w:r>
        <w:rPr>
          <w:rFonts w:hint="eastAsia"/>
        </w:rPr>
        <w:t>能够自动识别车辆唯一身份信息(如号牌、VIN号等)的设备单元。</w:t>
      </w:r>
    </w:p>
    <w:p>
      <w:pPr>
        <w:pStyle w:val="30"/>
        <w:spacing w:before="163" w:after="163"/>
        <w:ind w:left="0"/>
      </w:pPr>
      <w:r>
        <w:rPr>
          <w:rFonts w:hint="eastAsia"/>
        </w:rPr>
        <w:t>引导装置 guide</w:t>
      </w:r>
      <w:r>
        <w:t xml:space="preserve"> </w:t>
      </w:r>
      <w:r>
        <w:rPr>
          <w:rFonts w:hint="eastAsia"/>
        </w:rPr>
        <w:t>device</w:t>
      </w:r>
    </w:p>
    <w:p>
      <w:pPr>
        <w:pStyle w:val="25"/>
      </w:pPr>
      <w:r>
        <w:rPr>
          <w:rFonts w:hint="eastAsia"/>
        </w:rPr>
        <w:t>对系统各部分的工作状态、事件，以及对站（场）内状况，用声音、图形或文字等声光信息作出告知、提醒或报警提示的装置。</w:t>
      </w:r>
    </w:p>
    <w:p>
      <w:pPr>
        <w:pStyle w:val="30"/>
        <w:spacing w:before="163" w:after="163"/>
        <w:ind w:left="0"/>
      </w:pPr>
      <w:r>
        <w:rPr>
          <w:rFonts w:hint="eastAsia"/>
        </w:rPr>
        <w:t>车站通信设备 vehicle-station</w:t>
      </w:r>
      <w:r>
        <w:t xml:space="preserve"> </w:t>
      </w:r>
      <w:r>
        <w:rPr>
          <w:rFonts w:hint="eastAsia"/>
        </w:rPr>
        <w:t>communication</w:t>
      </w:r>
      <w:r>
        <w:t xml:space="preserve"> </w:t>
      </w:r>
      <w:r>
        <w:rPr>
          <w:rFonts w:hint="eastAsia"/>
        </w:rPr>
        <w:t>equipment</w:t>
      </w:r>
    </w:p>
    <w:p>
      <w:pPr>
        <w:pStyle w:val="25"/>
      </w:pPr>
      <w:r>
        <w:rPr>
          <w:rFonts w:hint="eastAsia"/>
        </w:rPr>
        <w:t>用于换电站与车辆之间实时通信，实现车与站数据交互的设备。</w:t>
      </w:r>
    </w:p>
    <w:p>
      <w:pPr>
        <w:pStyle w:val="30"/>
        <w:spacing w:before="163" w:after="163"/>
        <w:ind w:left="0"/>
      </w:pPr>
      <w:r>
        <w:rPr>
          <w:rFonts w:hint="eastAsia"/>
        </w:rPr>
        <w:t>车辆姿态识别设备 vehicle position distinguish equipment</w:t>
      </w:r>
    </w:p>
    <w:p>
      <w:pPr>
        <w:pStyle w:val="25"/>
      </w:pPr>
      <w:r>
        <w:rPr>
          <w:rFonts w:hint="eastAsia"/>
        </w:rPr>
        <w:t>用于识别车辆停放位置、电池包所在位置的设备。</w:t>
      </w:r>
    </w:p>
    <w:p>
      <w:pPr>
        <w:pStyle w:val="30"/>
        <w:spacing w:before="163" w:after="163"/>
        <w:ind w:left="0"/>
      </w:pPr>
      <w:r>
        <w:rPr>
          <w:rFonts w:hint="eastAsia"/>
        </w:rPr>
        <w:t>充电设备 charging</w:t>
      </w:r>
      <w:r>
        <w:t xml:space="preserve"> </w:t>
      </w:r>
      <w:r>
        <w:rPr>
          <w:rFonts w:hint="eastAsia"/>
        </w:rPr>
        <w:t>equipment</w:t>
      </w:r>
    </w:p>
    <w:p>
      <w:pPr>
        <w:pStyle w:val="25"/>
      </w:pPr>
      <w:r>
        <w:rPr>
          <w:rFonts w:hint="eastAsia"/>
        </w:rPr>
        <w:t>为换电站内电池箱充电的充电设备。</w:t>
      </w:r>
    </w:p>
    <w:p>
      <w:pPr>
        <w:pStyle w:val="30"/>
        <w:spacing w:before="163" w:after="163"/>
        <w:ind w:left="0"/>
      </w:pPr>
      <w:r>
        <w:rPr>
          <w:rFonts w:hint="eastAsia"/>
        </w:rPr>
        <w:t>吊装设备 lifting</w:t>
      </w:r>
      <w:r>
        <w:t xml:space="preserve"> </w:t>
      </w:r>
      <w:r>
        <w:rPr>
          <w:rFonts w:hint="eastAsia"/>
        </w:rPr>
        <w:t>equipment</w:t>
      </w:r>
    </w:p>
    <w:p>
      <w:pPr>
        <w:pStyle w:val="25"/>
      </w:pPr>
      <w:r>
        <w:rPr>
          <w:rFonts w:hint="eastAsia"/>
        </w:rPr>
        <w:t>用于将电池箱吊装至规定位置的专用设备。吊装设备即电池箱更换设备采用吊装方案中的转运单元，是主要子系统。</w:t>
      </w:r>
    </w:p>
    <w:p>
      <w:pPr>
        <w:pStyle w:val="30"/>
        <w:spacing w:before="163" w:after="163"/>
        <w:ind w:left="0"/>
      </w:pPr>
      <w:r>
        <w:rPr>
          <w:rFonts w:hint="eastAsia"/>
        </w:rPr>
        <w:t>电池箱存储托架 battery</w:t>
      </w:r>
      <w:r>
        <w:t xml:space="preserve"> </w:t>
      </w:r>
      <w:r>
        <w:rPr>
          <w:rFonts w:hint="eastAsia"/>
        </w:rPr>
        <w:t>pack</w:t>
      </w:r>
      <w:r>
        <w:t xml:space="preserve"> </w:t>
      </w:r>
      <w:r>
        <w:rPr>
          <w:rFonts w:hint="eastAsia"/>
        </w:rPr>
        <w:t>storage</w:t>
      </w:r>
      <w:r>
        <w:t xml:space="preserve"> </w:t>
      </w:r>
      <w:r>
        <w:rPr>
          <w:rFonts w:hint="eastAsia"/>
        </w:rPr>
        <w:t>rack</w:t>
      </w:r>
    </w:p>
    <w:p>
      <w:pPr>
        <w:pStyle w:val="25"/>
      </w:pPr>
      <w:r>
        <w:rPr>
          <w:rFonts w:hint="eastAsia"/>
        </w:rPr>
        <w:t>用于承载电池箱的设备。</w:t>
      </w:r>
    </w:p>
    <w:p>
      <w:pPr>
        <w:pStyle w:val="29"/>
        <w:spacing w:before="326" w:after="326"/>
      </w:pPr>
      <w:bookmarkStart w:id="19" w:name="_Toc101795878"/>
      <w:r>
        <w:rPr>
          <w:rFonts w:hint="eastAsia"/>
        </w:rPr>
        <w:t>基本构成与分类</w:t>
      </w:r>
      <w:bookmarkEnd w:id="19"/>
    </w:p>
    <w:p>
      <w:pPr>
        <w:pStyle w:val="25"/>
      </w:pPr>
      <w:r>
        <w:rPr>
          <w:rFonts w:hint="eastAsia"/>
        </w:rPr>
        <w:t>换电系统设备主要包括泊车位、车辆定位装置、电池箱更换设备、车辆识别系统、充电设备、吊装设备、电池箱存储托架等。</w:t>
      </w:r>
    </w:p>
    <w:p>
      <w:pPr>
        <w:pStyle w:val="25"/>
      </w:pPr>
      <w:r>
        <w:rPr>
          <w:rFonts w:hint="eastAsia"/>
        </w:rPr>
        <w:t>其中电池箱更换设备主要包括电池箱固定单元和转运单元组成。电池箱固定单元一般称为吊具，转运单元在吊装解决方案中称为吊装设备。</w:t>
      </w:r>
    </w:p>
    <w:p>
      <w:pPr>
        <w:pStyle w:val="25"/>
      </w:pPr>
      <w:r>
        <w:rPr>
          <w:rFonts w:hint="eastAsia"/>
        </w:rPr>
        <w:t>车辆识别系统主要包括车辆识别单元、引导装置、车辆姿态识别设备、车站通信设备等部件。</w:t>
      </w:r>
    </w:p>
    <w:p>
      <w:pPr>
        <w:pStyle w:val="29"/>
        <w:spacing w:before="326" w:after="326"/>
      </w:pPr>
      <w:bookmarkStart w:id="20" w:name="_Toc101795879"/>
      <w:r>
        <w:rPr>
          <w:rFonts w:hint="eastAsia"/>
        </w:rPr>
        <w:t>技术要求</w:t>
      </w:r>
      <w:bookmarkEnd w:id="20"/>
    </w:p>
    <w:p>
      <w:pPr>
        <w:pStyle w:val="30"/>
        <w:spacing w:before="163" w:after="163"/>
        <w:ind w:left="0"/>
      </w:pPr>
      <w:r>
        <w:rPr>
          <w:rFonts w:hint="eastAsia"/>
        </w:rPr>
        <w:t>环境要求</w:t>
      </w:r>
    </w:p>
    <w:p>
      <w:pPr>
        <w:pStyle w:val="31"/>
        <w:spacing w:before="163" w:after="163"/>
      </w:pPr>
      <w:r>
        <w:rPr>
          <w:rFonts w:hint="eastAsia"/>
        </w:rPr>
        <w:t>环境温度</w:t>
      </w:r>
    </w:p>
    <w:p>
      <w:pPr>
        <w:pStyle w:val="25"/>
      </w:pPr>
      <w:r>
        <w:rPr>
          <w:rFonts w:hint="eastAsia"/>
        </w:rPr>
        <w:t>工作环境：</w:t>
      </w:r>
      <w:r>
        <w:t>-40°C</w:t>
      </w:r>
      <w:r>
        <w:rPr>
          <w:rFonts w:hint="eastAsia" w:ascii="微软雅黑" w:hAnsi="微软雅黑" w:eastAsia="微软雅黑" w:cs="微软雅黑"/>
        </w:rPr>
        <w:t>〜</w:t>
      </w:r>
      <w:r>
        <w:t>+55°C;</w:t>
      </w:r>
    </w:p>
    <w:p>
      <w:pPr>
        <w:pStyle w:val="31"/>
        <w:spacing w:before="163" w:after="163"/>
      </w:pPr>
      <w:r>
        <w:rPr>
          <w:rFonts w:hint="eastAsia"/>
        </w:rPr>
        <w:t>相对湿度</w:t>
      </w:r>
    </w:p>
    <w:p>
      <w:pPr>
        <w:pStyle w:val="25"/>
      </w:pPr>
      <w:r>
        <w:rPr>
          <w:rFonts w:hint="eastAsia"/>
        </w:rPr>
        <w:t>适应相对湿度：</w:t>
      </w:r>
      <w:r>
        <w:rPr>
          <w:rFonts w:hint="eastAsia" w:hAnsi="宋体"/>
        </w:rPr>
        <w:t>≤</w:t>
      </w:r>
      <w:r>
        <w:rPr>
          <w:rFonts w:hint="eastAsia"/>
        </w:rPr>
        <w:t>95%（40</w:t>
      </w:r>
      <w:r>
        <w:rPr>
          <w:rFonts w:hint="eastAsia" w:hAnsi="宋体"/>
        </w:rPr>
        <w:t>℃</w:t>
      </w:r>
      <w:r>
        <w:rPr>
          <w:rFonts w:hint="eastAsia"/>
        </w:rPr>
        <w:t>±2</w:t>
      </w:r>
      <w:r>
        <w:rPr>
          <w:rFonts w:hint="eastAsia" w:hAnsi="宋体"/>
        </w:rPr>
        <w:t>℃</w:t>
      </w:r>
      <w:r>
        <w:rPr>
          <w:rFonts w:hint="eastAsia"/>
        </w:rPr>
        <w:t>）(无凝露）。</w:t>
      </w:r>
    </w:p>
    <w:p>
      <w:pPr>
        <w:pStyle w:val="30"/>
        <w:spacing w:before="163" w:after="163"/>
        <w:ind w:left="0"/>
      </w:pPr>
      <w:r>
        <w:rPr>
          <w:rFonts w:hint="eastAsia"/>
        </w:rPr>
        <w:t>功能要求</w:t>
      </w:r>
    </w:p>
    <w:p>
      <w:pPr>
        <w:pStyle w:val="31"/>
        <w:spacing w:before="163" w:after="163"/>
      </w:pPr>
      <w:r>
        <w:rPr>
          <w:rFonts w:hint="eastAsia"/>
        </w:rPr>
        <w:t>车辆定位</w:t>
      </w:r>
    </w:p>
    <w:p>
      <w:pPr>
        <w:pStyle w:val="25"/>
      </w:pPr>
      <w:r>
        <w:rPr>
          <w:rFonts w:hint="eastAsia"/>
        </w:rPr>
        <w:t>停车平台应具备引导与辅助车辆停车位置的功能，使换电车辆停靠于泊车位内。</w:t>
      </w:r>
    </w:p>
    <w:p>
      <w:pPr>
        <w:pStyle w:val="25"/>
      </w:pPr>
      <w:r>
        <w:rPr>
          <w:rFonts w:hint="eastAsia"/>
        </w:rPr>
        <w:t>停车平台应能够适应不同的换电车型，兼容多种车型的定位要求。（符合国家车辆规定）</w:t>
      </w:r>
    </w:p>
    <w:p>
      <w:pPr>
        <w:pStyle w:val="31"/>
        <w:spacing w:before="163" w:after="163"/>
      </w:pPr>
      <w:r>
        <w:rPr>
          <w:rFonts w:hint="eastAsia"/>
        </w:rPr>
        <w:t>车辆到位检测</w:t>
      </w:r>
    </w:p>
    <w:p>
      <w:pPr>
        <w:pStyle w:val="25"/>
      </w:pPr>
      <w:r>
        <w:rPr>
          <w:rFonts w:hint="eastAsia"/>
        </w:rPr>
        <w:t>停车平台应具备车辆到位检测功能，能够监测换电车辆是否处于泊车位内。停车平台在确定车辆稳定、安全停于泊车位时，方能允许进行换电操作。</w:t>
      </w:r>
    </w:p>
    <w:p>
      <w:pPr>
        <w:pStyle w:val="25"/>
      </w:pPr>
      <w:r>
        <w:rPr>
          <w:rFonts w:hint="eastAsia"/>
        </w:rPr>
        <w:t>在设置泊车位时，应考虑所服务各种车型的电池箱在车身上的相对位置不同，保证车上电池箱位于电池箱定位系统的识别范围内。在检测车辆是否位于泊车位时，宜根据电池箱定位系统的识别范围与服务车型设置检测精度，例如可选用±3</w:t>
      </w:r>
      <w:r>
        <w:t>00</w:t>
      </w:r>
      <w:r>
        <w:rPr>
          <w:rFonts w:hint="eastAsia"/>
        </w:rPr>
        <w:t>mm，±</w:t>
      </w:r>
      <w:r>
        <w:t>500</w:t>
      </w:r>
      <w:r>
        <w:rPr>
          <w:rFonts w:hint="eastAsia"/>
        </w:rPr>
        <w:t>mm等范围。</w:t>
      </w:r>
    </w:p>
    <w:p>
      <w:pPr>
        <w:pStyle w:val="31"/>
        <w:spacing w:before="163" w:after="163"/>
      </w:pPr>
      <w:r>
        <w:rPr>
          <w:rFonts w:hint="eastAsia"/>
        </w:rPr>
        <w:t>车辆与电池箱位置检测</w:t>
      </w:r>
    </w:p>
    <w:p>
      <w:pPr>
        <w:pStyle w:val="25"/>
      </w:pPr>
      <w:r>
        <w:rPr>
          <w:rFonts w:hint="eastAsia"/>
        </w:rPr>
        <w:t>换电系统应具备电池箱位置检测功能（或通过车辆位置反推电池箱位置），确保换电过程中，电池箱位置符合换电要求，避免造成财产损失、危害人身安全。</w:t>
      </w:r>
    </w:p>
    <w:p>
      <w:pPr>
        <w:pStyle w:val="31"/>
        <w:spacing w:before="163" w:after="163"/>
      </w:pPr>
      <w:r>
        <w:rPr>
          <w:rFonts w:hint="eastAsia"/>
        </w:rPr>
        <w:t>防止碰撞</w:t>
      </w:r>
    </w:p>
    <w:p>
      <w:pPr>
        <w:pStyle w:val="25"/>
      </w:pPr>
      <w:r>
        <w:rPr>
          <w:rFonts w:hint="eastAsia"/>
        </w:rPr>
        <w:t>停车平台及进出口宜具备防撞措施。</w:t>
      </w:r>
    </w:p>
    <w:p>
      <w:pPr>
        <w:pStyle w:val="31"/>
        <w:spacing w:before="163" w:after="163"/>
      </w:pPr>
      <w:r>
        <w:rPr>
          <w:rFonts w:hint="eastAsia"/>
        </w:rPr>
        <w:t>电池箱更换</w:t>
      </w:r>
    </w:p>
    <w:p>
      <w:pPr>
        <w:pStyle w:val="25"/>
      </w:pPr>
      <w:r>
        <w:rPr>
          <w:rFonts w:hint="eastAsia"/>
        </w:rPr>
        <w:t>通过顶部连接并固定电池箱，然后向上取出的方式为吊装方式。吊装系统应具备吊具到位检测功能、电池箱到位检测功能等，吊装过程安全可靠。</w:t>
      </w:r>
    </w:p>
    <w:p>
      <w:pPr>
        <w:pStyle w:val="25"/>
        <w:rPr>
          <w:color w:val="auto"/>
        </w:rPr>
      </w:pPr>
      <w:r>
        <w:rPr>
          <w:rFonts w:hint="eastAsia"/>
        </w:rPr>
        <w:t>吊装系统与</w:t>
      </w:r>
      <w:r>
        <w:rPr>
          <w:rFonts w:hint="eastAsia"/>
          <w:color w:val="auto"/>
        </w:rPr>
        <w:t>车辆及电池箱直接接触的操作机构部分应采用导向结构，防止吊具在运动过程中因运动精度过低或无法精确匹配电池箱姿态，与电池箱顶部碰撞导致损坏。导向结构的导向范围在XY方向上都宜达到±</w:t>
      </w:r>
      <w:r>
        <w:rPr>
          <w:color w:val="auto"/>
        </w:rPr>
        <w:t>50</w:t>
      </w:r>
      <w:r>
        <w:rPr>
          <w:rFonts w:hint="eastAsia"/>
          <w:color w:val="auto"/>
        </w:rPr>
        <w:t>mm。电池箱吊装机构宜设置限速，防止惯性过大导致损坏。</w:t>
      </w:r>
    </w:p>
    <w:p>
      <w:pPr>
        <w:pStyle w:val="25"/>
      </w:pPr>
      <w:r>
        <w:rPr>
          <w:rFonts w:hint="eastAsia"/>
          <w:color w:val="auto"/>
        </w:rPr>
        <w:t>吊具在连接并固定电池箱时，应选择电池箱顶部抓举区X方向</w:t>
      </w:r>
      <w:r>
        <w:rPr>
          <w:color w:val="auto"/>
        </w:rPr>
        <w:t>/Y</w:t>
      </w:r>
      <w:r>
        <w:rPr>
          <w:rFonts w:hint="eastAsia"/>
          <w:color w:val="auto"/>
        </w:rPr>
        <w:t>方向的</w:t>
      </w:r>
      <w:r>
        <w:rPr>
          <w:rFonts w:hint="eastAsia"/>
        </w:rPr>
        <w:t>外框进行连接与固定，宜采用双侧各两点连接的四点连接方式。吊具中的连接装置宜采用钩锁形式，挂住电池箱抓举区外框上的连接点。</w:t>
      </w:r>
    </w:p>
    <w:p>
      <w:pPr>
        <w:pStyle w:val="31"/>
        <w:spacing w:before="163" w:after="163"/>
      </w:pPr>
      <w:r>
        <w:rPr>
          <w:rFonts w:hint="eastAsia"/>
        </w:rPr>
        <w:t>电池箱定位</w:t>
      </w:r>
    </w:p>
    <w:p>
      <w:pPr>
        <w:pStyle w:val="25"/>
      </w:pPr>
      <w:r>
        <w:rPr>
          <w:rFonts w:hint="eastAsia"/>
        </w:rPr>
        <w:t>电池箱更换设备应具备固定电池箱的定位、导向双重结构，并具备电池箱固定到位检测功能，确保满足电池箱解锁/锁紧的需求，确保电池箱在运输过程中不会跌落。电池箱更换设备宜具备定位失效检测和告警功能，防止电池箱和车身对接异常导致损坏。</w:t>
      </w:r>
    </w:p>
    <w:p>
      <w:pPr>
        <w:pStyle w:val="25"/>
      </w:pPr>
      <w:r>
        <w:rPr>
          <w:rFonts w:hint="eastAsia"/>
        </w:rPr>
        <w:t>换电系统，应能精确定位电池箱的位置，精度宜优于导向机构的导向能力并有余量。定位电池箱时，</w:t>
      </w:r>
      <w:r>
        <w:rPr>
          <w:rFonts w:hint="eastAsia"/>
          <w:color w:val="auto"/>
        </w:rPr>
        <w:t>采用视觉定位方式、激光定位方式或者其他方式，</w:t>
      </w:r>
      <w:r>
        <w:rPr>
          <w:rFonts w:hint="eastAsia"/>
        </w:rPr>
        <w:t>此时应在识别区设置识别特征（特定尺寸、颜色、符号等），且需要保证识别特征被环境污损后的识别成功率。</w:t>
      </w:r>
    </w:p>
    <w:p>
      <w:pPr>
        <w:pStyle w:val="31"/>
        <w:spacing w:before="163" w:after="163"/>
      </w:pPr>
      <w:r>
        <w:rPr>
          <w:rFonts w:hint="eastAsia"/>
        </w:rPr>
        <w:t>电池箱加/解锁</w:t>
      </w:r>
    </w:p>
    <w:p>
      <w:pPr>
        <w:pStyle w:val="25"/>
      </w:pPr>
      <w:r>
        <w:rPr>
          <w:rFonts w:hint="eastAsia"/>
        </w:rPr>
        <w:t>车上的电池箱快换机构应能进行电池箱加锁和解锁，并具备加锁到位和解锁到位检测功能，确保电池箱可靠加/解锁。</w:t>
      </w:r>
    </w:p>
    <w:p>
      <w:pPr>
        <w:pStyle w:val="31"/>
        <w:spacing w:before="163" w:after="163"/>
      </w:pPr>
      <w:r>
        <w:rPr>
          <w:rFonts w:hint="eastAsia"/>
        </w:rPr>
        <w:t>限位保护功能</w:t>
      </w:r>
    </w:p>
    <w:p>
      <w:pPr>
        <w:pStyle w:val="25"/>
      </w:pPr>
      <w:r>
        <w:rPr>
          <w:rFonts w:hint="eastAsia"/>
        </w:rPr>
        <w:t>换电平台内所有运动机构应具有行程、极限保护功能，包括软件限位和硬件限位装置，确保运动机构在安全范围内动作，防止因超出位置极限造成危害。</w:t>
      </w:r>
    </w:p>
    <w:p>
      <w:pPr>
        <w:pStyle w:val="31"/>
        <w:spacing w:before="163" w:after="163"/>
      </w:pPr>
      <w:r>
        <w:rPr>
          <w:rFonts w:hint="eastAsia"/>
        </w:rPr>
        <w:t>断电保护功能</w:t>
      </w:r>
    </w:p>
    <w:p>
      <w:pPr>
        <w:pStyle w:val="25"/>
      </w:pPr>
      <w:r>
        <w:rPr>
          <w:rFonts w:hint="eastAsia"/>
        </w:rPr>
        <w:t>换电平台应具备断电保护功能。若换电过程中突然断电，各运动部件应在100ms内停车，不得出现跌落、飞车等失控现象；恢复供电时，应处于停机状态，接收到操作指令后方可继续换电流程。</w:t>
      </w:r>
    </w:p>
    <w:p>
      <w:pPr>
        <w:pStyle w:val="31"/>
        <w:spacing w:before="163" w:after="163"/>
        <w:ind w:left="0"/>
      </w:pPr>
      <w:r>
        <w:rPr>
          <w:rFonts w:hint="eastAsia"/>
        </w:rPr>
        <w:t>自检功能</w:t>
      </w:r>
    </w:p>
    <w:p>
      <w:pPr>
        <w:pStyle w:val="25"/>
      </w:pPr>
      <w:r>
        <w:rPr>
          <w:rFonts w:hint="eastAsia"/>
        </w:rPr>
        <w:t>车辆识别系统应具备自检功能，当系统出现故障时应及时准确的上报故障信息，并采取必要的保护措施，避免发生危险及财产损失。</w:t>
      </w:r>
    </w:p>
    <w:p>
      <w:pPr>
        <w:pStyle w:val="31"/>
        <w:spacing w:before="163" w:after="163"/>
        <w:ind w:left="0"/>
      </w:pPr>
      <w:r>
        <w:rPr>
          <w:rFonts w:hint="eastAsia"/>
        </w:rPr>
        <w:t>车辆信息识别</w:t>
      </w:r>
    </w:p>
    <w:p>
      <w:pPr>
        <w:pStyle w:val="25"/>
      </w:pPr>
      <w:r>
        <w:rPr>
          <w:rFonts w:hint="eastAsia"/>
        </w:rPr>
        <w:t>车辆识别系统应能读取到车辆VIN码，并将车辆VIN码作为识别车辆的唯一身份。</w:t>
      </w:r>
    </w:p>
    <w:p>
      <w:pPr>
        <w:pStyle w:val="31"/>
        <w:spacing w:before="163" w:after="163"/>
        <w:ind w:left="0"/>
      </w:pPr>
      <w:r>
        <w:rPr>
          <w:rFonts w:hint="eastAsia"/>
        </w:rPr>
        <w:t>鉴权识别</w:t>
      </w:r>
    </w:p>
    <w:p>
      <w:pPr>
        <w:pStyle w:val="25"/>
      </w:pPr>
      <w:r>
        <w:rPr>
          <w:rFonts w:hint="eastAsia"/>
        </w:rPr>
        <w:t>车辆识别系统可以通过与车辆和远程云平台的无线通讯，进行车辆与换电站的鉴权通信。</w:t>
      </w:r>
    </w:p>
    <w:p>
      <w:pPr>
        <w:pStyle w:val="31"/>
        <w:spacing w:before="163" w:after="163"/>
        <w:ind w:left="0"/>
      </w:pPr>
      <w:r>
        <w:rPr>
          <w:rFonts w:hint="eastAsia"/>
        </w:rPr>
        <w:t>车辆型号信息识别</w:t>
      </w:r>
    </w:p>
    <w:p>
      <w:pPr>
        <w:pStyle w:val="25"/>
      </w:pPr>
      <w:r>
        <w:rPr>
          <w:rFonts w:hint="eastAsia"/>
        </w:rPr>
        <w:t>车辆识别系统应能够自动识别录入系统的车辆型号。</w:t>
      </w:r>
    </w:p>
    <w:p>
      <w:pPr>
        <w:pStyle w:val="31"/>
        <w:spacing w:before="163" w:after="163"/>
        <w:ind w:left="0"/>
      </w:pPr>
      <w:r>
        <w:rPr>
          <w:rFonts w:hint="eastAsia"/>
        </w:rPr>
        <w:t>车辆其他信息识别</w:t>
      </w:r>
    </w:p>
    <w:p>
      <w:pPr>
        <w:pStyle w:val="25"/>
      </w:pPr>
      <w:r>
        <w:rPr>
          <w:rFonts w:hint="eastAsia"/>
        </w:rPr>
        <w:t>车辆识别系统宜能够自动识别录入系统的车辆的品牌等信息。</w:t>
      </w:r>
    </w:p>
    <w:p>
      <w:pPr>
        <w:pStyle w:val="31"/>
        <w:spacing w:before="163" w:after="163"/>
        <w:ind w:left="0"/>
      </w:pPr>
      <w:r>
        <w:rPr>
          <w:rFonts w:hint="eastAsia"/>
        </w:rPr>
        <w:t>语音播报/文字提示</w:t>
      </w:r>
    </w:p>
    <w:p>
      <w:pPr>
        <w:pStyle w:val="25"/>
      </w:pPr>
      <w:r>
        <w:rPr>
          <w:rFonts w:hint="eastAsia"/>
        </w:rPr>
        <w:t>车辆识别系统应具备语音播报和文字提示功能，为换电客户提供清晰的信息，播放或显示引导车辆驶入或驶离信息，车辆信息，是否允许换电等提示信息；语音及文字信息，宜能够有效的引导客户进行换电。</w:t>
      </w:r>
    </w:p>
    <w:p>
      <w:pPr>
        <w:pStyle w:val="31"/>
        <w:spacing w:before="163" w:after="163"/>
      </w:pPr>
      <w:r>
        <w:rPr>
          <w:rFonts w:hint="eastAsia"/>
        </w:rPr>
        <w:t>图像提示</w:t>
      </w:r>
    </w:p>
    <w:p>
      <w:pPr>
        <w:pStyle w:val="25"/>
      </w:pPr>
      <w:r>
        <w:rPr>
          <w:rFonts w:hint="eastAsia"/>
        </w:rPr>
        <w:t>车辆识别系统能够对车辆停靠的位置信息进行图像提示，显示电池包正确停靠区域和当前电池包所在位置，指示司机驾驶车辆将电池包移动到正确停靠区域。</w:t>
      </w:r>
    </w:p>
    <w:p>
      <w:pPr>
        <w:pStyle w:val="31"/>
        <w:spacing w:before="163" w:after="163"/>
      </w:pPr>
      <w:r>
        <w:rPr>
          <w:rFonts w:hint="eastAsia"/>
        </w:rPr>
        <w:t>车辆姿态识别，</w:t>
      </w:r>
    </w:p>
    <w:p>
      <w:pPr>
        <w:pStyle w:val="25"/>
      </w:pPr>
      <w:r>
        <w:rPr>
          <w:rFonts w:hint="eastAsia"/>
        </w:rPr>
        <w:t>车辆姿态识别采用视觉相机</w:t>
      </w:r>
      <w:r>
        <w:rPr>
          <w:rFonts w:hint="eastAsia"/>
          <w:color w:val="auto"/>
        </w:rPr>
        <w:t>、激光或者其他方式</w:t>
      </w:r>
      <w:r>
        <w:rPr>
          <w:rFonts w:hint="eastAsia"/>
        </w:rPr>
        <w:t>，能够识别车辆X轴方向、Y轴方向、Z轴方向的距离，并能够识别车辆X轴的角度偏移。</w:t>
      </w:r>
    </w:p>
    <w:p>
      <w:pPr>
        <w:pStyle w:val="31"/>
        <w:spacing w:before="163" w:after="163"/>
        <w:ind w:left="0"/>
      </w:pPr>
      <w:r>
        <w:rPr>
          <w:rFonts w:hint="eastAsia"/>
        </w:rPr>
        <w:t>应急控制</w:t>
      </w:r>
    </w:p>
    <w:p>
      <w:pPr>
        <w:pStyle w:val="25"/>
      </w:pPr>
      <w:r>
        <w:rPr>
          <w:rFonts w:hint="eastAsia"/>
        </w:rPr>
        <w:t>车辆识别系统应具备手动输入车辆信息的功能，当发生故障无法正常识别车辆信息时，可以通过手动方式输入号牌、车辆型号等重要信息。</w:t>
      </w:r>
    </w:p>
    <w:p>
      <w:pPr>
        <w:pStyle w:val="31"/>
        <w:spacing w:before="163" w:after="163"/>
        <w:ind w:left="0"/>
      </w:pPr>
      <w:r>
        <w:rPr>
          <w:rFonts w:hint="eastAsia"/>
        </w:rPr>
        <w:t>数据存储和压缩</w:t>
      </w:r>
    </w:p>
    <w:p>
      <w:pPr>
        <w:pStyle w:val="25"/>
      </w:pPr>
      <w:r>
        <w:rPr>
          <w:rFonts w:hint="eastAsia"/>
        </w:rPr>
        <w:t>车辆识别系统应能够自动存储车辆身份信息、进站时间、离站时间等重要信息，断电时存储信息不应丢失，存储的信息可通过通信接口导出到外部存储介质。数据存储时间不少于30天，支持历史数据查询功能。</w:t>
      </w:r>
    </w:p>
    <w:p>
      <w:pPr>
        <w:pStyle w:val="31"/>
        <w:spacing w:before="163" w:after="163"/>
        <w:ind w:left="0"/>
      </w:pPr>
      <w:r>
        <w:rPr>
          <w:rFonts w:hint="eastAsia"/>
        </w:rPr>
        <w:t>系统校时</w:t>
      </w:r>
    </w:p>
    <w:p>
      <w:pPr>
        <w:pStyle w:val="25"/>
      </w:pPr>
      <w:r>
        <w:rPr>
          <w:rFonts w:hint="eastAsia"/>
        </w:rPr>
        <w:t>车辆识别系统应具备手动或自动校时功能(参照标准北京时间)，24h累计时钟误差≤3s。</w:t>
      </w:r>
    </w:p>
    <w:p>
      <w:pPr>
        <w:pStyle w:val="31"/>
        <w:spacing w:before="163" w:after="163"/>
        <w:ind w:left="0"/>
      </w:pPr>
      <w:r>
        <w:rPr>
          <w:rFonts w:hint="eastAsia"/>
        </w:rPr>
        <w:t>车辆状态转换</w:t>
      </w:r>
    </w:p>
    <w:p>
      <w:pPr>
        <w:pStyle w:val="48"/>
        <w:widowControl/>
        <w:numPr>
          <w:ilvl w:val="0"/>
          <w:numId w:val="5"/>
        </w:numPr>
        <w:ind w:firstLineChars="0"/>
        <w:outlineLvl w:val="3"/>
        <w:rPr>
          <w:rFonts w:ascii="黑体" w:hAnsi="Times New Roman" w:cs="Times New Roman"/>
          <w:vanish/>
          <w:kern w:val="0"/>
          <w:szCs w:val="21"/>
        </w:rPr>
      </w:pPr>
    </w:p>
    <w:p>
      <w:pPr>
        <w:pStyle w:val="48"/>
        <w:widowControl/>
        <w:numPr>
          <w:ilvl w:val="0"/>
          <w:numId w:val="5"/>
        </w:numPr>
        <w:ind w:firstLineChars="0"/>
        <w:outlineLvl w:val="3"/>
        <w:rPr>
          <w:rFonts w:ascii="黑体" w:hAnsi="Times New Roman" w:cs="Times New Roman"/>
          <w:vanish/>
          <w:kern w:val="0"/>
          <w:szCs w:val="21"/>
        </w:rPr>
      </w:pPr>
    </w:p>
    <w:p>
      <w:pPr>
        <w:pStyle w:val="48"/>
        <w:widowControl/>
        <w:numPr>
          <w:ilvl w:val="0"/>
          <w:numId w:val="5"/>
        </w:numPr>
        <w:ind w:firstLineChars="0"/>
        <w:outlineLvl w:val="3"/>
        <w:rPr>
          <w:rFonts w:ascii="黑体" w:hAnsi="Times New Roman" w:cs="Times New Roman"/>
          <w:vanish/>
          <w:kern w:val="0"/>
          <w:szCs w:val="21"/>
        </w:rPr>
      </w:pPr>
    </w:p>
    <w:p>
      <w:pPr>
        <w:pStyle w:val="48"/>
        <w:widowControl/>
        <w:numPr>
          <w:ilvl w:val="0"/>
          <w:numId w:val="5"/>
        </w:numPr>
        <w:ind w:firstLineChars="0"/>
        <w:outlineLvl w:val="3"/>
        <w:rPr>
          <w:rFonts w:ascii="黑体" w:hAnsi="Times New Roman" w:cs="Times New Roman"/>
          <w:vanish/>
          <w:kern w:val="0"/>
          <w:szCs w:val="21"/>
        </w:rPr>
      </w:pPr>
    </w:p>
    <w:p>
      <w:pPr>
        <w:pStyle w:val="48"/>
        <w:widowControl/>
        <w:numPr>
          <w:ilvl w:val="0"/>
          <w:numId w:val="5"/>
        </w:numPr>
        <w:ind w:firstLineChars="0"/>
        <w:outlineLvl w:val="3"/>
        <w:rPr>
          <w:rFonts w:ascii="黑体" w:hAnsi="Times New Roman" w:cs="Times New Roman"/>
          <w:vanish/>
          <w:kern w:val="0"/>
          <w:szCs w:val="21"/>
        </w:rPr>
      </w:pPr>
    </w:p>
    <w:p>
      <w:pPr>
        <w:pStyle w:val="48"/>
        <w:widowControl/>
        <w:numPr>
          <w:ilvl w:val="1"/>
          <w:numId w:val="5"/>
        </w:numPr>
        <w:ind w:firstLineChars="0"/>
        <w:outlineLvl w:val="3"/>
        <w:rPr>
          <w:rFonts w:ascii="黑体" w:hAnsi="Times New Roman" w:cs="Times New Roman"/>
          <w:vanish/>
          <w:kern w:val="0"/>
          <w:szCs w:val="21"/>
        </w:rPr>
      </w:pPr>
    </w:p>
    <w:p>
      <w:pPr>
        <w:pStyle w:val="48"/>
        <w:widowControl/>
        <w:numPr>
          <w:ilvl w:val="1"/>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7"/>
        <w:numPr>
          <w:ilvl w:val="3"/>
          <w:numId w:val="5"/>
        </w:numPr>
      </w:pPr>
      <w:r>
        <w:rPr>
          <w:rFonts w:hint="eastAsia"/>
        </w:rPr>
        <w:t>换电开始前，换电车辆司机调整车辆至“换电模式”。“换电模式”钥匙OFF挡、拉手刹，换电车辆司机发起换电请求，站控系统获取车辆状态信息下发加解锁机构解锁指令，可以进行换电。</w:t>
      </w:r>
    </w:p>
    <w:p>
      <w:pPr>
        <w:pStyle w:val="47"/>
        <w:numPr>
          <w:ilvl w:val="3"/>
          <w:numId w:val="5"/>
        </w:numPr>
      </w:pPr>
      <w:r>
        <w:rPr>
          <w:rFonts w:hint="eastAsia"/>
        </w:rPr>
        <w:t>换电结束后，站控系统应能向换电车辆发送换电完成加锁指令，车辆调整至“行车模式”。“行车模式”具体指加解锁机构锁定，可以上高压，可以进行行驶。</w:t>
      </w:r>
    </w:p>
    <w:p>
      <w:pPr>
        <w:pStyle w:val="31"/>
        <w:spacing w:before="163" w:after="163"/>
        <w:ind w:left="0"/>
      </w:pPr>
      <w:r>
        <w:rPr>
          <w:rFonts w:hint="eastAsia"/>
        </w:rPr>
        <w:t>车辆信息监测</w:t>
      </w:r>
    </w:p>
    <w:p>
      <w:pPr>
        <w:pStyle w:val="25"/>
      </w:pPr>
      <w:r>
        <w:rPr>
          <w:rFonts w:hint="eastAsia"/>
        </w:rPr>
        <w:t>车辆换电过程中，车辆识别系统应能获取车辆状态数据。数据包括但不限于以下内容：车辆ON/OFF挡状态、车门开闭状态、驻车状态、换电锁状态、电池箱到位状态、车辆VIN码、电池箱编码、行驶里程等，换电站对车辆数据进行实时监测，保障换电安全。</w:t>
      </w:r>
    </w:p>
    <w:p>
      <w:pPr>
        <w:pStyle w:val="31"/>
        <w:spacing w:before="163" w:after="163"/>
        <w:ind w:left="0"/>
      </w:pPr>
      <w:r>
        <w:rPr>
          <w:rFonts w:hint="eastAsia"/>
        </w:rPr>
        <w:t>通信安全</w:t>
      </w:r>
    </w:p>
    <w:p>
      <w:pPr>
        <w:pStyle w:val="25"/>
      </w:pPr>
      <w:r>
        <w:rPr>
          <w:rFonts w:hint="eastAsia"/>
        </w:rPr>
        <w:t>车辆识别系统与车辆之间，车辆识别系统内部远程通信设备与终端控制设备之间，数据交互宜进行加密处理。</w:t>
      </w:r>
    </w:p>
    <w:p>
      <w:pPr>
        <w:pStyle w:val="31"/>
        <w:spacing w:before="163" w:after="163"/>
        <w:ind w:left="0"/>
      </w:pPr>
      <w:r>
        <w:rPr>
          <w:rFonts w:hint="eastAsia"/>
        </w:rPr>
        <w:t>充电设备</w:t>
      </w:r>
    </w:p>
    <w:p>
      <w:pPr>
        <w:pStyle w:val="25"/>
        <w:numPr>
          <w:ilvl w:val="0"/>
          <w:numId w:val="6"/>
        </w:numPr>
        <w:ind w:firstLineChars="0"/>
      </w:pPr>
      <w:r>
        <w:rPr>
          <w:rFonts w:hint="eastAsia"/>
        </w:rPr>
        <w:t>充电设备的充电参数应满足动力电池箱的充电要求，最高输出电压宜不低于1000V，恒功率区间应涵盖电池箱电压范围。</w:t>
      </w:r>
    </w:p>
    <w:p>
      <w:pPr>
        <w:pStyle w:val="25"/>
        <w:numPr>
          <w:ilvl w:val="0"/>
          <w:numId w:val="6"/>
        </w:numPr>
        <w:ind w:firstLineChars="0"/>
      </w:pPr>
      <w:r>
        <w:rPr>
          <w:rFonts w:hint="eastAsia"/>
        </w:rPr>
        <w:t>充电设备应具备灯光显示功能，对每个回路充电过程中的运行状态进行指示显示。</w:t>
      </w:r>
    </w:p>
    <w:p>
      <w:pPr>
        <w:pStyle w:val="25"/>
        <w:numPr>
          <w:ilvl w:val="0"/>
          <w:numId w:val="6"/>
        </w:numPr>
        <w:ind w:firstLineChars="0"/>
      </w:pPr>
      <w:r>
        <w:rPr>
          <w:rFonts w:hint="eastAsia"/>
        </w:rPr>
        <w:t>充电设备应具备不小于7寸显示屏，充电过程中如SOC、电压、电流等参数应通过屏幕显示，显示屏具备本地启停和参数设置操作等功能，便于现场操作人员或维护人员检查确认电池充电信息及调试等操作。</w:t>
      </w:r>
    </w:p>
    <w:p>
      <w:pPr>
        <w:pStyle w:val="25"/>
        <w:numPr>
          <w:ilvl w:val="0"/>
          <w:numId w:val="6"/>
        </w:numPr>
        <w:ind w:firstLineChars="0"/>
      </w:pPr>
      <w:r>
        <w:rPr>
          <w:rFonts w:hint="eastAsia"/>
        </w:rPr>
        <w:t>充电设备应与电池转运系统连锁，防止连接器的带电插拔。</w:t>
      </w:r>
    </w:p>
    <w:p>
      <w:pPr>
        <w:pStyle w:val="25"/>
        <w:numPr>
          <w:ilvl w:val="0"/>
          <w:numId w:val="6"/>
        </w:numPr>
        <w:ind w:firstLineChars="0"/>
      </w:pPr>
      <w:r>
        <w:rPr>
          <w:rFonts w:hint="eastAsia"/>
        </w:rPr>
        <w:t>充电设备与电池之间宜按照GB/T18487-2015具备导引电路，启动充电前，应确保电池端连接器与充电架上连接器可靠连接，检测到电池端连接器与充电架上连接器之间有异常的连接时，应立即停止充电。</w:t>
      </w:r>
    </w:p>
    <w:p>
      <w:pPr>
        <w:pStyle w:val="25"/>
        <w:numPr>
          <w:ilvl w:val="0"/>
          <w:numId w:val="6"/>
        </w:numPr>
        <w:ind w:firstLineChars="0"/>
      </w:pPr>
      <w:r>
        <w:rPr>
          <w:rFonts w:hint="eastAsia"/>
        </w:rPr>
        <w:t>换电站充电系统应能获取电池的SOC、最高与最低温度、总电压、电流、电芯电压数据以及各种警告与保护状态信息，并上传至监控系统，满足电池监控要求（包括静态数据和动态数据）。</w:t>
      </w:r>
    </w:p>
    <w:p>
      <w:pPr>
        <w:pStyle w:val="25"/>
        <w:numPr>
          <w:ilvl w:val="0"/>
          <w:numId w:val="6"/>
        </w:numPr>
        <w:ind w:firstLineChars="0"/>
      </w:pPr>
      <w:r>
        <w:rPr>
          <w:rFonts w:hint="eastAsia"/>
        </w:rPr>
        <w:t>电池充电系统安全保护功能参考NB/T33008.1的要求。</w:t>
      </w:r>
    </w:p>
    <w:p>
      <w:pPr>
        <w:pStyle w:val="25"/>
        <w:numPr>
          <w:ilvl w:val="0"/>
          <w:numId w:val="6"/>
        </w:numPr>
        <w:ind w:firstLineChars="0"/>
      </w:pPr>
      <w:r>
        <w:rPr>
          <w:rFonts w:hint="eastAsia"/>
        </w:rPr>
        <w:t>电池充电系统宜符合GB/T 18487的要求。</w:t>
      </w:r>
    </w:p>
    <w:p>
      <w:pPr>
        <w:pStyle w:val="25"/>
        <w:numPr>
          <w:ilvl w:val="0"/>
          <w:numId w:val="6"/>
        </w:numPr>
        <w:ind w:firstLineChars="0"/>
      </w:pPr>
      <w:r>
        <w:rPr>
          <w:rFonts w:hint="eastAsia"/>
        </w:rPr>
        <w:t>充电设备宜采用室内充电装置，设备防护等级宜不低于IP32。</w:t>
      </w:r>
    </w:p>
    <w:p>
      <w:pPr>
        <w:pStyle w:val="25"/>
        <w:numPr>
          <w:ilvl w:val="0"/>
          <w:numId w:val="6"/>
        </w:numPr>
        <w:ind w:firstLineChars="0"/>
      </w:pPr>
      <w:r>
        <w:rPr>
          <w:rFonts w:hint="eastAsia"/>
        </w:rPr>
        <w:t>整站充电设备应至少具备1组双充电枪应急输出功能。</w:t>
      </w:r>
    </w:p>
    <w:p>
      <w:pPr>
        <w:pStyle w:val="31"/>
        <w:spacing w:before="163" w:after="163"/>
        <w:ind w:left="0"/>
      </w:pPr>
      <w:r>
        <w:rPr>
          <w:rFonts w:hint="eastAsia"/>
        </w:rPr>
        <w:t>吊装设备</w:t>
      </w:r>
    </w:p>
    <w:p>
      <w:pPr>
        <w:pStyle w:val="25"/>
        <w:numPr>
          <w:ilvl w:val="0"/>
          <w:numId w:val="7"/>
        </w:numPr>
        <w:ind w:firstLineChars="0"/>
      </w:pPr>
      <w:r>
        <w:rPr>
          <w:rFonts w:hint="eastAsia"/>
        </w:rPr>
        <w:t>吊装设备额定载荷应大于负载，正常使用条件下不应发生明显形变或失效。</w:t>
      </w:r>
    </w:p>
    <w:p>
      <w:pPr>
        <w:pStyle w:val="25"/>
        <w:numPr>
          <w:ilvl w:val="0"/>
          <w:numId w:val="7"/>
        </w:numPr>
        <w:ind w:firstLineChars="0"/>
      </w:pPr>
      <w:r>
        <w:rPr>
          <w:rFonts w:hint="eastAsia"/>
        </w:rPr>
        <w:t>吊装设备应具备防摇及防止坠落的设计。</w:t>
      </w:r>
    </w:p>
    <w:p>
      <w:pPr>
        <w:pStyle w:val="25"/>
        <w:numPr>
          <w:ilvl w:val="0"/>
          <w:numId w:val="7"/>
        </w:numPr>
        <w:ind w:firstLineChars="0"/>
      </w:pPr>
      <w:r>
        <w:rPr>
          <w:rFonts w:hint="eastAsia"/>
        </w:rPr>
        <w:t>吊装系统应具备电池到位检测功能，在插拔电池连接器前应对电池状态或接插件状态进行确认。</w:t>
      </w:r>
    </w:p>
    <w:p>
      <w:pPr>
        <w:pStyle w:val="25"/>
        <w:numPr>
          <w:ilvl w:val="0"/>
          <w:numId w:val="7"/>
        </w:numPr>
        <w:ind w:firstLineChars="0"/>
      </w:pPr>
      <w:r>
        <w:rPr>
          <w:rFonts w:hint="eastAsia"/>
        </w:rPr>
        <w:t>吊装设备应具有行程极限保护功能。</w:t>
      </w:r>
    </w:p>
    <w:p>
      <w:pPr>
        <w:pStyle w:val="25"/>
        <w:numPr>
          <w:ilvl w:val="0"/>
          <w:numId w:val="7"/>
        </w:numPr>
        <w:ind w:firstLineChars="0"/>
      </w:pPr>
      <w:r>
        <w:rPr>
          <w:rFonts w:hint="eastAsia"/>
        </w:rPr>
        <w:t>吊装系统各设备的各动作之间应能够安全互锁，防止误操作情况下电池坠落。</w:t>
      </w:r>
    </w:p>
    <w:p>
      <w:pPr>
        <w:pStyle w:val="25"/>
        <w:numPr>
          <w:ilvl w:val="0"/>
          <w:numId w:val="7"/>
        </w:numPr>
        <w:ind w:firstLineChars="0"/>
      </w:pPr>
      <w:r>
        <w:rPr>
          <w:rFonts w:hint="eastAsia"/>
        </w:rPr>
        <w:t>吊装设备应具备单步操作（半自动）转运电池的功能。</w:t>
      </w:r>
    </w:p>
    <w:p>
      <w:pPr>
        <w:pStyle w:val="31"/>
        <w:spacing w:before="163" w:after="163"/>
        <w:ind w:left="0"/>
      </w:pPr>
      <w:r>
        <w:rPr>
          <w:rFonts w:hint="eastAsia"/>
        </w:rPr>
        <w:t>电池箱存储托架</w:t>
      </w:r>
    </w:p>
    <w:p>
      <w:pPr>
        <w:pStyle w:val="25"/>
        <w:numPr>
          <w:ilvl w:val="0"/>
          <w:numId w:val="8"/>
        </w:numPr>
        <w:ind w:firstLineChars="0"/>
      </w:pPr>
      <w:r>
        <w:rPr>
          <w:rFonts w:hint="eastAsia"/>
        </w:rPr>
        <w:t>电池箱存储托架应具有电池箱粗导向及精导向双重导向功能。</w:t>
      </w:r>
    </w:p>
    <w:p>
      <w:pPr>
        <w:pStyle w:val="25"/>
        <w:numPr>
          <w:ilvl w:val="0"/>
          <w:numId w:val="8"/>
        </w:numPr>
        <w:ind w:firstLineChars="0"/>
      </w:pPr>
      <w:r>
        <w:rPr>
          <w:rFonts w:hint="eastAsia"/>
        </w:rPr>
        <w:t>电池箱存储托架应具有电池放置到位检测功能。</w:t>
      </w:r>
    </w:p>
    <w:p>
      <w:pPr>
        <w:pStyle w:val="25"/>
        <w:numPr>
          <w:ilvl w:val="0"/>
          <w:numId w:val="8"/>
        </w:numPr>
        <w:ind w:firstLineChars="0"/>
      </w:pPr>
      <w:r>
        <w:rPr>
          <w:rFonts w:hint="eastAsia"/>
        </w:rPr>
        <w:t>电池箱存储托架应具备防腐蚀、防锈功能。应具备足够的机械强度满足承载、抗振要求。</w:t>
      </w:r>
    </w:p>
    <w:p>
      <w:pPr>
        <w:pStyle w:val="25"/>
        <w:numPr>
          <w:ilvl w:val="0"/>
          <w:numId w:val="8"/>
        </w:numPr>
        <w:ind w:firstLineChars="0"/>
      </w:pPr>
      <w:r>
        <w:rPr>
          <w:rFonts w:hint="eastAsia"/>
        </w:rPr>
        <w:t>电池箱存储托架应具有接地点，并有明显标识。</w:t>
      </w:r>
    </w:p>
    <w:p>
      <w:pPr>
        <w:pStyle w:val="25"/>
        <w:numPr>
          <w:ilvl w:val="0"/>
          <w:numId w:val="8"/>
        </w:numPr>
        <w:ind w:firstLineChars="0"/>
      </w:pPr>
      <w:r>
        <w:rPr>
          <w:rFonts w:hint="eastAsia"/>
        </w:rPr>
        <w:t>电池箱存储托架应与电池箱相匹配，宜采用框架组合。</w:t>
      </w:r>
    </w:p>
    <w:p>
      <w:pPr>
        <w:pStyle w:val="25"/>
        <w:numPr>
          <w:ilvl w:val="0"/>
          <w:numId w:val="8"/>
        </w:numPr>
        <w:ind w:firstLineChars="0"/>
      </w:pPr>
      <w:r>
        <w:rPr>
          <w:rFonts w:hint="eastAsia"/>
        </w:rPr>
        <w:t>电池箱存储托架应具有给电池充放电的接插件安装位置。</w:t>
      </w:r>
    </w:p>
    <w:p>
      <w:pPr>
        <w:pStyle w:val="25"/>
        <w:numPr>
          <w:ilvl w:val="0"/>
          <w:numId w:val="8"/>
        </w:numPr>
        <w:ind w:firstLineChars="0"/>
      </w:pPr>
      <w:r>
        <w:rPr>
          <w:rFonts w:hint="eastAsia"/>
        </w:rPr>
        <w:t>电池箱存储托架应具有橡胶缓冲垫，防止电池箱与托架硬碰撞，造成电池箱损坏。</w:t>
      </w:r>
    </w:p>
    <w:p>
      <w:pPr>
        <w:pStyle w:val="25"/>
        <w:numPr>
          <w:ilvl w:val="0"/>
          <w:numId w:val="8"/>
        </w:numPr>
        <w:ind w:firstLineChars="0"/>
      </w:pPr>
      <w:r>
        <w:rPr>
          <w:rFonts w:hint="eastAsia"/>
        </w:rPr>
        <w:t>电池箱存储托架应具有高度调节功能，安装时通过高度调节，使电池箱存储托架保持水平状态。</w:t>
      </w:r>
    </w:p>
    <w:p>
      <w:pPr>
        <w:pStyle w:val="30"/>
        <w:spacing w:before="163" w:after="163"/>
        <w:ind w:left="0"/>
      </w:pPr>
      <w:r>
        <w:rPr>
          <w:rFonts w:hint="eastAsia"/>
        </w:rPr>
        <w:t>性能要求</w:t>
      </w:r>
    </w:p>
    <w:p>
      <w:pPr>
        <w:pStyle w:val="31"/>
        <w:spacing w:before="163" w:after="163"/>
      </w:pPr>
      <w:r>
        <w:rPr>
          <w:rFonts w:hint="eastAsia"/>
        </w:rPr>
        <w:t>停车平台尺寸</w:t>
      </w:r>
    </w:p>
    <w:p>
      <w:pPr>
        <w:pStyle w:val="25"/>
      </w:pPr>
      <w:r>
        <w:rPr>
          <w:rFonts w:hint="eastAsia"/>
        </w:rPr>
        <w:t>停车平台中，泊车位尺寸宽度应不小于3</w:t>
      </w:r>
      <w:r>
        <w:t>8</w:t>
      </w:r>
      <w:r>
        <w:rPr>
          <w:rFonts w:hint="eastAsia"/>
        </w:rPr>
        <w:t>00mm，高度应不小于4</w:t>
      </w:r>
      <w:r>
        <w:t>8</w:t>
      </w:r>
      <w:r>
        <w:rPr>
          <w:rFonts w:hint="eastAsia"/>
        </w:rPr>
        <w:t>00mm.</w:t>
      </w:r>
    </w:p>
    <w:p>
      <w:pPr>
        <w:pStyle w:val="31"/>
        <w:spacing w:before="163" w:after="163"/>
      </w:pPr>
      <w:r>
        <w:rPr>
          <w:rFonts w:hint="eastAsia"/>
        </w:rPr>
        <w:t>停车平台兼容性</w:t>
      </w:r>
    </w:p>
    <w:p>
      <w:pPr>
        <w:pStyle w:val="25"/>
      </w:pPr>
      <w:r>
        <w:rPr>
          <w:rFonts w:hint="eastAsia"/>
        </w:rPr>
        <w:t>停车平台适应不同重卡车型定位需求，适应的重卡尺寸范围：宽度2000mm</w:t>
      </w:r>
      <w:r>
        <w:rPr>
          <w:rFonts w:hint="eastAsia" w:ascii="微软雅黑" w:hAnsi="微软雅黑" w:eastAsia="微软雅黑" w:cs="微软雅黑"/>
        </w:rPr>
        <w:t>〜</w:t>
      </w:r>
      <w:r>
        <w:rPr>
          <w:rFonts w:hint="eastAsia"/>
        </w:rPr>
        <w:t>3000mm（符合车辆规范）；高度小于等于4000mm。当服务于非常规车辆时，宽度宜有5</w:t>
      </w:r>
      <w:r>
        <w:t>00</w:t>
      </w:r>
      <w:r>
        <w:rPr>
          <w:rFonts w:hint="eastAsia"/>
        </w:rPr>
        <w:t>mm以上余量，高度宜有5</w:t>
      </w:r>
      <w:r>
        <w:t>00</w:t>
      </w:r>
      <w:r>
        <w:rPr>
          <w:rFonts w:hint="eastAsia"/>
        </w:rPr>
        <w:t>mm余量。主驾驶侧要留出大于5</w:t>
      </w:r>
      <w:r>
        <w:t>00</w:t>
      </w:r>
      <w:r>
        <w:rPr>
          <w:rFonts w:hint="eastAsia"/>
        </w:rPr>
        <w:t>mm的空间，方便司机上下车。</w:t>
      </w:r>
    </w:p>
    <w:p>
      <w:pPr>
        <w:pStyle w:val="31"/>
        <w:spacing w:before="163" w:after="163"/>
      </w:pPr>
      <w:r>
        <w:rPr>
          <w:rFonts w:hint="eastAsia"/>
        </w:rPr>
        <w:t>电池箱升降行程</w:t>
      </w:r>
    </w:p>
    <w:p>
      <w:pPr>
        <w:pStyle w:val="25"/>
      </w:pPr>
      <w:r>
        <w:rPr>
          <w:rFonts w:hint="eastAsia"/>
        </w:rPr>
        <w:t>通过吊装电池方式进行换电的换电平台，吊装装置的升降高度应满足电池箱更换的要求，起升行程宜不大</w:t>
      </w:r>
      <w:r>
        <w:rPr>
          <w:rFonts w:hint="eastAsia"/>
          <w:color w:val="auto"/>
        </w:rPr>
        <w:t>于</w:t>
      </w:r>
      <w:r>
        <w:rPr>
          <w:color w:val="auto"/>
        </w:rPr>
        <w:t>26</w:t>
      </w:r>
      <w:r>
        <w:rPr>
          <w:rFonts w:hint="eastAsia"/>
          <w:color w:val="auto"/>
        </w:rPr>
        <w:t>00mm。</w:t>
      </w:r>
    </w:p>
    <w:p>
      <w:pPr>
        <w:pStyle w:val="31"/>
        <w:spacing w:before="163" w:after="163"/>
      </w:pPr>
      <w:r>
        <w:rPr>
          <w:rFonts w:hint="eastAsia"/>
        </w:rPr>
        <w:t>承载能力</w:t>
      </w:r>
    </w:p>
    <w:p>
      <w:pPr>
        <w:pStyle w:val="25"/>
      </w:pPr>
      <w:r>
        <w:rPr>
          <w:rFonts w:hint="eastAsia"/>
        </w:rPr>
        <w:t>停车平台（或地面）总体承载能力应不小于商用车</w:t>
      </w:r>
      <w:r>
        <w:t>49</w:t>
      </w:r>
      <w:r>
        <w:rPr>
          <w:rFonts w:hint="eastAsia"/>
        </w:rPr>
        <w:t>吨载荷需求，满足交通部发布的《超限运输车辆行驶公路管理规定》。对服务于内部道路或非道路车辆的，应符合车辆实际载重的需求。</w:t>
      </w:r>
    </w:p>
    <w:p>
      <w:pPr>
        <w:pStyle w:val="31"/>
        <w:spacing w:before="163" w:after="163"/>
      </w:pPr>
      <w:r>
        <w:rPr>
          <w:rFonts w:hint="eastAsia"/>
        </w:rPr>
        <w:t>电池箱更换设备定位精度</w:t>
      </w:r>
    </w:p>
    <w:p>
      <w:pPr>
        <w:pStyle w:val="25"/>
      </w:pPr>
      <w:r>
        <w:rPr>
          <w:rFonts w:hint="eastAsia"/>
        </w:rPr>
        <w:t>电池箱更换设备的水平与垂直重复定位精度应优于5mm。对于采用浮动定位系统的，可适当放宽设备的重复定位精度要求。</w:t>
      </w:r>
    </w:p>
    <w:p>
      <w:pPr>
        <w:pStyle w:val="31"/>
        <w:spacing w:before="163" w:after="163"/>
      </w:pPr>
      <w:r>
        <w:rPr>
          <w:rFonts w:hint="eastAsia"/>
        </w:rPr>
        <w:t>电池箱定位容错</w:t>
      </w:r>
    </w:p>
    <w:p>
      <w:pPr>
        <w:pStyle w:val="25"/>
      </w:pPr>
      <w:r>
        <w:rPr>
          <w:rFonts w:hint="eastAsia"/>
        </w:rPr>
        <w:t>电池箱更换设备装配/拆卸电池箱时，允许电池箱或车辆的位置偏差应不小于50mm。</w:t>
      </w:r>
    </w:p>
    <w:p>
      <w:pPr>
        <w:pStyle w:val="31"/>
        <w:spacing w:before="163" w:after="163"/>
      </w:pPr>
      <w:r>
        <w:rPr>
          <w:rFonts w:hint="eastAsia"/>
        </w:rPr>
        <w:t>识别范围</w:t>
      </w:r>
    </w:p>
    <w:p>
      <w:pPr>
        <w:pStyle w:val="25"/>
      </w:pPr>
      <w:r>
        <w:rPr>
          <w:rFonts w:hint="eastAsia"/>
        </w:rPr>
        <w:t>车辆识别单元识别距离应不小于2m。</w:t>
      </w:r>
    </w:p>
    <w:p>
      <w:pPr>
        <w:pStyle w:val="31"/>
        <w:spacing w:before="163" w:after="163"/>
      </w:pPr>
      <w:r>
        <w:rPr>
          <w:rFonts w:hint="eastAsia"/>
        </w:rPr>
        <w:t>动态识别</w:t>
      </w:r>
    </w:p>
    <w:p>
      <w:pPr>
        <w:pStyle w:val="25"/>
      </w:pPr>
      <w:r>
        <w:rPr>
          <w:rFonts w:hint="eastAsia"/>
        </w:rPr>
        <w:t>车辆识别单元应能够识别以0km/h~10km/h速度范围内通过识别区域的车辆信息。</w:t>
      </w:r>
    </w:p>
    <w:p>
      <w:pPr>
        <w:pStyle w:val="31"/>
        <w:spacing w:before="163" w:after="163"/>
      </w:pPr>
      <w:r>
        <w:rPr>
          <w:rFonts w:hint="eastAsia"/>
        </w:rPr>
        <w:t>识别正确率</w:t>
      </w:r>
    </w:p>
    <w:p>
      <w:pPr>
        <w:pStyle w:val="25"/>
      </w:pPr>
      <w:r>
        <w:rPr>
          <w:rFonts w:hint="eastAsia"/>
        </w:rPr>
        <w:t>车辆身份信息识别正确率应不小于97%。</w:t>
      </w:r>
    </w:p>
    <w:p>
      <w:pPr>
        <w:pStyle w:val="31"/>
        <w:spacing w:before="163" w:after="163"/>
      </w:pPr>
      <w:r>
        <w:rPr>
          <w:rFonts w:hint="eastAsia"/>
        </w:rPr>
        <w:t>信息捕获率</w:t>
      </w:r>
    </w:p>
    <w:p>
      <w:pPr>
        <w:pStyle w:val="25"/>
      </w:pPr>
      <w:r>
        <w:rPr>
          <w:rFonts w:hint="eastAsia"/>
        </w:rPr>
        <w:t>车辆身份信息捕获率应不小于95%。</w:t>
      </w:r>
    </w:p>
    <w:p>
      <w:pPr>
        <w:pStyle w:val="25"/>
      </w:pPr>
    </w:p>
    <w:p>
      <w:pPr>
        <w:pStyle w:val="31"/>
        <w:spacing w:before="163" w:after="163"/>
      </w:pPr>
      <w:r>
        <w:rPr>
          <w:rFonts w:hint="eastAsia"/>
        </w:rPr>
        <w:t>噪声限值</w:t>
      </w:r>
    </w:p>
    <w:p>
      <w:pPr>
        <w:pStyle w:val="25"/>
      </w:pPr>
      <w:r>
        <w:rPr>
          <w:rFonts w:hint="eastAsia"/>
        </w:rPr>
        <w:t>车辆识别系统工作时噪声应不大于65dB。</w:t>
      </w:r>
    </w:p>
    <w:p>
      <w:pPr>
        <w:pStyle w:val="31"/>
        <w:spacing w:before="163" w:after="163"/>
        <w:rPr>
          <w:color w:val="auto"/>
        </w:rPr>
      </w:pPr>
      <w:r>
        <w:rPr>
          <w:rFonts w:hint="eastAsia"/>
          <w:color w:val="auto"/>
        </w:rPr>
        <w:t>识别精度</w:t>
      </w:r>
    </w:p>
    <w:p>
      <w:pPr>
        <w:pStyle w:val="25"/>
        <w:rPr>
          <w:color w:val="auto"/>
        </w:rPr>
      </w:pPr>
      <w:r>
        <w:rPr>
          <w:rFonts w:hint="eastAsia"/>
          <w:color w:val="auto"/>
        </w:rPr>
        <w:t>X轴识别精度：±6mm</w:t>
      </w:r>
    </w:p>
    <w:p>
      <w:pPr>
        <w:pStyle w:val="25"/>
        <w:rPr>
          <w:color w:val="auto"/>
        </w:rPr>
      </w:pPr>
      <w:r>
        <w:rPr>
          <w:rFonts w:hint="eastAsia"/>
          <w:color w:val="auto"/>
        </w:rPr>
        <w:t>Y轴识别精度：±6mm</w:t>
      </w:r>
    </w:p>
    <w:p>
      <w:pPr>
        <w:pStyle w:val="25"/>
        <w:rPr>
          <w:color w:val="auto"/>
        </w:rPr>
      </w:pPr>
      <w:r>
        <w:rPr>
          <w:rFonts w:hint="eastAsia"/>
          <w:color w:val="auto"/>
        </w:rPr>
        <w:t>Z轴识别精度：±6mm</w:t>
      </w:r>
    </w:p>
    <w:p>
      <w:pPr>
        <w:pStyle w:val="25"/>
        <w:rPr>
          <w:color w:val="auto"/>
        </w:rPr>
      </w:pPr>
      <w:r>
        <w:rPr>
          <w:rFonts w:hint="eastAsia"/>
          <w:color w:val="auto"/>
        </w:rPr>
        <w:t>X轴向角度偏移识别精度：小于3°。</w:t>
      </w:r>
    </w:p>
    <w:p>
      <w:pPr>
        <w:pStyle w:val="31"/>
        <w:spacing w:before="163" w:after="163"/>
      </w:pPr>
      <w:r>
        <w:rPr>
          <w:rFonts w:hint="eastAsia"/>
        </w:rPr>
        <w:t>充电设备</w:t>
      </w:r>
    </w:p>
    <w:p>
      <w:pPr>
        <w:pStyle w:val="25"/>
        <w:numPr>
          <w:ilvl w:val="0"/>
          <w:numId w:val="9"/>
        </w:numPr>
        <w:ind w:firstLineChars="0"/>
      </w:pPr>
      <w:r>
        <w:rPr>
          <w:rFonts w:hint="eastAsia"/>
        </w:rPr>
        <w:t>充电互操作测试参考GB/T 34657.1的规定。</w:t>
      </w:r>
    </w:p>
    <w:p>
      <w:pPr>
        <w:pStyle w:val="25"/>
        <w:numPr>
          <w:ilvl w:val="0"/>
          <w:numId w:val="9"/>
        </w:numPr>
        <w:ind w:firstLineChars="0"/>
      </w:pPr>
      <w:r>
        <w:rPr>
          <w:rFonts w:hint="eastAsia"/>
        </w:rPr>
        <w:t>在充电前应进行绝缘检测，在充电过程中，应能显示待机状态、充电状态、故障或告警状态等，并具备短路保护、过流保护、过热保护、过充保护功能。</w:t>
      </w:r>
    </w:p>
    <w:p>
      <w:pPr>
        <w:pStyle w:val="25"/>
        <w:numPr>
          <w:ilvl w:val="0"/>
          <w:numId w:val="9"/>
        </w:numPr>
        <w:ind w:firstLineChars="0"/>
      </w:pPr>
      <w:r>
        <w:rPr>
          <w:rFonts w:hint="eastAsia"/>
        </w:rPr>
        <w:t>充电设备告警、充电开始/结束时间等均应有事件记录，同时具备数据储存功能，应能保存至少20次充电过程曲线（每一路均需要），事件记录和曲线具有掉电保持功能。具备故障前后30秒数据记录及上传的功能。</w:t>
      </w:r>
    </w:p>
    <w:p>
      <w:pPr>
        <w:pStyle w:val="25"/>
        <w:numPr>
          <w:ilvl w:val="0"/>
          <w:numId w:val="9"/>
        </w:numPr>
        <w:ind w:firstLineChars="0"/>
      </w:pPr>
      <w:r>
        <w:rPr>
          <w:rFonts w:hint="eastAsia"/>
        </w:rPr>
        <w:t>充电设备应接入上级监控系统，在充电过程中，充电设备应能随时响应上级监控系统数据召唤和远程控制。</w:t>
      </w:r>
    </w:p>
    <w:p>
      <w:pPr>
        <w:pStyle w:val="25"/>
        <w:numPr>
          <w:ilvl w:val="0"/>
          <w:numId w:val="9"/>
        </w:numPr>
        <w:ind w:firstLineChars="0"/>
      </w:pPr>
      <w:r>
        <w:rPr>
          <w:rFonts w:hint="eastAsia"/>
        </w:rPr>
        <w:t>充电设备应具备与外部通信的相关接口。</w:t>
      </w:r>
    </w:p>
    <w:p>
      <w:pPr>
        <w:pStyle w:val="25"/>
        <w:numPr>
          <w:ilvl w:val="0"/>
          <w:numId w:val="9"/>
        </w:numPr>
        <w:ind w:firstLineChars="0"/>
      </w:pPr>
      <w:r>
        <w:rPr>
          <w:rFonts w:hint="eastAsia"/>
        </w:rPr>
        <w:t>充电设备软件应具备远程升级功能。</w:t>
      </w:r>
    </w:p>
    <w:p>
      <w:pPr>
        <w:pStyle w:val="25"/>
        <w:numPr>
          <w:ilvl w:val="0"/>
          <w:numId w:val="9"/>
        </w:numPr>
        <w:ind w:firstLineChars="0"/>
      </w:pPr>
      <w:r>
        <w:rPr>
          <w:rFonts w:hint="eastAsia"/>
        </w:rPr>
        <w:t>充电设备应具备直流输出计量功能，直流计量回路分流器精度等级不应低于0.2级，表计精度等级不应低于1.0级，并具备便于计量检定的接口。</w:t>
      </w:r>
    </w:p>
    <w:p>
      <w:pPr>
        <w:pStyle w:val="31"/>
        <w:spacing w:before="163" w:after="163"/>
      </w:pPr>
      <w:r>
        <w:rPr>
          <w:rFonts w:hint="eastAsia"/>
        </w:rPr>
        <w:t>吊装设备</w:t>
      </w:r>
    </w:p>
    <w:p>
      <w:pPr>
        <w:pStyle w:val="25"/>
        <w:numPr>
          <w:ilvl w:val="0"/>
          <w:numId w:val="10"/>
        </w:numPr>
        <w:ind w:firstLineChars="0"/>
      </w:pPr>
      <w:r>
        <w:rPr>
          <w:rFonts w:hint="eastAsia"/>
        </w:rPr>
        <w:t>正常运行时，噪声声压级不应大于80dB(A)，噪声测试按照国家相关标准执行。</w:t>
      </w:r>
    </w:p>
    <w:p>
      <w:pPr>
        <w:pStyle w:val="25"/>
        <w:numPr>
          <w:ilvl w:val="0"/>
          <w:numId w:val="10"/>
        </w:numPr>
        <w:ind w:firstLineChars="0"/>
      </w:pPr>
      <w:r>
        <w:rPr>
          <w:rFonts w:hint="eastAsia"/>
        </w:rPr>
        <w:t>吊装设备的安全防护应满足JB 7233的规定。</w:t>
      </w:r>
    </w:p>
    <w:p>
      <w:pPr>
        <w:pStyle w:val="25"/>
        <w:numPr>
          <w:ilvl w:val="0"/>
          <w:numId w:val="10"/>
        </w:numPr>
        <w:ind w:firstLineChars="0"/>
      </w:pPr>
      <w:r>
        <w:rPr>
          <w:rFonts w:hint="eastAsia"/>
        </w:rPr>
        <w:t>吊装设备应有清晰醒目的操纵、润滑等安全警示标志，安全标志应符合GB 2894的规定。</w:t>
      </w:r>
    </w:p>
    <w:p>
      <w:pPr>
        <w:pStyle w:val="31"/>
        <w:spacing w:before="163" w:after="163"/>
      </w:pPr>
      <w:r>
        <w:rPr>
          <w:rFonts w:hint="eastAsia"/>
        </w:rPr>
        <w:t>电池箱存储托架</w:t>
      </w:r>
    </w:p>
    <w:p>
      <w:pPr>
        <w:pStyle w:val="25"/>
        <w:numPr>
          <w:ilvl w:val="0"/>
          <w:numId w:val="11"/>
        </w:numPr>
        <w:ind w:firstLineChars="0"/>
      </w:pPr>
      <w:r>
        <w:rPr>
          <w:rFonts w:hint="eastAsia"/>
        </w:rPr>
        <w:t>电池箱存放周转架宜具有烟雾报警装置。</w:t>
      </w:r>
    </w:p>
    <w:p>
      <w:pPr>
        <w:pStyle w:val="25"/>
        <w:numPr>
          <w:ilvl w:val="0"/>
          <w:numId w:val="11"/>
        </w:numPr>
        <w:ind w:firstLineChars="0"/>
      </w:pPr>
      <w:r>
        <w:rPr>
          <w:rFonts w:hint="eastAsia"/>
        </w:rPr>
        <w:t>电池箱存放周转架应与带电部件可靠绝缘。</w:t>
      </w:r>
    </w:p>
    <w:p>
      <w:pPr>
        <w:pStyle w:val="30"/>
        <w:spacing w:before="163" w:after="163"/>
        <w:ind w:left="0"/>
      </w:pPr>
      <w:r>
        <w:rPr>
          <w:rFonts w:hint="eastAsia"/>
        </w:rPr>
        <w:t>安全性能</w:t>
      </w:r>
    </w:p>
    <w:p>
      <w:pPr>
        <w:pStyle w:val="31"/>
        <w:spacing w:before="163" w:after="163"/>
      </w:pPr>
      <w:r>
        <w:rPr>
          <w:rFonts w:hint="eastAsia"/>
        </w:rPr>
        <w:t>电源适应性</w:t>
      </w:r>
    </w:p>
    <w:p>
      <w:pPr>
        <w:pStyle w:val="25"/>
      </w:pPr>
      <w:r>
        <w:rPr>
          <w:rFonts w:hint="eastAsia"/>
        </w:rPr>
        <w:t>电源：AC380V</w:t>
      </w:r>
      <w:r>
        <w:t xml:space="preserve"> </w:t>
      </w:r>
      <w:r>
        <w:rPr>
          <w:rFonts w:hint="eastAsia"/>
        </w:rPr>
        <w:t>± 15%</w:t>
      </w:r>
      <w:r>
        <w:t xml:space="preserve"> </w:t>
      </w:r>
      <w:r>
        <w:rPr>
          <w:rFonts w:hint="eastAsia"/>
        </w:rPr>
        <w:t>或 AC</w:t>
      </w:r>
      <w:r>
        <w:t>220</w:t>
      </w:r>
      <w:r>
        <w:rPr>
          <w:rFonts w:hint="eastAsia"/>
        </w:rPr>
        <w:t>V</w:t>
      </w:r>
      <w:r>
        <w:t xml:space="preserve"> </w:t>
      </w:r>
      <w:r>
        <w:rPr>
          <w:rFonts w:hint="eastAsia"/>
        </w:rPr>
        <w:t>± 15%。</w:t>
      </w:r>
    </w:p>
    <w:p>
      <w:pPr>
        <w:pStyle w:val="25"/>
      </w:pPr>
      <w:r>
        <w:rPr>
          <w:rFonts w:hint="eastAsia"/>
        </w:rPr>
        <w:t>频率：50Hz±1Hz。</w:t>
      </w:r>
    </w:p>
    <w:p>
      <w:pPr>
        <w:pStyle w:val="31"/>
        <w:spacing w:before="163" w:after="163"/>
      </w:pPr>
      <w:r>
        <w:rPr>
          <w:rFonts w:hint="eastAsia"/>
        </w:rPr>
        <w:t>接地性能</w:t>
      </w:r>
    </w:p>
    <w:p>
      <w:pPr>
        <w:pStyle w:val="25"/>
      </w:pPr>
      <w:r>
        <w:rPr>
          <w:rFonts w:hint="eastAsia"/>
        </w:rPr>
        <w:t>换电平台接地要求应符合GB/T</w:t>
      </w:r>
      <w:r>
        <w:t xml:space="preserve"> </w:t>
      </w:r>
      <w:r>
        <w:rPr>
          <w:rFonts w:hint="eastAsia"/>
        </w:rPr>
        <w:t>50065-2011中7.1.2、8.1、8.2所规定的低压系统接地要求。</w:t>
      </w:r>
    </w:p>
    <w:p>
      <w:pPr>
        <w:pStyle w:val="25"/>
      </w:pPr>
      <w:r>
        <w:rPr>
          <w:rFonts w:hint="eastAsia"/>
        </w:rPr>
        <w:t>所有被控对象需要接地的，必须安全可靠接地，接地形式可采用与集装箱共用接地的形式，设备接地电阻应小于4Ω，采用TN-S供电系统，零地线不得相互替代。</w:t>
      </w:r>
    </w:p>
    <w:p>
      <w:pPr>
        <w:pStyle w:val="31"/>
        <w:spacing w:before="163" w:after="163"/>
      </w:pPr>
      <w:r>
        <w:rPr>
          <w:rFonts w:hint="eastAsia"/>
        </w:rPr>
        <w:t>绝缘电阻</w:t>
      </w:r>
    </w:p>
    <w:p>
      <w:pPr>
        <w:pStyle w:val="25"/>
      </w:pPr>
      <w:r>
        <w:rPr>
          <w:rFonts w:hint="eastAsia"/>
        </w:rPr>
        <w:t>绝缘电阻的要求应符合GB/T</w:t>
      </w:r>
      <w:r>
        <w:t xml:space="preserve"> </w:t>
      </w:r>
      <w:r>
        <w:rPr>
          <w:rFonts w:hint="eastAsia"/>
        </w:rPr>
        <w:t>16935.1-2008中4.2.3、4.2.4、4.2.5所规定的峰值电压以及过电压条件下绝缘配合的要求。</w:t>
      </w:r>
    </w:p>
    <w:p>
      <w:pPr>
        <w:pStyle w:val="31"/>
        <w:spacing w:before="163" w:after="163"/>
      </w:pPr>
      <w:r>
        <w:rPr>
          <w:rFonts w:hint="eastAsia"/>
        </w:rPr>
        <w:t>介电强度</w:t>
      </w:r>
    </w:p>
    <w:p>
      <w:pPr>
        <w:pStyle w:val="25"/>
      </w:pPr>
      <w:r>
        <w:rPr>
          <w:rFonts w:hint="eastAsia"/>
        </w:rPr>
        <w:t>介电强度应符合GB/T</w:t>
      </w:r>
      <w:r>
        <w:t xml:space="preserve"> </w:t>
      </w:r>
      <w:r>
        <w:rPr>
          <w:rFonts w:hint="eastAsia"/>
        </w:rPr>
        <w:t>18487.1-2015中11.5所规定的冲击耐压的要求。</w:t>
      </w:r>
    </w:p>
    <w:p>
      <w:pPr>
        <w:pStyle w:val="31"/>
        <w:spacing w:before="163" w:after="163"/>
      </w:pPr>
      <w:r>
        <w:rPr>
          <w:rFonts w:hint="eastAsia"/>
        </w:rPr>
        <w:t>接触电流</w:t>
      </w:r>
    </w:p>
    <w:p>
      <w:pPr>
        <w:pStyle w:val="25"/>
      </w:pPr>
      <w:r>
        <w:rPr>
          <w:rFonts w:hint="eastAsia"/>
        </w:rPr>
        <w:t>接触电流应符合GB</w:t>
      </w:r>
      <w:r>
        <w:t xml:space="preserve"> </w:t>
      </w:r>
      <w:r>
        <w:rPr>
          <w:rFonts w:hint="eastAsia"/>
        </w:rPr>
        <w:t>16796-2009中5.4.1所规定的可触及部分防电击条件的要求。</w:t>
      </w:r>
    </w:p>
    <w:p>
      <w:pPr>
        <w:pStyle w:val="31"/>
        <w:spacing w:before="163" w:after="163"/>
      </w:pPr>
      <w:r>
        <w:rPr>
          <w:rFonts w:hint="eastAsia"/>
        </w:rPr>
        <w:t>外壳防护</w:t>
      </w:r>
    </w:p>
    <w:p>
      <w:pPr>
        <w:pStyle w:val="25"/>
      </w:pPr>
      <w:r>
        <w:rPr>
          <w:rFonts w:hint="eastAsia"/>
        </w:rPr>
        <w:t>整站室内设备防护等级不低于IP32，室外设备防护等级不低于IP54。</w:t>
      </w:r>
    </w:p>
    <w:p>
      <w:pPr>
        <w:pStyle w:val="25"/>
      </w:pPr>
      <w:r>
        <w:rPr>
          <w:rFonts w:hint="eastAsia"/>
        </w:rPr>
        <w:t>车辆识别系统中户外安装的部件应采取密封措施，防止雨雪等其他水和灰尘等进入内部产生有害影响，外壳的防护等级为IP50。</w:t>
      </w:r>
    </w:p>
    <w:p>
      <w:pPr>
        <w:pStyle w:val="31"/>
        <w:spacing w:before="163" w:after="163"/>
      </w:pPr>
      <w:r>
        <w:rPr>
          <w:rFonts w:hint="eastAsia"/>
        </w:rPr>
        <w:t>阻燃/耐火等级</w:t>
      </w:r>
    </w:p>
    <w:p>
      <w:pPr>
        <w:pStyle w:val="25"/>
      </w:pPr>
      <w:r>
        <w:rPr>
          <w:rFonts w:hint="eastAsia"/>
        </w:rPr>
        <w:t>阻燃/耐火要求应符合GB</w:t>
      </w:r>
      <w:r>
        <w:t xml:space="preserve"> </w:t>
      </w:r>
      <w:r>
        <w:rPr>
          <w:rFonts w:hint="eastAsia"/>
        </w:rPr>
        <w:t>50229-2019中3.0.1、3.0.2所规定的耐火等级的要求和GB</w:t>
      </w:r>
      <w:r>
        <w:t xml:space="preserve"> </w:t>
      </w:r>
      <w:r>
        <w:rPr>
          <w:rFonts w:hint="eastAsia"/>
        </w:rPr>
        <w:t>50016-2014中10.1.10所规定的消防电气系统的要求。</w:t>
      </w:r>
    </w:p>
    <w:p>
      <w:pPr>
        <w:pStyle w:val="31"/>
        <w:spacing w:before="163" w:after="163"/>
      </w:pPr>
      <w:r>
        <w:rPr>
          <w:rFonts w:hint="eastAsia"/>
        </w:rPr>
        <w:t>电磁兼容性能</w:t>
      </w:r>
    </w:p>
    <w:p>
      <w:pPr>
        <w:pStyle w:val="25"/>
      </w:pPr>
      <w:r>
        <w:rPr>
          <w:rFonts w:hint="eastAsia"/>
        </w:rPr>
        <w:t>换电系统的电磁兼容性能应满足GB/T 17626和GB/T 9254的要求，具体如下：</w:t>
      </w:r>
    </w:p>
    <w:p>
      <w:pPr>
        <w:pStyle w:val="25"/>
      </w:pPr>
      <w:r>
        <w:rPr>
          <w:rFonts w:hint="eastAsia"/>
        </w:rPr>
        <w:t>a)静电放电抗扰度按GB/T 17626.2要求进行；</w:t>
      </w:r>
    </w:p>
    <w:p>
      <w:pPr>
        <w:pStyle w:val="25"/>
      </w:pPr>
      <w:r>
        <w:rPr>
          <w:rFonts w:hint="eastAsia"/>
        </w:rPr>
        <w:t>b)射频磁场抗扰度按GB/T 17626.3要求进行；</w:t>
      </w:r>
    </w:p>
    <w:p>
      <w:pPr>
        <w:pStyle w:val="25"/>
      </w:pPr>
      <w:r>
        <w:rPr>
          <w:rFonts w:hint="eastAsia"/>
        </w:rPr>
        <w:t>c)浪涌抗扰度按GB/T 17626.5要求进行；</w:t>
      </w:r>
    </w:p>
    <w:p>
      <w:pPr>
        <w:pStyle w:val="25"/>
      </w:pPr>
      <w:r>
        <w:rPr>
          <w:rFonts w:hint="eastAsia"/>
        </w:rPr>
        <w:t>d)辐射射频骚扰按GB 9254—2008要求进行；</w:t>
      </w:r>
    </w:p>
    <w:p>
      <w:pPr>
        <w:pStyle w:val="31"/>
        <w:spacing w:before="163" w:after="163"/>
      </w:pPr>
      <w:r>
        <w:rPr>
          <w:rFonts w:hint="eastAsia"/>
        </w:rPr>
        <w:t>充电设备</w:t>
      </w:r>
    </w:p>
    <w:p>
      <w:pPr>
        <w:pStyle w:val="48"/>
        <w:widowControl/>
        <w:numPr>
          <w:ilvl w:val="1"/>
          <w:numId w:val="5"/>
        </w:numPr>
        <w:ind w:firstLineChars="0"/>
        <w:outlineLvl w:val="3"/>
        <w:rPr>
          <w:rFonts w:ascii="黑体" w:hAnsi="Times New Roman" w:cs="Times New Roman"/>
          <w:vanish/>
          <w:kern w:val="0"/>
          <w:szCs w:val="21"/>
        </w:rPr>
      </w:pPr>
    </w:p>
    <w:p>
      <w:pPr>
        <w:pStyle w:val="48"/>
        <w:widowControl/>
        <w:numPr>
          <w:ilvl w:val="1"/>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8"/>
        <w:widowControl/>
        <w:numPr>
          <w:ilvl w:val="2"/>
          <w:numId w:val="5"/>
        </w:numPr>
        <w:ind w:firstLineChars="0"/>
        <w:outlineLvl w:val="3"/>
        <w:rPr>
          <w:rFonts w:ascii="黑体" w:hAnsi="Times New Roman" w:cs="Times New Roman"/>
          <w:vanish/>
          <w:kern w:val="0"/>
          <w:szCs w:val="21"/>
        </w:rPr>
      </w:pPr>
    </w:p>
    <w:p>
      <w:pPr>
        <w:pStyle w:val="47"/>
        <w:numPr>
          <w:ilvl w:val="3"/>
          <w:numId w:val="5"/>
        </w:numPr>
      </w:pPr>
      <w:r>
        <w:rPr>
          <w:rFonts w:hint="eastAsia"/>
        </w:rPr>
        <w:t>机械安全要求</w:t>
      </w:r>
    </w:p>
    <w:p>
      <w:pPr>
        <w:pStyle w:val="25"/>
        <w:numPr>
          <w:ilvl w:val="0"/>
          <w:numId w:val="12"/>
        </w:numPr>
        <w:ind w:firstLineChars="0"/>
      </w:pPr>
      <w:r>
        <w:rPr>
          <w:rFonts w:hint="eastAsia"/>
        </w:rPr>
        <w:t>螺栓、螺母等紧固件及各零件应可靠固定，防止松动，不应因振动而脱落。</w:t>
      </w:r>
    </w:p>
    <w:p>
      <w:pPr>
        <w:pStyle w:val="25"/>
        <w:numPr>
          <w:ilvl w:val="0"/>
          <w:numId w:val="12"/>
        </w:numPr>
        <w:ind w:firstLineChars="0"/>
      </w:pPr>
      <w:r>
        <w:rPr>
          <w:rFonts w:hint="eastAsia"/>
        </w:rPr>
        <w:t>对进入工作区人员存在风险的区域，应在工作区外设置安全警告提示和必要的防护措施。</w:t>
      </w:r>
    </w:p>
    <w:p>
      <w:pPr>
        <w:pStyle w:val="47"/>
        <w:numPr>
          <w:ilvl w:val="3"/>
          <w:numId w:val="5"/>
        </w:numPr>
      </w:pPr>
      <w:r>
        <w:rPr>
          <w:rFonts w:hint="eastAsia"/>
        </w:rPr>
        <w:t>电气安全要求</w:t>
      </w:r>
    </w:p>
    <w:p>
      <w:pPr>
        <w:pStyle w:val="25"/>
        <w:numPr>
          <w:ilvl w:val="0"/>
          <w:numId w:val="13"/>
        </w:numPr>
        <w:ind w:firstLineChars="0"/>
      </w:pPr>
      <w:r>
        <w:rPr>
          <w:rFonts w:hint="eastAsia"/>
        </w:rPr>
        <w:t>充电设备的电路控制系统应符合GB 5226.1的要求。安全可靠，控制准确，各电器接口联接牢固并加以编号；操作按钮应灵活、指示灯显示应正常。</w:t>
      </w:r>
    </w:p>
    <w:p>
      <w:pPr>
        <w:pStyle w:val="25"/>
        <w:numPr>
          <w:ilvl w:val="0"/>
          <w:numId w:val="13"/>
        </w:numPr>
        <w:ind w:firstLineChars="0"/>
      </w:pPr>
      <w:r>
        <w:rPr>
          <w:rFonts w:hint="eastAsia"/>
        </w:rPr>
        <w:t>充电设备应有急停装置，按下急停应能切断设备功率变换模块交流输入电压与设备的直流输出。</w:t>
      </w:r>
    </w:p>
    <w:p>
      <w:pPr>
        <w:pStyle w:val="25"/>
        <w:numPr>
          <w:ilvl w:val="0"/>
          <w:numId w:val="13"/>
        </w:numPr>
        <w:ind w:firstLineChars="0"/>
      </w:pPr>
      <w:r>
        <w:rPr>
          <w:rFonts w:hint="eastAsia"/>
        </w:rPr>
        <w:t>所有外露导电部分都应按GB 5226.1-2008中8.2.1的要求连接到保护联结电路上。接地端子或接地触点与接地金属部件之间的连接，应具有低电阻值，其电阻值应不超过0.1Ω。</w:t>
      </w:r>
    </w:p>
    <w:p>
      <w:pPr>
        <w:pStyle w:val="25"/>
        <w:numPr>
          <w:ilvl w:val="0"/>
          <w:numId w:val="13"/>
        </w:numPr>
        <w:ind w:firstLineChars="0"/>
      </w:pPr>
      <w:r>
        <w:rPr>
          <w:rFonts w:hint="eastAsia"/>
        </w:rPr>
        <w:t>电气设备的所有电路导线与保护连接电路之间应按照GB/T 5290、GB/T 8554和GB/T 4793规定经受至少60S时间耐电压试验。</w:t>
      </w:r>
    </w:p>
    <w:p>
      <w:pPr>
        <w:pStyle w:val="25"/>
        <w:numPr>
          <w:ilvl w:val="0"/>
          <w:numId w:val="13"/>
        </w:numPr>
        <w:ind w:firstLineChars="0"/>
      </w:pPr>
      <w:r>
        <w:rPr>
          <w:rFonts w:hint="eastAsia"/>
        </w:rPr>
        <w:t>充电设备应具备门限连锁保护功能。</w:t>
      </w:r>
    </w:p>
    <w:p>
      <w:pPr>
        <w:pStyle w:val="31"/>
        <w:spacing w:before="163" w:after="163"/>
      </w:pPr>
      <w:r>
        <w:rPr>
          <w:rFonts w:hint="eastAsia"/>
        </w:rPr>
        <w:t>吊装设备</w:t>
      </w:r>
    </w:p>
    <w:p>
      <w:pPr>
        <w:pStyle w:val="48"/>
        <w:widowControl/>
        <w:numPr>
          <w:ilvl w:val="2"/>
          <w:numId w:val="5"/>
        </w:numPr>
        <w:ind w:firstLineChars="0"/>
        <w:outlineLvl w:val="3"/>
        <w:rPr>
          <w:rFonts w:ascii="黑体" w:hAnsi="Times New Roman" w:cs="Times New Roman"/>
          <w:vanish/>
          <w:kern w:val="0"/>
          <w:szCs w:val="21"/>
        </w:rPr>
      </w:pPr>
    </w:p>
    <w:p>
      <w:pPr>
        <w:pStyle w:val="47"/>
        <w:numPr>
          <w:ilvl w:val="3"/>
          <w:numId w:val="5"/>
        </w:numPr>
      </w:pPr>
      <w:r>
        <w:rPr>
          <w:rFonts w:hint="eastAsia"/>
        </w:rPr>
        <w:t>机械安全要求</w:t>
      </w:r>
    </w:p>
    <w:p>
      <w:pPr>
        <w:pStyle w:val="25"/>
        <w:numPr>
          <w:ilvl w:val="0"/>
          <w:numId w:val="14"/>
        </w:numPr>
        <w:ind w:firstLineChars="0"/>
      </w:pPr>
      <w:r>
        <w:rPr>
          <w:rFonts w:hint="eastAsia"/>
        </w:rPr>
        <w:t>换电站内电池箱更换设备应有电池箱固定的导向结构，确保在固定过程中不发生碰撞或连接未成功情况，电池箱更换设备应确保电池箱在传输过程中不会产生不必要的位移。</w:t>
      </w:r>
    </w:p>
    <w:p>
      <w:pPr>
        <w:pStyle w:val="25"/>
        <w:numPr>
          <w:ilvl w:val="0"/>
          <w:numId w:val="14"/>
        </w:numPr>
        <w:ind w:firstLineChars="0"/>
      </w:pPr>
      <w:r>
        <w:rPr>
          <w:rFonts w:hint="eastAsia"/>
        </w:rPr>
        <w:t>换电站内电池箱支撑结构要作用在电池箱上已注明的支撑结构点位置上，防止局部压强过大损害内部的电池。</w:t>
      </w:r>
    </w:p>
    <w:p>
      <w:pPr>
        <w:pStyle w:val="25"/>
        <w:numPr>
          <w:ilvl w:val="0"/>
          <w:numId w:val="14"/>
        </w:numPr>
        <w:ind w:firstLineChars="0"/>
      </w:pPr>
      <w:r>
        <w:rPr>
          <w:rFonts w:hint="eastAsia"/>
        </w:rPr>
        <w:t>应对换电站中的运动机构如升降机构、行走机构、旋转机构和传动机构等进行安全风险评估，并提出相应的防范措施，防止对车辆及人身构成直接或间接的安全威胁，如挤压、冲击等。</w:t>
      </w:r>
    </w:p>
    <w:p>
      <w:pPr>
        <w:pStyle w:val="47"/>
        <w:numPr>
          <w:ilvl w:val="3"/>
          <w:numId w:val="5"/>
        </w:numPr>
      </w:pPr>
      <w:r>
        <w:rPr>
          <w:rFonts w:hint="eastAsia"/>
        </w:rPr>
        <w:t>电气安全要求</w:t>
      </w:r>
    </w:p>
    <w:p>
      <w:pPr>
        <w:pStyle w:val="25"/>
        <w:numPr>
          <w:ilvl w:val="0"/>
          <w:numId w:val="15"/>
        </w:numPr>
        <w:ind w:firstLineChars="0"/>
      </w:pPr>
      <w:r>
        <w:rPr>
          <w:rFonts w:hint="eastAsia"/>
        </w:rPr>
        <w:t>吊装设备的电路控制系统应符合GB 5226.1的要求。安全可靠，控制准确，各电器接口连接牢固，宜在连接点处须加装温度传感器对连接质量进行实时监控，并加以编号；操作按钮应灵活、指示灯显示应正常，应有急停装置。</w:t>
      </w:r>
    </w:p>
    <w:p>
      <w:pPr>
        <w:pStyle w:val="25"/>
        <w:numPr>
          <w:ilvl w:val="0"/>
          <w:numId w:val="15"/>
        </w:numPr>
        <w:ind w:firstLineChars="0"/>
      </w:pPr>
      <w:r>
        <w:rPr>
          <w:rFonts w:hint="eastAsia"/>
        </w:rPr>
        <w:t>所有外露导电部分都应按GB 5226.1-2008中8.2.1的要求连接到保护连接电路上。接地端子或接地触点与接地金属部件之间的连接，应具有低电阻值，其电阻值应不超过0.1Ω。</w:t>
      </w:r>
    </w:p>
    <w:p>
      <w:pPr>
        <w:pStyle w:val="25"/>
        <w:numPr>
          <w:ilvl w:val="0"/>
          <w:numId w:val="15"/>
        </w:numPr>
        <w:ind w:firstLineChars="0"/>
      </w:pPr>
      <w:r>
        <w:rPr>
          <w:rFonts w:hint="eastAsia"/>
        </w:rPr>
        <w:t>电气设备的所有电路导线与保护连接电路之间应按照GB/T 5290、GB/T 8554和GB 4793的规定经受至少60S时间耐电压试验。</w:t>
      </w:r>
    </w:p>
    <w:p>
      <w:pPr>
        <w:pStyle w:val="31"/>
        <w:spacing w:before="163" w:after="163"/>
      </w:pPr>
      <w:r>
        <w:rPr>
          <w:rFonts w:hint="eastAsia"/>
        </w:rPr>
        <w:t>电池箱存储托架</w:t>
      </w:r>
    </w:p>
    <w:p>
      <w:pPr>
        <w:pStyle w:val="25"/>
        <w:numPr>
          <w:ilvl w:val="0"/>
          <w:numId w:val="16"/>
        </w:numPr>
        <w:ind w:firstLineChars="0"/>
      </w:pPr>
      <w:r>
        <w:rPr>
          <w:rFonts w:hint="eastAsia"/>
        </w:rPr>
        <w:t>电池箱存储托架动力线和信号线应隔离，通讯线应采用屏蔽、双绞等抗干扰措施。</w:t>
      </w:r>
    </w:p>
    <w:p>
      <w:pPr>
        <w:pStyle w:val="25"/>
        <w:numPr>
          <w:ilvl w:val="0"/>
          <w:numId w:val="16"/>
        </w:numPr>
        <w:ind w:firstLineChars="0"/>
      </w:pPr>
      <w:r>
        <w:rPr>
          <w:rFonts w:hint="eastAsia"/>
        </w:rPr>
        <w:t>电池箱存储托架金属外壳、金属穿线管和设备框架应采用接地线接地。</w:t>
      </w:r>
    </w:p>
    <w:p>
      <w:pPr>
        <w:pStyle w:val="25"/>
        <w:numPr>
          <w:ilvl w:val="0"/>
          <w:numId w:val="16"/>
        </w:numPr>
        <w:ind w:firstLineChars="0"/>
      </w:pPr>
      <w:r>
        <w:rPr>
          <w:rFonts w:hint="eastAsia"/>
        </w:rPr>
        <w:t>电池箱存储托架电池箱插座应符合GB/T 32879的规定。</w:t>
      </w:r>
    </w:p>
    <w:p>
      <w:pPr>
        <w:pStyle w:val="25"/>
        <w:numPr>
          <w:ilvl w:val="0"/>
          <w:numId w:val="16"/>
        </w:numPr>
        <w:ind w:firstLineChars="0"/>
      </w:pPr>
      <w:r>
        <w:rPr>
          <w:rFonts w:hint="eastAsia"/>
        </w:rPr>
        <w:t>电缆绝缘应符合GB 50217-2017中3.3的规定。</w:t>
      </w:r>
    </w:p>
    <w:p>
      <w:pPr>
        <w:pStyle w:val="25"/>
        <w:numPr>
          <w:ilvl w:val="0"/>
          <w:numId w:val="16"/>
        </w:numPr>
        <w:ind w:firstLineChars="0"/>
      </w:pPr>
      <w:r>
        <w:rPr>
          <w:rFonts w:hint="eastAsia"/>
        </w:rPr>
        <w:tab/>
      </w:r>
      <w:r>
        <w:rPr>
          <w:rFonts w:hint="eastAsia"/>
        </w:rPr>
        <w:t>电池箱存储托架线缆阻燃和耐火性能应符合GB/T 19666的规定，且应具有耐温、防水、耐腐蚀、抗氧化等特性。</w:t>
      </w:r>
    </w:p>
    <w:p>
      <w:pPr>
        <w:pStyle w:val="30"/>
        <w:spacing w:before="163" w:after="163"/>
        <w:ind w:left="0"/>
      </w:pPr>
      <w:r>
        <w:rPr>
          <w:rFonts w:hint="eastAsia"/>
        </w:rPr>
        <w:t>环境适应性能</w:t>
      </w:r>
    </w:p>
    <w:p>
      <w:pPr>
        <w:pStyle w:val="31"/>
        <w:spacing w:before="163" w:after="163"/>
      </w:pPr>
      <w:r>
        <w:rPr>
          <w:rFonts w:hint="eastAsia"/>
        </w:rPr>
        <w:t>耐温度交变性能</w:t>
      </w:r>
    </w:p>
    <w:p>
      <w:pPr>
        <w:pStyle w:val="25"/>
      </w:pPr>
      <w:r>
        <w:rPr>
          <w:rFonts w:hint="eastAsia"/>
        </w:rPr>
        <w:t>车辆识别系统应能耐受温度由-</w:t>
      </w:r>
      <w:r>
        <w:t>40</w:t>
      </w:r>
      <w:r>
        <w:rPr>
          <w:rFonts w:hint="eastAsia"/>
        </w:rPr>
        <w:t>℃~5</w:t>
      </w:r>
      <w:r>
        <w:t>5</w:t>
      </w:r>
      <w:r>
        <w:rPr>
          <w:rFonts w:hint="eastAsia"/>
        </w:rPr>
        <w:t>℃变化的影响，在温度循环变化后，系统应启动正常，逻辑正确。</w:t>
      </w:r>
    </w:p>
    <w:p>
      <w:pPr>
        <w:pStyle w:val="31"/>
        <w:spacing w:before="163" w:after="163"/>
      </w:pPr>
      <w:r>
        <w:rPr>
          <w:rFonts w:hint="eastAsia"/>
        </w:rPr>
        <w:t>耐湿热性能</w:t>
      </w:r>
    </w:p>
    <w:p>
      <w:pPr>
        <w:pStyle w:val="25"/>
      </w:pPr>
      <w:r>
        <w:rPr>
          <w:rFonts w:hint="eastAsia"/>
        </w:rPr>
        <w:t>电池箱更换设备在温度+40</w:t>
      </w:r>
      <w:r>
        <w:rPr>
          <w:rFonts w:hint="eastAsia" w:hAnsi="宋体"/>
        </w:rPr>
        <w:t>℃</w:t>
      </w:r>
      <w:r>
        <w:rPr>
          <w:rFonts w:hint="eastAsia"/>
        </w:rPr>
        <w:t>、相对湿度98%的条件下，应启动正常，逻辑正确。</w:t>
      </w:r>
    </w:p>
    <w:p>
      <w:pPr>
        <w:pStyle w:val="31"/>
        <w:spacing w:before="163" w:after="163"/>
      </w:pPr>
      <w:r>
        <w:rPr>
          <w:rFonts w:hint="eastAsia"/>
        </w:rPr>
        <w:t>耐盐雾腐蚀性能</w:t>
      </w:r>
    </w:p>
    <w:p>
      <w:pPr>
        <w:pStyle w:val="25"/>
      </w:pPr>
      <w:r>
        <w:rPr>
          <w:rFonts w:hint="eastAsia"/>
        </w:rPr>
        <w:t>停车平台结构应采用耐腐蚀材料或做防腐蚀处理，在换电平台的使用周期内不应有腐蚀引起的结构或功能失效。</w:t>
      </w:r>
    </w:p>
    <w:p>
      <w:pPr>
        <w:pStyle w:val="29"/>
        <w:spacing w:before="326" w:after="326"/>
      </w:pPr>
      <w:bookmarkStart w:id="21" w:name="_Toc101795880"/>
      <w:r>
        <w:rPr>
          <w:rFonts w:hint="eastAsia"/>
        </w:rPr>
        <w:t>试验方法</w:t>
      </w:r>
      <w:bookmarkEnd w:id="21"/>
    </w:p>
    <w:p>
      <w:pPr>
        <w:pStyle w:val="30"/>
        <w:spacing w:before="163" w:after="163"/>
        <w:ind w:left="0"/>
      </w:pPr>
      <w:r>
        <w:rPr>
          <w:rFonts w:hint="eastAsia"/>
        </w:rPr>
        <w:t>环境要求</w:t>
      </w:r>
    </w:p>
    <w:p>
      <w:pPr>
        <w:pStyle w:val="25"/>
      </w:pPr>
      <w:r>
        <w:rPr>
          <w:rFonts w:hint="eastAsia"/>
        </w:rPr>
        <w:t>在本标准中，除特殊要求外，试验均在测量和试验用标准大气条件下进行，即：</w:t>
      </w:r>
    </w:p>
    <w:p>
      <w:pPr>
        <w:pStyle w:val="25"/>
      </w:pPr>
      <w:r>
        <w:t>1</w:t>
      </w:r>
      <w:r>
        <w:rPr>
          <w:rFonts w:hint="eastAsia"/>
        </w:rPr>
        <w:t>）环境温度：</w:t>
      </w:r>
      <w:r>
        <w:t>15</w:t>
      </w:r>
      <w:r>
        <w:rPr>
          <w:rFonts w:hint="eastAsia" w:ascii="微软雅黑" w:hAnsi="微软雅黑" w:eastAsia="微软雅黑" w:cs="微软雅黑"/>
        </w:rPr>
        <w:t>〜</w:t>
      </w:r>
      <w:r>
        <w:t>35</w:t>
      </w:r>
      <w:r>
        <w:rPr>
          <w:rFonts w:hint="eastAsia"/>
        </w:rPr>
        <w:t>℃</w:t>
      </w:r>
      <w:r>
        <w:t>;</w:t>
      </w:r>
    </w:p>
    <w:p>
      <w:pPr>
        <w:pStyle w:val="25"/>
      </w:pPr>
      <w:r>
        <w:t>2</w:t>
      </w:r>
      <w:r>
        <w:rPr>
          <w:rFonts w:hint="eastAsia"/>
        </w:rPr>
        <w:t>）环境湿度：</w:t>
      </w:r>
      <w:r>
        <w:t>45%</w:t>
      </w:r>
      <w:r>
        <w:rPr>
          <w:rFonts w:hint="eastAsia" w:ascii="微软雅黑" w:hAnsi="微软雅黑" w:eastAsia="微软雅黑" w:cs="微软雅黑"/>
        </w:rPr>
        <w:t>〜</w:t>
      </w:r>
      <w:r>
        <w:t>75%;</w:t>
      </w:r>
    </w:p>
    <w:p>
      <w:pPr>
        <w:pStyle w:val="25"/>
      </w:pPr>
      <w:r>
        <w:t>3</w:t>
      </w:r>
      <w:r>
        <w:rPr>
          <w:rFonts w:hint="eastAsia"/>
        </w:rPr>
        <w:t>）大气压力：</w:t>
      </w:r>
      <w:r>
        <w:t>86kPa</w:t>
      </w:r>
      <w:r>
        <w:rPr>
          <w:rFonts w:hint="eastAsia" w:ascii="微软雅黑" w:hAnsi="微软雅黑" w:eastAsia="微软雅黑" w:cs="微软雅黑"/>
        </w:rPr>
        <w:t>〜</w:t>
      </w:r>
      <w:r>
        <w:t>106kPa;</w:t>
      </w:r>
    </w:p>
    <w:p>
      <w:pPr>
        <w:pStyle w:val="25"/>
      </w:pPr>
      <w:r>
        <w:rPr>
          <w:rFonts w:hint="eastAsia"/>
        </w:rPr>
        <w:t>4）空气中不应含有腐蚀金属、破坏绝缘、导电和爆炸物质，且每项试验期间，标准大气环境条件应相对稳定。</w:t>
      </w:r>
    </w:p>
    <w:p>
      <w:pPr>
        <w:pStyle w:val="30"/>
        <w:spacing w:before="163" w:after="163"/>
        <w:ind w:left="0"/>
      </w:pPr>
      <w:r>
        <w:rPr>
          <w:rFonts w:hint="eastAsia"/>
        </w:rPr>
        <w:t>功能试验</w:t>
      </w:r>
    </w:p>
    <w:p>
      <w:pPr>
        <w:pStyle w:val="25"/>
      </w:pPr>
      <w:r>
        <w:rPr>
          <w:rFonts w:hint="eastAsia"/>
        </w:rPr>
        <w:t>系统在正常工作状态下，按“使用说明书”或其他操作说明文件中的操作程序逐项进行功能验证。</w:t>
      </w:r>
    </w:p>
    <w:p>
      <w:pPr>
        <w:pStyle w:val="30"/>
        <w:spacing w:before="163" w:after="163"/>
        <w:ind w:left="0"/>
      </w:pPr>
      <w:r>
        <w:rPr>
          <w:rFonts w:hint="eastAsia"/>
        </w:rPr>
        <w:t>性能试验</w:t>
      </w:r>
    </w:p>
    <w:p>
      <w:pPr>
        <w:pStyle w:val="31"/>
        <w:spacing w:before="163" w:after="163"/>
      </w:pPr>
      <w:r>
        <w:rPr>
          <w:rFonts w:hint="eastAsia"/>
        </w:rPr>
        <w:t>尺寸</w:t>
      </w:r>
    </w:p>
    <w:p>
      <w:pPr>
        <w:pStyle w:val="25"/>
      </w:pPr>
      <w:r>
        <w:rPr>
          <w:rFonts w:hint="eastAsia"/>
        </w:rPr>
        <w:t>使用量具对停车平台的长度、宽度、高度进行测量。</w:t>
      </w:r>
    </w:p>
    <w:p>
      <w:pPr>
        <w:pStyle w:val="31"/>
        <w:spacing w:before="163" w:after="163"/>
      </w:pPr>
      <w:r>
        <w:rPr>
          <w:rFonts w:hint="eastAsia"/>
        </w:rPr>
        <w:t>承载能力</w:t>
      </w:r>
    </w:p>
    <w:p>
      <w:pPr>
        <w:pStyle w:val="25"/>
      </w:pPr>
      <w:r>
        <w:rPr>
          <w:rFonts w:hint="eastAsia"/>
        </w:rPr>
        <w:t>停车平台直接使用地面的，在没有特殊要求的情况下，核验地勘报告、设计院图纸、施工验收文件即可，无需测试。</w:t>
      </w:r>
    </w:p>
    <w:p>
      <w:pPr>
        <w:pStyle w:val="25"/>
      </w:pPr>
      <w:r>
        <w:rPr>
          <w:rFonts w:hint="eastAsia"/>
        </w:rPr>
        <w:t>停车平台使用定制结构的，测试方法如下：</w:t>
      </w:r>
    </w:p>
    <w:p>
      <w:pPr>
        <w:pStyle w:val="25"/>
      </w:pPr>
      <w:r>
        <w:rPr>
          <w:rFonts w:hint="eastAsia"/>
        </w:rPr>
        <w:t>1）调整车辆配重或使用模拟工装，使车辆（工装）总重达到最大承载量±5%;</w:t>
      </w:r>
    </w:p>
    <w:p>
      <w:pPr>
        <w:pStyle w:val="25"/>
      </w:pPr>
      <w:r>
        <w:rPr>
          <w:rFonts w:hint="eastAsia"/>
        </w:rPr>
        <w:t>2）驾驶试验车辆驶入换电平台进行换电；</w:t>
      </w:r>
    </w:p>
    <w:p>
      <w:pPr>
        <w:pStyle w:val="25"/>
      </w:pPr>
      <w:r>
        <w:rPr>
          <w:rFonts w:hint="eastAsia"/>
        </w:rPr>
        <w:t>3）换电完成后驶离换电平台。</w:t>
      </w:r>
    </w:p>
    <w:p>
      <w:pPr>
        <w:pStyle w:val="31"/>
        <w:spacing w:before="163" w:after="163"/>
      </w:pPr>
      <w:r>
        <w:rPr>
          <w:rFonts w:hint="eastAsia"/>
        </w:rPr>
        <w:t>重复定位精度</w:t>
      </w:r>
    </w:p>
    <w:p>
      <w:pPr>
        <w:pStyle w:val="25"/>
      </w:pPr>
      <w:r>
        <w:rPr>
          <w:rFonts w:hint="eastAsia"/>
        </w:rPr>
        <w:t>吊装方式换电的电池箱更换设备满载和空载，分别在轨道上沿X方向和Y方向往复行走（即满载X方向和Y方向，空载X方向和Y方向，总计4种），往复行走1次停10s,在行程两端使用刻度尺标记，每3次记录一次刻度尺度数，往复行走15次；电池箱更换设备满载和空载，分别收放吊具，收放1次停5s，在行程末端用刻度尺标记，每3次记录一次刻度尺度数，往复行走15次，分别对比满载和空载的刻度。</w:t>
      </w:r>
    </w:p>
    <w:p>
      <w:pPr>
        <w:pStyle w:val="25"/>
      </w:pPr>
      <w:r>
        <w:rPr>
          <w:rFonts w:hint="eastAsia"/>
        </w:rPr>
        <w:t>测试结果应符合5</w:t>
      </w:r>
      <w:r>
        <w:t>.3.5</w:t>
      </w:r>
      <w:r>
        <w:rPr>
          <w:rFonts w:hint="eastAsia"/>
        </w:rPr>
        <w:t>的要求。</w:t>
      </w:r>
    </w:p>
    <w:p>
      <w:pPr>
        <w:pStyle w:val="31"/>
        <w:spacing w:before="163" w:after="163"/>
      </w:pPr>
      <w:r>
        <w:rPr>
          <w:rFonts w:hint="eastAsia"/>
        </w:rPr>
        <w:t>电池箱定位容错</w:t>
      </w:r>
    </w:p>
    <w:p>
      <w:pPr>
        <w:pStyle w:val="25"/>
      </w:pPr>
      <w:r>
        <w:rPr>
          <w:rFonts w:hint="eastAsia"/>
        </w:rPr>
        <w:t>电池箱更换设备调试完成后，记录电池箱或车辆正常定位的X/Y坐标值；</w:t>
      </w:r>
    </w:p>
    <w:p>
      <w:pPr>
        <w:pStyle w:val="25"/>
      </w:pPr>
      <w:r>
        <w:rPr>
          <w:rFonts w:hint="eastAsia"/>
        </w:rPr>
        <w:t>换电车辆（或模拟工装）驶入停车平台停稳后，换电设备切换至手动模式，按照设备允许定位容错偏差，手动调整车辆X/Y坐标值至极限位置；</w:t>
      </w:r>
    </w:p>
    <w:p>
      <w:pPr>
        <w:pStyle w:val="25"/>
      </w:pPr>
      <w:r>
        <w:rPr>
          <w:rFonts w:hint="eastAsia"/>
        </w:rPr>
        <w:t>定位完成后，使用半自动模式继续进行下一步换电操作直至换电完成。</w:t>
      </w:r>
    </w:p>
    <w:p>
      <w:pPr>
        <w:pStyle w:val="25"/>
      </w:pPr>
      <w:r>
        <w:rPr>
          <w:rFonts w:hint="eastAsia"/>
        </w:rPr>
        <w:t>测试结果应符合5</w:t>
      </w:r>
      <w:r>
        <w:t>.3.6</w:t>
      </w:r>
      <w:r>
        <w:rPr>
          <w:rFonts w:hint="eastAsia"/>
        </w:rPr>
        <w:t>的要求。</w:t>
      </w:r>
    </w:p>
    <w:p>
      <w:pPr>
        <w:pStyle w:val="31"/>
        <w:spacing w:before="163" w:after="163"/>
      </w:pPr>
      <w:r>
        <w:rPr>
          <w:rFonts w:hint="eastAsia"/>
        </w:rPr>
        <w:t>识别正确率</w:t>
      </w:r>
    </w:p>
    <w:p>
      <w:pPr>
        <w:pStyle w:val="25"/>
      </w:pPr>
      <w:r>
        <w:rPr>
          <w:rFonts w:hint="eastAsia"/>
        </w:rPr>
        <w:t>号牌识别正确率测试按GB/T 28649-2012中5.1.5部分要求进行。</w:t>
      </w:r>
    </w:p>
    <w:p>
      <w:pPr>
        <w:pStyle w:val="31"/>
        <w:spacing w:before="163" w:after="163"/>
      </w:pPr>
      <w:r>
        <w:rPr>
          <w:rFonts w:hint="eastAsia"/>
        </w:rPr>
        <w:t>信息捕获率</w:t>
      </w:r>
    </w:p>
    <w:p>
      <w:pPr>
        <w:pStyle w:val="25"/>
      </w:pPr>
      <w:r>
        <w:rPr>
          <w:rFonts w:hint="eastAsia"/>
        </w:rPr>
        <w:t>车辆图像捕获率测试按GB/T 28649-2012中5.1.7部分要求进行。</w:t>
      </w:r>
    </w:p>
    <w:p>
      <w:pPr>
        <w:pStyle w:val="25"/>
      </w:pPr>
    </w:p>
    <w:p>
      <w:pPr>
        <w:pStyle w:val="30"/>
        <w:spacing w:before="163" w:after="163"/>
        <w:ind w:left="0"/>
      </w:pPr>
      <w:r>
        <w:rPr>
          <w:rFonts w:hint="eastAsia"/>
        </w:rPr>
        <w:t>安全试验</w:t>
      </w:r>
    </w:p>
    <w:p>
      <w:pPr>
        <w:pStyle w:val="31"/>
        <w:spacing w:before="163" w:after="163"/>
      </w:pPr>
      <w:r>
        <w:rPr>
          <w:rFonts w:hint="eastAsia"/>
        </w:rPr>
        <w:t>电源适应性</w:t>
      </w:r>
    </w:p>
    <w:p>
      <w:pPr>
        <w:pStyle w:val="25"/>
      </w:pPr>
      <w:r>
        <w:rPr>
          <w:rFonts w:hint="eastAsia"/>
        </w:rPr>
        <w:t>电压波动适应性：用自耦变压器或可调交流电源给系统供电，测试电压分别设定为额定电压的85%-90%-95%-100%-105%-110%-115%。每调整到一档电压并稳定后，都分别开启和关闭换电平台系统电源开关，检查逻辑和功能是否正常。</w:t>
      </w:r>
    </w:p>
    <w:p>
      <w:pPr>
        <w:pStyle w:val="25"/>
      </w:pPr>
      <w:r>
        <w:rPr>
          <w:rFonts w:hint="eastAsia"/>
        </w:rPr>
        <w:t>频率波动适应性：用可调频交流电源给系统供电，测试电压为额定电压，频率分别为49Hz-50Hz-51Hz。每调整到一档频率并稳定后，都分别开启和关闭换电平台系统电源开关，检查逻辑和功能是否正常。</w:t>
      </w:r>
    </w:p>
    <w:p>
      <w:pPr>
        <w:pStyle w:val="31"/>
        <w:spacing w:before="163" w:after="163"/>
      </w:pPr>
      <w:r>
        <w:rPr>
          <w:rFonts w:hint="eastAsia"/>
        </w:rPr>
        <w:t>接地性能</w:t>
      </w:r>
    </w:p>
    <w:p>
      <w:pPr>
        <w:pStyle w:val="25"/>
      </w:pPr>
      <w:r>
        <w:rPr>
          <w:rFonts w:hint="eastAsia"/>
        </w:rPr>
        <w:t>换电平台接地要求应符合GB/T</w:t>
      </w:r>
      <w:r>
        <w:t xml:space="preserve"> </w:t>
      </w:r>
      <w:r>
        <w:rPr>
          <w:rFonts w:hint="eastAsia"/>
        </w:rPr>
        <w:t>50065-2011中7.1.2、8.1、8.2所规定的低压系统接地要求。</w:t>
      </w:r>
    </w:p>
    <w:p>
      <w:pPr>
        <w:pStyle w:val="25"/>
      </w:pPr>
      <w:r>
        <w:rPr>
          <w:rFonts w:hint="eastAsia"/>
        </w:rPr>
        <w:t>所有被控对象需要接地的，必须安全可靠接地，接地形式可采用与集装箱共用接地的形式，设备接地电阻应小于4Ω，采用TN-S供电系统，零地线不得相互替代。</w:t>
      </w:r>
    </w:p>
    <w:p>
      <w:pPr>
        <w:pStyle w:val="31"/>
        <w:spacing w:before="163" w:after="163"/>
      </w:pPr>
      <w:r>
        <w:rPr>
          <w:rFonts w:hint="eastAsia"/>
        </w:rPr>
        <w:t>绝缘电阻</w:t>
      </w:r>
    </w:p>
    <w:p>
      <w:pPr>
        <w:pStyle w:val="25"/>
      </w:pPr>
      <w:r>
        <w:rPr>
          <w:rFonts w:hint="eastAsia"/>
        </w:rPr>
        <w:t>绝缘电阻的要求应符合GB/T</w:t>
      </w:r>
      <w:r>
        <w:t xml:space="preserve"> </w:t>
      </w:r>
      <w:r>
        <w:rPr>
          <w:rFonts w:hint="eastAsia"/>
        </w:rPr>
        <w:t>16935.1-2008中4.2.3、4.2.4、4.2.5所规定的峰值电压以及过电压条件下绝缘配合的要求。</w:t>
      </w:r>
    </w:p>
    <w:p>
      <w:pPr>
        <w:pStyle w:val="31"/>
        <w:spacing w:before="163" w:after="163"/>
      </w:pPr>
      <w:r>
        <w:rPr>
          <w:rFonts w:hint="eastAsia"/>
        </w:rPr>
        <w:t>抗电强度</w:t>
      </w:r>
    </w:p>
    <w:p>
      <w:pPr>
        <w:pStyle w:val="25"/>
      </w:pPr>
      <w:r>
        <w:rPr>
          <w:rFonts w:hint="eastAsia"/>
        </w:rPr>
        <w:t>抗电强度按GB/T</w:t>
      </w:r>
      <w:r>
        <w:t xml:space="preserve"> </w:t>
      </w:r>
      <w:r>
        <w:rPr>
          <w:rFonts w:hint="eastAsia"/>
        </w:rPr>
        <w:t>18487.1-2015中11.4的要求进行检测，结果应符合5.4.4的规定。</w:t>
      </w:r>
    </w:p>
    <w:p>
      <w:pPr>
        <w:pStyle w:val="31"/>
        <w:spacing w:before="163" w:after="163"/>
      </w:pPr>
      <w:r>
        <w:rPr>
          <w:rFonts w:hint="eastAsia"/>
        </w:rPr>
        <w:t>接触电流</w:t>
      </w:r>
    </w:p>
    <w:p>
      <w:pPr>
        <w:pStyle w:val="25"/>
      </w:pPr>
      <w:r>
        <w:rPr>
          <w:rFonts w:hint="eastAsia"/>
        </w:rPr>
        <w:t>接触电流按GB/T</w:t>
      </w:r>
      <w:r>
        <w:t xml:space="preserve"> </w:t>
      </w:r>
      <w:r>
        <w:rPr>
          <w:rFonts w:hint="eastAsia"/>
        </w:rPr>
        <w:t>7251.1-2013中10.11的方法进行检测，结果应符合5.4.5的规定。</w:t>
      </w:r>
    </w:p>
    <w:p>
      <w:pPr>
        <w:pStyle w:val="31"/>
        <w:spacing w:before="163" w:after="163"/>
      </w:pPr>
      <w:r>
        <w:rPr>
          <w:rFonts w:hint="eastAsia"/>
        </w:rPr>
        <w:t>外壳防护</w:t>
      </w:r>
    </w:p>
    <w:p>
      <w:pPr>
        <w:pStyle w:val="25"/>
      </w:pPr>
      <w:r>
        <w:rPr>
          <w:rFonts w:hint="eastAsia"/>
        </w:rPr>
        <w:t>按照GB/T</w:t>
      </w:r>
      <w:r>
        <w:t xml:space="preserve"> </w:t>
      </w:r>
      <w:r>
        <w:rPr>
          <w:rFonts w:hint="eastAsia"/>
        </w:rPr>
        <w:t>4208-2017要求对整站的关键设备进行IP等级测试，测试结果应符合5.4.6的规定。</w:t>
      </w:r>
    </w:p>
    <w:p>
      <w:pPr>
        <w:pStyle w:val="31"/>
        <w:spacing w:before="163" w:after="163"/>
      </w:pPr>
      <w:r>
        <w:rPr>
          <w:rFonts w:hint="eastAsia"/>
        </w:rPr>
        <w:t>阻燃/耐火等级</w:t>
      </w:r>
    </w:p>
    <w:p>
      <w:pPr>
        <w:pStyle w:val="25"/>
      </w:pPr>
      <w:r>
        <w:rPr>
          <w:rFonts w:hint="eastAsia"/>
        </w:rPr>
        <w:t>按照GB</w:t>
      </w:r>
      <w:r>
        <w:t xml:space="preserve"> </w:t>
      </w:r>
      <w:r>
        <w:rPr>
          <w:rFonts w:hint="eastAsia"/>
        </w:rPr>
        <w:t>50016-2014要求进行检测，结果应符合5.4.7的规定。</w:t>
      </w:r>
    </w:p>
    <w:p>
      <w:pPr>
        <w:pStyle w:val="31"/>
        <w:spacing w:before="163" w:after="163"/>
      </w:pPr>
      <w:r>
        <w:rPr>
          <w:rFonts w:hint="eastAsia"/>
        </w:rPr>
        <w:t>电磁兼容性能</w:t>
      </w:r>
    </w:p>
    <w:p>
      <w:pPr>
        <w:pStyle w:val="25"/>
      </w:pPr>
      <w:r>
        <w:rPr>
          <w:rFonts w:hint="eastAsia"/>
        </w:rPr>
        <w:t>电磁兼容性能按GB/T 17626和GB/T 9254相关标准要求开展试验，结果符合5.5的规定，具体方法如下：</w:t>
      </w:r>
    </w:p>
    <w:p>
      <w:pPr>
        <w:pStyle w:val="25"/>
        <w:numPr>
          <w:ilvl w:val="0"/>
          <w:numId w:val="17"/>
        </w:numPr>
        <w:ind w:firstLineChars="0"/>
      </w:pPr>
      <w:r>
        <w:rPr>
          <w:rFonts w:hint="eastAsia"/>
        </w:rPr>
        <w:t>静电放电抗扰度按GB/T 17626.2要求进行；</w:t>
      </w:r>
    </w:p>
    <w:p>
      <w:pPr>
        <w:pStyle w:val="25"/>
        <w:numPr>
          <w:ilvl w:val="0"/>
          <w:numId w:val="17"/>
        </w:numPr>
        <w:ind w:firstLineChars="0"/>
      </w:pPr>
      <w:r>
        <w:rPr>
          <w:rFonts w:hint="eastAsia"/>
        </w:rPr>
        <w:t>射频磁场抗扰度按GB/T 17626.3要求进行；</w:t>
      </w:r>
    </w:p>
    <w:p>
      <w:pPr>
        <w:pStyle w:val="25"/>
        <w:numPr>
          <w:ilvl w:val="0"/>
          <w:numId w:val="17"/>
        </w:numPr>
        <w:ind w:firstLineChars="0"/>
      </w:pPr>
      <w:r>
        <w:rPr>
          <w:rFonts w:hint="eastAsia"/>
        </w:rPr>
        <w:t>浪涌抗扰度按GB/T 17626.5要求进行；</w:t>
      </w:r>
    </w:p>
    <w:p>
      <w:pPr>
        <w:pStyle w:val="25"/>
        <w:numPr>
          <w:ilvl w:val="0"/>
          <w:numId w:val="17"/>
        </w:numPr>
        <w:ind w:firstLineChars="0"/>
      </w:pPr>
      <w:r>
        <w:rPr>
          <w:rFonts w:hint="eastAsia"/>
        </w:rPr>
        <w:t>辐射射频骚扰按GB 9254—2008要求进行；</w:t>
      </w:r>
    </w:p>
    <w:p>
      <w:pPr>
        <w:pStyle w:val="30"/>
        <w:spacing w:before="163" w:after="163"/>
        <w:ind w:left="0"/>
      </w:pPr>
      <w:r>
        <w:rPr>
          <w:rFonts w:hint="eastAsia"/>
        </w:rPr>
        <w:t>环境适应性能</w:t>
      </w:r>
    </w:p>
    <w:p>
      <w:pPr>
        <w:pStyle w:val="31"/>
        <w:spacing w:before="163" w:after="163"/>
      </w:pPr>
      <w:r>
        <w:rPr>
          <w:rFonts w:hint="eastAsia"/>
        </w:rPr>
        <w:t>耐低温性能</w:t>
      </w:r>
    </w:p>
    <w:p>
      <w:pPr>
        <w:pStyle w:val="25"/>
      </w:pPr>
      <w:r>
        <w:rPr>
          <w:rFonts w:hint="eastAsia"/>
        </w:rPr>
        <w:t>按GB/T 2423.1要求执行，温度根据系统类型选择对应温度条件，试验时间8h。</w:t>
      </w:r>
    </w:p>
    <w:p>
      <w:pPr>
        <w:pStyle w:val="31"/>
        <w:spacing w:before="163" w:after="163"/>
      </w:pPr>
      <w:r>
        <w:rPr>
          <w:rFonts w:hint="eastAsia"/>
        </w:rPr>
        <w:t>耐高温性能</w:t>
      </w:r>
    </w:p>
    <w:p>
      <w:pPr>
        <w:pStyle w:val="25"/>
      </w:pPr>
      <w:r>
        <w:rPr>
          <w:rFonts w:hint="eastAsia"/>
        </w:rPr>
        <w:t>按GB/T 2423.2要求执行，温度根据系统类型选择对应温度条件，试验时间8h。</w:t>
      </w:r>
    </w:p>
    <w:p>
      <w:pPr>
        <w:pStyle w:val="31"/>
        <w:spacing w:before="163" w:after="163"/>
      </w:pPr>
      <w:r>
        <w:rPr>
          <w:rFonts w:hint="eastAsia"/>
        </w:rPr>
        <w:t>耐湿热性能</w:t>
      </w:r>
    </w:p>
    <w:p>
      <w:pPr>
        <w:pStyle w:val="25"/>
      </w:pPr>
      <w:r>
        <w:rPr>
          <w:rFonts w:hint="eastAsia"/>
        </w:rPr>
        <w:t>电池箱更换设备耐湿热性能试验按GB/T</w:t>
      </w:r>
      <w:r>
        <w:t xml:space="preserve"> </w:t>
      </w:r>
      <w:r>
        <w:rPr>
          <w:rFonts w:hint="eastAsia"/>
        </w:rPr>
        <w:t>2423.3-2006进行，温度+40</w:t>
      </w:r>
      <w:r>
        <w:rPr>
          <w:rFonts w:hint="eastAsia" w:hAnsi="宋体"/>
        </w:rPr>
        <w:t>℃</w:t>
      </w:r>
      <w:r>
        <w:rPr>
          <w:rFonts w:hint="eastAsia"/>
        </w:rPr>
        <w:t>、相对湿度98%,保持48h后，应启动正常，逻辑正确。</w:t>
      </w:r>
    </w:p>
    <w:p>
      <w:pPr>
        <w:pStyle w:val="31"/>
        <w:spacing w:before="163" w:after="163"/>
      </w:pPr>
      <w:r>
        <w:rPr>
          <w:rFonts w:hint="eastAsia"/>
        </w:rPr>
        <w:t>耐盐雾腐蚀性能</w:t>
      </w:r>
    </w:p>
    <w:p>
      <w:pPr>
        <w:pStyle w:val="25"/>
      </w:pPr>
      <w:r>
        <w:rPr>
          <w:rFonts w:hint="eastAsia"/>
        </w:rPr>
        <w:t>按照GB/T</w:t>
      </w:r>
      <w:r>
        <w:t xml:space="preserve"> </w:t>
      </w:r>
      <w:r>
        <w:rPr>
          <w:rFonts w:hint="eastAsia"/>
        </w:rPr>
        <w:t>1733-1993规定对换电平台内、外表面进行耐水性测试，结果应符合5.6.3的规定。</w:t>
      </w:r>
    </w:p>
    <w:p>
      <w:pPr>
        <w:pStyle w:val="25"/>
        <w:rPr>
          <w:rFonts w:hint="eastAsia" w:eastAsia="宋体"/>
          <w:lang w:eastAsia="zh-CN"/>
        </w:rPr>
      </w:pPr>
      <w:r>
        <w:rPr>
          <w:rFonts w:hint="eastAsia"/>
        </w:rPr>
        <w:t>按照GB/T</w:t>
      </w:r>
      <w:r>
        <w:t xml:space="preserve"> </w:t>
      </w:r>
      <w:r>
        <w:rPr>
          <w:rFonts w:hint="eastAsia"/>
        </w:rPr>
        <w:t>10125规定对换电平台外表面进行480h耐盐雾测试，结果应符合5.6.3的规定</w:t>
      </w:r>
      <w:r>
        <w:rPr>
          <w:rFonts w:hint="eastAsia"/>
          <w:lang w:eastAsia="zh-CN"/>
        </w:rPr>
        <w:t>。</w:t>
      </w:r>
    </w:p>
    <w:sectPr>
      <w:headerReference r:id="rId6" w:type="default"/>
      <w:footerReference r:id="rId7" w:type="default"/>
      <w:pgSz w:w="11906" w:h="16838"/>
      <w:pgMar w:top="1440" w:right="1800" w:bottom="1440" w:left="180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934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164409"/>
    </w:sdtPr>
    <w:sdtContent>
      <w:p>
        <w:pPr>
          <w:pStyle w:val="8"/>
          <w:ind w:right="180"/>
          <w:jc w:val="right"/>
        </w:pPr>
        <w:r>
          <w:fldChar w:fldCharType="begin"/>
        </w:r>
        <w:r>
          <w:instrText xml:space="preserve">PAGE   \* MERGEFORMAT</w:instrText>
        </w:r>
        <w:r>
          <w:fldChar w:fldCharType="separate"/>
        </w:r>
        <w:r>
          <w:rPr>
            <w:lang w:val="zh-CN"/>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80" w:firstLine="6480" w:firstLineChars="3600"/>
      <w:jc w:val="right"/>
    </w:pPr>
    <w:sdt>
      <w:sdtPr>
        <w:id w:val="-749816864"/>
      </w:sdtPr>
      <w:sdtContent>
        <w:r>
          <w:fldChar w:fldCharType="begin"/>
        </w:r>
        <w:r>
          <w:instrText xml:space="preserve">PAGE   \* MERGEFORMAT</w:instrText>
        </w:r>
        <w:r>
          <w:fldChar w:fldCharType="separate"/>
        </w:r>
        <w:r>
          <w:rPr>
            <w:lang w:val="zh-CN"/>
          </w:rPr>
          <w:t>11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default" w:eastAsia="宋体"/>
        <w:lang w:val="en-US" w:eastAsia="zh-CN"/>
      </w:rPr>
    </w:pPr>
    <w:r>
      <w:rPr>
        <w:rFonts w:hint="eastAsia"/>
        <w:lang w:val="en-US" w:eastAsia="zh-CN"/>
      </w:rPr>
      <w:t>DB1502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default" w:eastAsia="宋体"/>
        <w:lang w:val="en-US" w:eastAsia="zh-CN"/>
      </w:rPr>
    </w:pPr>
    <w:r>
      <w:rPr>
        <w:rFonts w:hint="eastAsia"/>
        <w:lang w:val="en-US" w:eastAsia="zh-CN"/>
      </w:rPr>
      <w:t>DB1502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22988"/>
    <w:multiLevelType w:val="multilevel"/>
    <w:tmpl w:val="03E22988"/>
    <w:lvl w:ilvl="0" w:tentative="0">
      <w:start w:val="1"/>
      <w:numFmt w:val="decimal"/>
      <w:lvlText w:val="%1"/>
      <w:lvlJc w:val="left"/>
      <w:pPr>
        <w:ind w:left="21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0" w:firstLine="0"/>
      </w:pPr>
      <w:rPr>
        <w:rFonts w:hint="eastAsia"/>
      </w:rPr>
    </w:lvl>
    <w:lvl w:ilvl="4" w:tentative="0">
      <w:start w:val="1"/>
      <w:numFmt w:val="decimal"/>
      <w:pStyle w:val="47"/>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8891391"/>
    <w:multiLevelType w:val="multilevel"/>
    <w:tmpl w:val="0889139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D40123B"/>
    <w:multiLevelType w:val="multilevel"/>
    <w:tmpl w:val="0D4012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DCB55AB"/>
    <w:multiLevelType w:val="multilevel"/>
    <w:tmpl w:val="0DCB55A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DDB2D3D"/>
    <w:multiLevelType w:val="multilevel"/>
    <w:tmpl w:val="0DDB2D3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E365EAB"/>
    <w:multiLevelType w:val="multilevel"/>
    <w:tmpl w:val="0E365EA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24335BC"/>
    <w:multiLevelType w:val="multilevel"/>
    <w:tmpl w:val="124335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184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1"/>
      <w:suff w:val="nothing"/>
      <w:lvlText w:val="%1.%2.%3　"/>
      <w:lvlJc w:val="left"/>
      <w:pPr>
        <w:ind w:left="142" w:firstLine="0"/>
      </w:pPr>
      <w:rPr>
        <w:rFonts w:hint="default" w:ascii="黑体" w:hAnsi="Times New Roman" w:eastAsia="黑体"/>
        <w:b w:val="0"/>
        <w:i w:val="0"/>
        <w:color w:val="auto"/>
        <w:sz w:val="21"/>
        <w:highlight w:val="none"/>
      </w:rPr>
    </w:lvl>
    <w:lvl w:ilvl="3" w:tentative="0">
      <w:start w:val="1"/>
      <w:numFmt w:val="decimal"/>
      <w:suff w:val="nothing"/>
      <w:lvlText w:val="%1.%2.%3.%4　"/>
      <w:lvlJc w:val="left"/>
      <w:pPr>
        <w:ind w:left="-1843" w:firstLine="0"/>
      </w:pPr>
      <w:rPr>
        <w:rFonts w:hint="eastAsia" w:ascii="黑体" w:hAnsi="Times New Roman" w:eastAsia="黑体"/>
        <w:b w:val="0"/>
        <w:i w:val="0"/>
        <w:sz w:val="21"/>
      </w:rPr>
    </w:lvl>
    <w:lvl w:ilvl="4" w:tentative="0">
      <w:start w:val="1"/>
      <w:numFmt w:val="decimal"/>
      <w:suff w:val="nothing"/>
      <w:lvlText w:val="%1.%2.%3.%4.%5　"/>
      <w:lvlJc w:val="left"/>
      <w:pPr>
        <w:ind w:left="-1843" w:firstLine="0"/>
      </w:pPr>
      <w:rPr>
        <w:rFonts w:hint="eastAsia" w:ascii="黑体" w:hAnsi="Times New Roman" w:eastAsia="黑体"/>
        <w:b w:val="0"/>
        <w:i w:val="0"/>
        <w:sz w:val="21"/>
      </w:rPr>
    </w:lvl>
    <w:lvl w:ilvl="5" w:tentative="0">
      <w:start w:val="1"/>
      <w:numFmt w:val="decimal"/>
      <w:suff w:val="nothing"/>
      <w:lvlText w:val="%1.%2.%3.%4.%5.%6　"/>
      <w:lvlJc w:val="left"/>
      <w:pPr>
        <w:ind w:left="-1843" w:firstLine="0"/>
      </w:pPr>
      <w:rPr>
        <w:rFonts w:hint="eastAsia" w:ascii="黑体" w:hAnsi="Times New Roman" w:eastAsia="黑体"/>
        <w:b w:val="0"/>
        <w:i w:val="0"/>
        <w:sz w:val="21"/>
      </w:rPr>
    </w:lvl>
    <w:lvl w:ilvl="6" w:tentative="0">
      <w:start w:val="1"/>
      <w:numFmt w:val="decimal"/>
      <w:suff w:val="nothing"/>
      <w:lvlText w:val="%1%2.%3.%4.%5.%6.%7　"/>
      <w:lvlJc w:val="left"/>
      <w:pPr>
        <w:ind w:left="-1843" w:firstLine="0"/>
      </w:pPr>
      <w:rPr>
        <w:rFonts w:hint="eastAsia" w:ascii="黑体" w:hAnsi="Times New Roman" w:eastAsia="黑体"/>
        <w:b w:val="0"/>
        <w:i w:val="0"/>
        <w:sz w:val="21"/>
      </w:rPr>
    </w:lvl>
    <w:lvl w:ilvl="7" w:tentative="0">
      <w:start w:val="1"/>
      <w:numFmt w:val="decimal"/>
      <w:lvlText w:val="%1.%2.%3.%4.%5.%6.%7.%8"/>
      <w:lvlJc w:val="left"/>
      <w:pPr>
        <w:tabs>
          <w:tab w:val="left" w:pos="2508"/>
        </w:tabs>
        <w:ind w:left="2126" w:hanging="1418"/>
      </w:pPr>
      <w:rPr>
        <w:rFonts w:hint="eastAsia"/>
      </w:rPr>
    </w:lvl>
    <w:lvl w:ilvl="8" w:tentative="0">
      <w:start w:val="1"/>
      <w:numFmt w:val="decimal"/>
      <w:lvlText w:val="%1.%2.%3.%4.%5.%6.%7.%8.%9"/>
      <w:lvlJc w:val="left"/>
      <w:pPr>
        <w:tabs>
          <w:tab w:val="left" w:pos="2934"/>
        </w:tabs>
        <w:ind w:left="2834" w:hanging="1700"/>
      </w:pPr>
      <w:rPr>
        <w:rFonts w:hint="eastAsia"/>
      </w:rPr>
    </w:lvl>
  </w:abstractNum>
  <w:abstractNum w:abstractNumId="8">
    <w:nsid w:val="2CD17B7A"/>
    <w:multiLevelType w:val="multilevel"/>
    <w:tmpl w:val="2CD17B7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85009B8"/>
    <w:multiLevelType w:val="multilevel"/>
    <w:tmpl w:val="38500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DFD3657"/>
    <w:multiLevelType w:val="multilevel"/>
    <w:tmpl w:val="4DFD365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57C2AF5"/>
    <w:multiLevelType w:val="multilevel"/>
    <w:tmpl w:val="557C2AF5"/>
    <w:lvl w:ilvl="0" w:tentative="0">
      <w:start w:val="1"/>
      <w:numFmt w:val="decimal"/>
      <w:pStyle w:val="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7454995"/>
    <w:multiLevelType w:val="multilevel"/>
    <w:tmpl w:val="5745499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BC97CFC"/>
    <w:multiLevelType w:val="multilevel"/>
    <w:tmpl w:val="5BC97CF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46260FA"/>
    <w:multiLevelType w:val="multilevel"/>
    <w:tmpl w:val="646260FA"/>
    <w:lvl w:ilvl="0" w:tentative="0">
      <w:start w:val="1"/>
      <w:numFmt w:val="decimal"/>
      <w:pStyle w:val="3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3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8"/>
      <w:suff w:val="nothing"/>
      <w:lvlText w:val="%1.%2.%3.%4.%5　"/>
      <w:lvlJc w:val="left"/>
      <w:pPr>
        <w:ind w:left="0" w:firstLine="0"/>
      </w:pPr>
      <w:rPr>
        <w:rFonts w:hint="eastAsia" w:ascii="黑体" w:hAnsi="Times New Roman" w:eastAsia="黑体"/>
        <w:b w:val="0"/>
        <w:i w:val="0"/>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FE039E7"/>
    <w:multiLevelType w:val="multilevel"/>
    <w:tmpl w:val="6FE039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4"/>
  </w:num>
  <w:num w:numId="3">
    <w:abstractNumId w:val="15"/>
  </w:num>
  <w:num w:numId="4">
    <w:abstractNumId w:val="11"/>
  </w:num>
  <w:num w:numId="5">
    <w:abstractNumId w:val="0"/>
  </w:num>
  <w:num w:numId="6">
    <w:abstractNumId w:val="9"/>
  </w:num>
  <w:num w:numId="7">
    <w:abstractNumId w:val="16"/>
  </w:num>
  <w:num w:numId="8">
    <w:abstractNumId w:val="6"/>
  </w:num>
  <w:num w:numId="9">
    <w:abstractNumId w:val="3"/>
  </w:num>
  <w:num w:numId="10">
    <w:abstractNumId w:val="8"/>
  </w:num>
  <w:num w:numId="11">
    <w:abstractNumId w:val="12"/>
  </w:num>
  <w:num w:numId="12">
    <w:abstractNumId w:val="13"/>
  </w:num>
  <w:num w:numId="13">
    <w:abstractNumId w:val="5"/>
  </w:num>
  <w:num w:numId="14">
    <w:abstractNumId w:val="10"/>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D43F80"/>
    <w:rsid w:val="00001F1E"/>
    <w:rsid w:val="000033B0"/>
    <w:rsid w:val="000144A1"/>
    <w:rsid w:val="00016264"/>
    <w:rsid w:val="00033299"/>
    <w:rsid w:val="00037304"/>
    <w:rsid w:val="00042D03"/>
    <w:rsid w:val="0005017C"/>
    <w:rsid w:val="000549E8"/>
    <w:rsid w:val="00065D45"/>
    <w:rsid w:val="00067EDA"/>
    <w:rsid w:val="000723FA"/>
    <w:rsid w:val="0009567C"/>
    <w:rsid w:val="00097D1E"/>
    <w:rsid w:val="000A5606"/>
    <w:rsid w:val="000A713B"/>
    <w:rsid w:val="000A7669"/>
    <w:rsid w:val="000B54BE"/>
    <w:rsid w:val="000F3A3D"/>
    <w:rsid w:val="000F4243"/>
    <w:rsid w:val="001062A1"/>
    <w:rsid w:val="001101E6"/>
    <w:rsid w:val="001103E2"/>
    <w:rsid w:val="00110AEA"/>
    <w:rsid w:val="0011479A"/>
    <w:rsid w:val="00116AB1"/>
    <w:rsid w:val="001232FA"/>
    <w:rsid w:val="00131F2A"/>
    <w:rsid w:val="001361DB"/>
    <w:rsid w:val="0013650D"/>
    <w:rsid w:val="00141496"/>
    <w:rsid w:val="00150E62"/>
    <w:rsid w:val="00151203"/>
    <w:rsid w:val="001546E4"/>
    <w:rsid w:val="00161C88"/>
    <w:rsid w:val="00182380"/>
    <w:rsid w:val="001A535B"/>
    <w:rsid w:val="001A6829"/>
    <w:rsid w:val="001B39A9"/>
    <w:rsid w:val="001C0E54"/>
    <w:rsid w:val="001C6A02"/>
    <w:rsid w:val="001D4160"/>
    <w:rsid w:val="001E09FF"/>
    <w:rsid w:val="001E2B84"/>
    <w:rsid w:val="001F288F"/>
    <w:rsid w:val="00225CFD"/>
    <w:rsid w:val="002455A3"/>
    <w:rsid w:val="00255B1F"/>
    <w:rsid w:val="00262C85"/>
    <w:rsid w:val="0027458D"/>
    <w:rsid w:val="00285509"/>
    <w:rsid w:val="002917C3"/>
    <w:rsid w:val="002B131E"/>
    <w:rsid w:val="002B4748"/>
    <w:rsid w:val="002C77D2"/>
    <w:rsid w:val="002D31E4"/>
    <w:rsid w:val="002D5892"/>
    <w:rsid w:val="002E07F5"/>
    <w:rsid w:val="002E3103"/>
    <w:rsid w:val="002E7A70"/>
    <w:rsid w:val="00302A31"/>
    <w:rsid w:val="00302AC7"/>
    <w:rsid w:val="00310B77"/>
    <w:rsid w:val="00314C31"/>
    <w:rsid w:val="00343F43"/>
    <w:rsid w:val="00347F13"/>
    <w:rsid w:val="003540D1"/>
    <w:rsid w:val="00356223"/>
    <w:rsid w:val="003640E2"/>
    <w:rsid w:val="00390AE5"/>
    <w:rsid w:val="00395CC2"/>
    <w:rsid w:val="003965D1"/>
    <w:rsid w:val="003A007F"/>
    <w:rsid w:val="003A757A"/>
    <w:rsid w:val="003B297F"/>
    <w:rsid w:val="003C5424"/>
    <w:rsid w:val="003C5DD6"/>
    <w:rsid w:val="003C6BFE"/>
    <w:rsid w:val="00404635"/>
    <w:rsid w:val="00413BB0"/>
    <w:rsid w:val="004171AC"/>
    <w:rsid w:val="00425396"/>
    <w:rsid w:val="00425910"/>
    <w:rsid w:val="00425E56"/>
    <w:rsid w:val="00446B40"/>
    <w:rsid w:val="00452D21"/>
    <w:rsid w:val="00460A1F"/>
    <w:rsid w:val="004764E7"/>
    <w:rsid w:val="00495581"/>
    <w:rsid w:val="004A10BA"/>
    <w:rsid w:val="004A219C"/>
    <w:rsid w:val="004A55B6"/>
    <w:rsid w:val="004B08FF"/>
    <w:rsid w:val="004F1342"/>
    <w:rsid w:val="00503A9E"/>
    <w:rsid w:val="00504EE3"/>
    <w:rsid w:val="005104EB"/>
    <w:rsid w:val="00512380"/>
    <w:rsid w:val="00520DF0"/>
    <w:rsid w:val="00524E81"/>
    <w:rsid w:val="0052630C"/>
    <w:rsid w:val="0053236B"/>
    <w:rsid w:val="00541D90"/>
    <w:rsid w:val="00542A39"/>
    <w:rsid w:val="0055211A"/>
    <w:rsid w:val="0055575F"/>
    <w:rsid w:val="005560D0"/>
    <w:rsid w:val="00560C36"/>
    <w:rsid w:val="00574327"/>
    <w:rsid w:val="00581D93"/>
    <w:rsid w:val="00584CDF"/>
    <w:rsid w:val="005A4130"/>
    <w:rsid w:val="005A7A4A"/>
    <w:rsid w:val="005B0114"/>
    <w:rsid w:val="005E6B11"/>
    <w:rsid w:val="005F262E"/>
    <w:rsid w:val="005F5957"/>
    <w:rsid w:val="00602434"/>
    <w:rsid w:val="00616547"/>
    <w:rsid w:val="00623A3E"/>
    <w:rsid w:val="00625B03"/>
    <w:rsid w:val="0063402A"/>
    <w:rsid w:val="006402DE"/>
    <w:rsid w:val="00651F86"/>
    <w:rsid w:val="00653901"/>
    <w:rsid w:val="00662F86"/>
    <w:rsid w:val="00667F7D"/>
    <w:rsid w:val="006749D1"/>
    <w:rsid w:val="00693697"/>
    <w:rsid w:val="00695B48"/>
    <w:rsid w:val="00696A7D"/>
    <w:rsid w:val="006B15BF"/>
    <w:rsid w:val="006B67E9"/>
    <w:rsid w:val="006C26C0"/>
    <w:rsid w:val="006E787D"/>
    <w:rsid w:val="006F1632"/>
    <w:rsid w:val="006F1BC9"/>
    <w:rsid w:val="006F25C0"/>
    <w:rsid w:val="006F6B61"/>
    <w:rsid w:val="006F7591"/>
    <w:rsid w:val="007314DA"/>
    <w:rsid w:val="00737B08"/>
    <w:rsid w:val="00741F3A"/>
    <w:rsid w:val="00742EE1"/>
    <w:rsid w:val="00747D06"/>
    <w:rsid w:val="007651EA"/>
    <w:rsid w:val="00767C7B"/>
    <w:rsid w:val="00781372"/>
    <w:rsid w:val="007842A9"/>
    <w:rsid w:val="007C2370"/>
    <w:rsid w:val="007D6582"/>
    <w:rsid w:val="007D6E8B"/>
    <w:rsid w:val="008003A1"/>
    <w:rsid w:val="00805299"/>
    <w:rsid w:val="0081005F"/>
    <w:rsid w:val="00810746"/>
    <w:rsid w:val="00814AD1"/>
    <w:rsid w:val="00824723"/>
    <w:rsid w:val="008600C3"/>
    <w:rsid w:val="0086419C"/>
    <w:rsid w:val="0086781C"/>
    <w:rsid w:val="00873DC1"/>
    <w:rsid w:val="00894D4A"/>
    <w:rsid w:val="008B03C1"/>
    <w:rsid w:val="008D5827"/>
    <w:rsid w:val="008E0181"/>
    <w:rsid w:val="008E5814"/>
    <w:rsid w:val="008F6068"/>
    <w:rsid w:val="00900982"/>
    <w:rsid w:val="00917E68"/>
    <w:rsid w:val="00920934"/>
    <w:rsid w:val="0092261A"/>
    <w:rsid w:val="009313CB"/>
    <w:rsid w:val="00931D23"/>
    <w:rsid w:val="00952A5E"/>
    <w:rsid w:val="00953A5D"/>
    <w:rsid w:val="00954DDC"/>
    <w:rsid w:val="00962F69"/>
    <w:rsid w:val="0097013C"/>
    <w:rsid w:val="00993383"/>
    <w:rsid w:val="00994028"/>
    <w:rsid w:val="009A0980"/>
    <w:rsid w:val="009B52E8"/>
    <w:rsid w:val="009C5024"/>
    <w:rsid w:val="009D2F9A"/>
    <w:rsid w:val="009E200E"/>
    <w:rsid w:val="009F5444"/>
    <w:rsid w:val="00A00446"/>
    <w:rsid w:val="00A03F8F"/>
    <w:rsid w:val="00A041AF"/>
    <w:rsid w:val="00A11301"/>
    <w:rsid w:val="00A15539"/>
    <w:rsid w:val="00A27052"/>
    <w:rsid w:val="00A27A21"/>
    <w:rsid w:val="00A478DA"/>
    <w:rsid w:val="00A63BB9"/>
    <w:rsid w:val="00A70DF5"/>
    <w:rsid w:val="00AA04E7"/>
    <w:rsid w:val="00AA1D22"/>
    <w:rsid w:val="00AA3E24"/>
    <w:rsid w:val="00AD2240"/>
    <w:rsid w:val="00AD5C64"/>
    <w:rsid w:val="00AD7B95"/>
    <w:rsid w:val="00AD7FF7"/>
    <w:rsid w:val="00AE1DF9"/>
    <w:rsid w:val="00AE398B"/>
    <w:rsid w:val="00AF018D"/>
    <w:rsid w:val="00AF5BFF"/>
    <w:rsid w:val="00AF6EAE"/>
    <w:rsid w:val="00B04700"/>
    <w:rsid w:val="00B40C59"/>
    <w:rsid w:val="00B42BEF"/>
    <w:rsid w:val="00B61930"/>
    <w:rsid w:val="00B61B1B"/>
    <w:rsid w:val="00B73716"/>
    <w:rsid w:val="00B803C8"/>
    <w:rsid w:val="00B82E6B"/>
    <w:rsid w:val="00B958BC"/>
    <w:rsid w:val="00BA17D7"/>
    <w:rsid w:val="00BA5805"/>
    <w:rsid w:val="00BF14A6"/>
    <w:rsid w:val="00C031D5"/>
    <w:rsid w:val="00C13B65"/>
    <w:rsid w:val="00C31795"/>
    <w:rsid w:val="00C37ECB"/>
    <w:rsid w:val="00C43DA5"/>
    <w:rsid w:val="00C644A1"/>
    <w:rsid w:val="00C87F41"/>
    <w:rsid w:val="00C95581"/>
    <w:rsid w:val="00CA62D6"/>
    <w:rsid w:val="00CB35BB"/>
    <w:rsid w:val="00CC28DA"/>
    <w:rsid w:val="00CC7687"/>
    <w:rsid w:val="00CF073E"/>
    <w:rsid w:val="00CF3885"/>
    <w:rsid w:val="00CF4B04"/>
    <w:rsid w:val="00D07814"/>
    <w:rsid w:val="00D17AC5"/>
    <w:rsid w:val="00D21135"/>
    <w:rsid w:val="00D24C0F"/>
    <w:rsid w:val="00D26843"/>
    <w:rsid w:val="00D322A9"/>
    <w:rsid w:val="00D438A7"/>
    <w:rsid w:val="00D43F80"/>
    <w:rsid w:val="00D46A15"/>
    <w:rsid w:val="00D46B8F"/>
    <w:rsid w:val="00D5626D"/>
    <w:rsid w:val="00D56C39"/>
    <w:rsid w:val="00D64555"/>
    <w:rsid w:val="00D7096C"/>
    <w:rsid w:val="00D72278"/>
    <w:rsid w:val="00D85F5F"/>
    <w:rsid w:val="00D972EB"/>
    <w:rsid w:val="00DA151C"/>
    <w:rsid w:val="00DB7695"/>
    <w:rsid w:val="00DF0E7B"/>
    <w:rsid w:val="00E0547E"/>
    <w:rsid w:val="00E14A82"/>
    <w:rsid w:val="00E2430C"/>
    <w:rsid w:val="00E42305"/>
    <w:rsid w:val="00E52DD9"/>
    <w:rsid w:val="00E64309"/>
    <w:rsid w:val="00E64E50"/>
    <w:rsid w:val="00E6734D"/>
    <w:rsid w:val="00E71139"/>
    <w:rsid w:val="00E860F6"/>
    <w:rsid w:val="00E963D2"/>
    <w:rsid w:val="00ED3D55"/>
    <w:rsid w:val="00EE0F00"/>
    <w:rsid w:val="00EE1000"/>
    <w:rsid w:val="00EE508E"/>
    <w:rsid w:val="00EE519C"/>
    <w:rsid w:val="00EF7AB6"/>
    <w:rsid w:val="00F0513D"/>
    <w:rsid w:val="00F15213"/>
    <w:rsid w:val="00F257E2"/>
    <w:rsid w:val="00F32AA3"/>
    <w:rsid w:val="00F735ED"/>
    <w:rsid w:val="00F7457D"/>
    <w:rsid w:val="00F82F0C"/>
    <w:rsid w:val="00F8376B"/>
    <w:rsid w:val="00F83BD4"/>
    <w:rsid w:val="00F9068C"/>
    <w:rsid w:val="00FA59F2"/>
    <w:rsid w:val="00FB766D"/>
    <w:rsid w:val="00FD42A9"/>
    <w:rsid w:val="00FE4CFB"/>
    <w:rsid w:val="00FF70E6"/>
    <w:rsid w:val="02600202"/>
    <w:rsid w:val="149209F0"/>
    <w:rsid w:val="161C74E5"/>
    <w:rsid w:val="440660B8"/>
    <w:rsid w:val="63AC53B6"/>
    <w:rsid w:val="75A2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heme="minorBidi"/>
      <w:kern w:val="2"/>
      <w:sz w:val="21"/>
      <w:szCs w:val="24"/>
      <w:lang w:val="en-US" w:eastAsia="zh-CN" w:bidi="ar-SA"/>
    </w:rPr>
  </w:style>
  <w:style w:type="paragraph" w:styleId="2">
    <w:name w:val="heading 1"/>
    <w:basedOn w:val="1"/>
    <w:next w:val="1"/>
    <w:link w:val="20"/>
    <w:qFormat/>
    <w:uiPriority w:val="9"/>
    <w:pPr>
      <w:keepNext/>
      <w:keepLines/>
      <w:spacing w:before="340" w:after="330"/>
      <w:outlineLvl w:val="0"/>
    </w:pPr>
    <w:rPr>
      <w:b/>
      <w:bCs/>
      <w:kern w:val="44"/>
      <w:sz w:val="32"/>
      <w:szCs w:val="44"/>
    </w:rPr>
  </w:style>
  <w:style w:type="paragraph" w:styleId="3">
    <w:name w:val="heading 2"/>
    <w:basedOn w:val="1"/>
    <w:next w:val="1"/>
    <w:link w:val="21"/>
    <w:unhideWhenUsed/>
    <w:qFormat/>
    <w:uiPriority w:val="9"/>
    <w:pPr>
      <w:keepNext/>
      <w:keepLines/>
      <w:spacing w:before="326" w:beforeLines="100" w:after="326" w:afterLines="100"/>
      <w:outlineLvl w:val="1"/>
    </w:pPr>
    <w:rPr>
      <w:rFonts w:eastAsia="黑体" w:asciiTheme="majorHAnsi" w:hAnsiTheme="majorHAnsi" w:cstheme="majorBidi"/>
      <w:bCs/>
      <w:szCs w:val="32"/>
    </w:rPr>
  </w:style>
  <w:style w:type="paragraph" w:styleId="4">
    <w:name w:val="heading 3"/>
    <w:basedOn w:val="1"/>
    <w:next w:val="1"/>
    <w:link w:val="19"/>
    <w:unhideWhenUsed/>
    <w:qFormat/>
    <w:uiPriority w:val="9"/>
    <w:pPr>
      <w:keepNext/>
      <w:keepLines/>
      <w:spacing w:before="260" w:after="260"/>
      <w:jc w:val="left"/>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4"/>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46"/>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9344"/>
      </w:tabs>
    </w:pPr>
  </w:style>
  <w:style w:type="paragraph" w:styleId="11">
    <w:name w:val="Subtitle"/>
    <w:basedOn w:val="1"/>
    <w:next w:val="1"/>
    <w:link w:val="42"/>
    <w:qFormat/>
    <w:uiPriority w:val="11"/>
    <w:pPr>
      <w:spacing w:before="240" w:after="60" w:line="312" w:lineRule="auto"/>
      <w:jc w:val="center"/>
    </w:pPr>
    <w:rPr>
      <w:rFonts w:asciiTheme="minorHAnsi" w:hAnsiTheme="minorHAnsi"/>
      <w:b/>
      <w:bCs/>
      <w:kern w:val="28"/>
      <w:sz w:val="32"/>
      <w:szCs w:val="32"/>
    </w:rPr>
  </w:style>
  <w:style w:type="paragraph" w:styleId="12">
    <w:name w:val="toc 2"/>
    <w:basedOn w:val="1"/>
    <w:next w:val="1"/>
    <w:unhideWhenUsed/>
    <w:qFormat/>
    <w:uiPriority w:val="39"/>
    <w:pPr>
      <w:ind w:left="420" w:leftChars="200"/>
    </w:pPr>
  </w:style>
  <w:style w:type="paragraph" w:styleId="13">
    <w:name w:val="annotation subject"/>
    <w:basedOn w:val="5"/>
    <w:next w:val="5"/>
    <w:link w:val="45"/>
    <w:semiHidden/>
    <w:unhideWhenUsed/>
    <w:qFormat/>
    <w:uiPriority w:val="99"/>
    <w:rPr>
      <w:b/>
      <w:bCs/>
    </w:rPr>
  </w:style>
  <w:style w:type="character" w:styleId="16">
    <w:name w:val="FollowedHyperlink"/>
    <w:basedOn w:val="15"/>
    <w:qFormat/>
    <w:uiPriority w:val="0"/>
    <w:rPr>
      <w:color w:val="771CAA"/>
      <w:u w:val="single"/>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标题 3 字符"/>
    <w:basedOn w:val="15"/>
    <w:link w:val="4"/>
    <w:qFormat/>
    <w:uiPriority w:val="9"/>
    <w:rPr>
      <w:rFonts w:ascii="Arial" w:hAnsi="Arial" w:eastAsia="宋体"/>
      <w:b/>
      <w:bCs/>
      <w:sz w:val="24"/>
      <w:szCs w:val="32"/>
    </w:rPr>
  </w:style>
  <w:style w:type="character" w:customStyle="1" w:styleId="20">
    <w:name w:val="标题 1 字符"/>
    <w:basedOn w:val="15"/>
    <w:link w:val="2"/>
    <w:qFormat/>
    <w:uiPriority w:val="9"/>
    <w:rPr>
      <w:rFonts w:eastAsia="宋体"/>
      <w:b/>
      <w:bCs/>
      <w:kern w:val="44"/>
      <w:sz w:val="32"/>
      <w:szCs w:val="44"/>
    </w:rPr>
  </w:style>
  <w:style w:type="character" w:customStyle="1" w:styleId="21">
    <w:name w:val="标题 2 字符"/>
    <w:basedOn w:val="15"/>
    <w:link w:val="3"/>
    <w:qFormat/>
    <w:uiPriority w:val="9"/>
    <w:rPr>
      <w:rFonts w:eastAsia="黑体" w:asciiTheme="majorHAnsi" w:hAnsiTheme="majorHAnsi" w:cstheme="majorBidi"/>
      <w:bCs/>
      <w:szCs w:val="32"/>
    </w:rPr>
  </w:style>
  <w:style w:type="character" w:customStyle="1" w:styleId="22">
    <w:name w:val="页眉 字符"/>
    <w:basedOn w:val="15"/>
    <w:link w:val="9"/>
    <w:qFormat/>
    <w:uiPriority w:val="99"/>
    <w:rPr>
      <w:rFonts w:eastAsia="宋体"/>
      <w:sz w:val="18"/>
      <w:szCs w:val="18"/>
    </w:rPr>
  </w:style>
  <w:style w:type="character" w:customStyle="1" w:styleId="23">
    <w:name w:val="页脚 字符"/>
    <w:basedOn w:val="15"/>
    <w:link w:val="8"/>
    <w:qFormat/>
    <w:uiPriority w:val="99"/>
    <w:rPr>
      <w:rFonts w:eastAsia="宋体"/>
      <w:sz w:val="18"/>
      <w:szCs w:val="18"/>
    </w:rPr>
  </w:style>
  <w:style w:type="paragraph" w:customStyle="1" w:styleId="2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6">
    <w:name w:val="标题1"/>
    <w:next w:val="25"/>
    <w:qFormat/>
    <w:uiPriority w:val="0"/>
    <w:pPr>
      <w:keepNext/>
      <w:pageBreakBefore/>
      <w:shd w:val="clear" w:color="FFFFFF" w:fill="FFFFFF"/>
      <w:spacing w:before="640" w:after="560"/>
      <w:jc w:val="center"/>
      <w:outlineLvl w:val="0"/>
    </w:pPr>
    <w:rPr>
      <w:rFonts w:ascii="黑体" w:hAnsi="Times New Roman" w:eastAsia="黑体" w:cs="Times New Roman"/>
      <w:sz w:val="32"/>
      <w:szCs w:val="22"/>
      <w:lang w:val="en-US" w:eastAsia="zh-CN" w:bidi="ar-SA"/>
    </w:rPr>
  </w:style>
  <w:style w:type="character" w:customStyle="1" w:styleId="27">
    <w:name w:val="段 Char"/>
    <w:basedOn w:val="15"/>
    <w:link w:val="25"/>
    <w:qFormat/>
    <w:uiPriority w:val="0"/>
    <w:rPr>
      <w:rFonts w:ascii="宋体" w:hAnsi="Times New Roman" w:eastAsia="宋体" w:cs="Times New Roman"/>
      <w:kern w:val="0"/>
    </w:rPr>
  </w:style>
  <w:style w:type="paragraph" w:customStyle="1" w:styleId="28">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hAnsiTheme="minorHAnsi"/>
      <w:kern w:val="0"/>
      <w:sz w:val="32"/>
      <w:szCs w:val="20"/>
    </w:rPr>
  </w:style>
  <w:style w:type="paragraph" w:customStyle="1" w:styleId="29">
    <w:name w:val="章标题"/>
    <w:next w:val="25"/>
    <w:qFormat/>
    <w:uiPriority w:val="0"/>
    <w:pPr>
      <w:numPr>
        <w:ilvl w:val="0"/>
        <w:numId w:val="1"/>
      </w:num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30">
    <w:name w:val="一级条标题"/>
    <w:basedOn w:val="29"/>
    <w:next w:val="25"/>
    <w:qFormat/>
    <w:uiPriority w:val="0"/>
    <w:pPr>
      <w:numPr>
        <w:ilvl w:val="1"/>
      </w:numPr>
      <w:spacing w:before="50" w:beforeLines="50" w:after="50" w:afterLines="50"/>
      <w:outlineLvl w:val="2"/>
    </w:pPr>
    <w:rPr>
      <w:szCs w:val="21"/>
    </w:rPr>
  </w:style>
  <w:style w:type="paragraph" w:customStyle="1" w:styleId="31">
    <w:name w:val="二级条标题"/>
    <w:basedOn w:val="30"/>
    <w:next w:val="25"/>
    <w:qFormat/>
    <w:uiPriority w:val="0"/>
    <w:pPr>
      <w:numPr>
        <w:ilvl w:val="2"/>
      </w:numPr>
      <w:outlineLvl w:val="3"/>
    </w:pPr>
  </w:style>
  <w:style w:type="paragraph" w:customStyle="1" w:styleId="32">
    <w:name w:val="正文表标题"/>
    <w:next w:val="25"/>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3">
    <w:name w:val="附录标识"/>
    <w:basedOn w:val="1"/>
    <w:qFormat/>
    <w:uiPriority w:val="0"/>
    <w:pPr>
      <w:widowControl/>
      <w:numPr>
        <w:ilvl w:val="0"/>
        <w:numId w:val="3"/>
      </w:numPr>
      <w:shd w:val="clear" w:color="FFFFFF" w:fill="FFFFFF"/>
      <w:tabs>
        <w:tab w:val="left" w:pos="6405"/>
      </w:tabs>
      <w:adjustRightInd w:val="0"/>
      <w:snapToGrid w:val="0"/>
      <w:spacing w:before="640" w:after="200" w:line="240" w:lineRule="atLeast"/>
      <w:jc w:val="center"/>
      <w:outlineLvl w:val="0"/>
    </w:pPr>
    <w:rPr>
      <w:rFonts w:ascii="宋体" w:hAnsi="宋体" w:cs="Times New Roman"/>
      <w:kern w:val="0"/>
      <w:szCs w:val="20"/>
    </w:rPr>
  </w:style>
  <w:style w:type="paragraph" w:customStyle="1" w:styleId="34">
    <w:name w:val="附录表标题"/>
    <w:next w:val="25"/>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5">
    <w:name w:val="附录章标题"/>
    <w:next w:val="25"/>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6">
    <w:name w:val="附录一级条标题"/>
    <w:basedOn w:val="35"/>
    <w:next w:val="25"/>
    <w:qFormat/>
    <w:uiPriority w:val="0"/>
    <w:pPr>
      <w:numPr>
        <w:ilvl w:val="2"/>
      </w:numPr>
      <w:autoSpaceDN w:val="0"/>
      <w:spacing w:before="0" w:beforeLines="0" w:after="0" w:afterLines="0"/>
      <w:outlineLvl w:val="2"/>
    </w:pPr>
  </w:style>
  <w:style w:type="paragraph" w:customStyle="1" w:styleId="37">
    <w:name w:val="附录二级条标题"/>
    <w:basedOn w:val="36"/>
    <w:next w:val="25"/>
    <w:qFormat/>
    <w:uiPriority w:val="0"/>
    <w:pPr>
      <w:numPr>
        <w:ilvl w:val="3"/>
      </w:numPr>
      <w:outlineLvl w:val="3"/>
    </w:pPr>
  </w:style>
  <w:style w:type="paragraph" w:customStyle="1" w:styleId="38">
    <w:name w:val="附录三级条标题"/>
    <w:basedOn w:val="37"/>
    <w:next w:val="25"/>
    <w:qFormat/>
    <w:uiPriority w:val="0"/>
    <w:pPr>
      <w:numPr>
        <w:ilvl w:val="4"/>
      </w:numPr>
      <w:outlineLvl w:val="4"/>
    </w:pPr>
  </w:style>
  <w:style w:type="paragraph" w:customStyle="1" w:styleId="39">
    <w:name w:val="附录四级条标题"/>
    <w:basedOn w:val="38"/>
    <w:next w:val="25"/>
    <w:qFormat/>
    <w:uiPriority w:val="0"/>
    <w:pPr>
      <w:numPr>
        <w:ilvl w:val="5"/>
      </w:numPr>
      <w:outlineLvl w:val="5"/>
    </w:pPr>
  </w:style>
  <w:style w:type="paragraph" w:customStyle="1" w:styleId="40">
    <w:name w:val="附录五级条标题"/>
    <w:basedOn w:val="39"/>
    <w:next w:val="25"/>
    <w:qFormat/>
    <w:uiPriority w:val="0"/>
    <w:pPr>
      <w:numPr>
        <w:ilvl w:val="6"/>
      </w:numPr>
      <w:outlineLvl w:val="6"/>
    </w:pPr>
  </w:style>
  <w:style w:type="paragraph" w:customStyle="1" w:styleId="41">
    <w:name w:val="正文图标题"/>
    <w:next w:val="25"/>
    <w:qFormat/>
    <w:uiPriority w:val="0"/>
    <w:pPr>
      <w:numPr>
        <w:ilvl w:val="0"/>
        <w:numId w:val="4"/>
      </w:numPr>
      <w:spacing w:before="156" w:beforeLines="50" w:after="156" w:afterLines="50"/>
      <w:jc w:val="center"/>
    </w:pPr>
    <w:rPr>
      <w:rFonts w:ascii="黑体" w:hAnsi="Times New Roman" w:eastAsia="黑体" w:cs="Times New Roman"/>
      <w:sz w:val="21"/>
      <w:szCs w:val="22"/>
      <w:lang w:val="en-US" w:eastAsia="zh-CN" w:bidi="ar-SA"/>
    </w:rPr>
  </w:style>
  <w:style w:type="character" w:customStyle="1" w:styleId="42">
    <w:name w:val="副标题 字符"/>
    <w:basedOn w:val="15"/>
    <w:link w:val="11"/>
    <w:qFormat/>
    <w:uiPriority w:val="11"/>
    <w:rPr>
      <w:rFonts w:eastAsia="宋体"/>
      <w:b/>
      <w:bCs/>
      <w:kern w:val="28"/>
      <w:sz w:val="32"/>
      <w:szCs w:val="32"/>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4">
    <w:name w:val="批注文字 字符"/>
    <w:basedOn w:val="15"/>
    <w:link w:val="5"/>
    <w:semiHidden/>
    <w:qFormat/>
    <w:uiPriority w:val="99"/>
    <w:rPr>
      <w:rFonts w:ascii="Arial" w:hAnsi="Arial" w:eastAsia="宋体"/>
      <w:szCs w:val="24"/>
    </w:rPr>
  </w:style>
  <w:style w:type="character" w:customStyle="1" w:styleId="45">
    <w:name w:val="批注主题 字符"/>
    <w:basedOn w:val="44"/>
    <w:link w:val="13"/>
    <w:semiHidden/>
    <w:qFormat/>
    <w:uiPriority w:val="99"/>
    <w:rPr>
      <w:rFonts w:ascii="Arial" w:hAnsi="Arial" w:eastAsia="宋体"/>
      <w:b/>
      <w:bCs/>
      <w:szCs w:val="24"/>
    </w:rPr>
  </w:style>
  <w:style w:type="character" w:customStyle="1" w:styleId="46">
    <w:name w:val="批注框文本 字符"/>
    <w:basedOn w:val="15"/>
    <w:link w:val="7"/>
    <w:semiHidden/>
    <w:qFormat/>
    <w:uiPriority w:val="99"/>
    <w:rPr>
      <w:rFonts w:ascii="Arial" w:hAnsi="Arial" w:eastAsia="宋体"/>
      <w:sz w:val="18"/>
      <w:szCs w:val="18"/>
    </w:rPr>
  </w:style>
  <w:style w:type="paragraph" w:customStyle="1" w:styleId="47">
    <w:name w:val="三级条标题"/>
    <w:basedOn w:val="31"/>
    <w:next w:val="25"/>
    <w:qFormat/>
    <w:uiPriority w:val="0"/>
    <w:pPr>
      <w:numPr>
        <w:ilvl w:val="4"/>
        <w:numId w:val="5"/>
      </w:numPr>
      <w:spacing w:before="0" w:beforeLines="0" w:after="0" w:afterLines="0"/>
    </w:pPr>
    <w:rPr>
      <w:rFonts w:eastAsia="宋体"/>
    </w:rPr>
  </w:style>
  <w:style w:type="paragraph" w:styleId="48">
    <w:name w:val="List Paragraph"/>
    <w:basedOn w:val="1"/>
    <w:qFormat/>
    <w:uiPriority w:val="34"/>
    <w:pPr>
      <w:ind w:firstLine="420" w:firstLineChars="200"/>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50">
    <w:name w:val="发布"/>
    <w:qFormat/>
    <w:uiPriority w:val="0"/>
    <w:rPr>
      <w:rFonts w:ascii="黑体" w:eastAsia="黑体"/>
      <w:spacing w:val="85"/>
      <w:w w:val="100"/>
      <w:position w:val="3"/>
      <w:sz w:val="28"/>
      <w:szCs w:val="28"/>
    </w:rPr>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2">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cs="Times New Roman"/>
      <w:b/>
      <w:w w:val="130"/>
      <w:kern w:val="0"/>
      <w:sz w:val="96"/>
      <w:szCs w:val="96"/>
    </w:rPr>
  </w:style>
  <w:style w:type="paragraph" w:customStyle="1" w:styleId="5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4">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57">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1871</Words>
  <Characters>10667</Characters>
  <Lines>88</Lines>
  <Paragraphs>25</Paragraphs>
  <TotalTime>2</TotalTime>
  <ScaleCrop>false</ScaleCrop>
  <LinksUpToDate>false</LinksUpToDate>
  <CharactersWithSpaces>12513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2022-04-25T07:27:00Z</dcterms:created>
  <dc:creator>汤盛杰</dc:creator>
  <cp:lastModifiedBy>永飞</cp:lastModifiedBy>
  <dcterms:modified xsi:type="dcterms:W3CDTF">2022-05-26T00:18:45Z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9B5D4477F3EE44E48A0AB2CC9476D04E</vt:lpwstr>
  </property>
</Properties>
</file>