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0" w:rsidRDefault="00C47AB0">
      <w:pPr>
        <w:spacing w:line="560" w:lineRule="exact"/>
        <w:jc w:val="center"/>
        <w:rPr>
          <w:rFonts w:ascii="宋体" w:hAnsi="宋体"/>
          <w:b/>
          <w:kern w:val="0"/>
          <w:sz w:val="48"/>
          <w:szCs w:val="44"/>
        </w:rPr>
      </w:pPr>
      <w:r>
        <w:rPr>
          <w:rFonts w:ascii="宋体" w:hAnsi="宋体" w:hint="eastAsia"/>
          <w:b/>
          <w:kern w:val="0"/>
          <w:sz w:val="48"/>
          <w:szCs w:val="44"/>
        </w:rPr>
        <w:t>地方标准</w:t>
      </w:r>
    </w:p>
    <w:p w:rsidR="00FF3840" w:rsidRDefault="00FF3840" w:rsidP="00BF3306">
      <w:pPr>
        <w:spacing w:line="360" w:lineRule="auto"/>
        <w:rPr>
          <w:rFonts w:ascii="宋体" w:hAnsi="宋体"/>
          <w:b/>
          <w:kern w:val="0"/>
          <w:sz w:val="48"/>
          <w:szCs w:val="44"/>
        </w:rPr>
      </w:pPr>
    </w:p>
    <w:p w:rsidR="00FF3840" w:rsidRDefault="00C47AB0" w:rsidP="00BF3306">
      <w:pPr>
        <w:spacing w:line="360" w:lineRule="auto"/>
        <w:jc w:val="center"/>
        <w:rPr>
          <w:rFonts w:hAnsi="宋体"/>
          <w:b/>
          <w:sz w:val="48"/>
          <w:szCs w:val="48"/>
        </w:rPr>
      </w:pPr>
      <w:r>
        <w:rPr>
          <w:rFonts w:hAnsi="宋体" w:hint="eastAsia"/>
          <w:b/>
          <w:sz w:val="48"/>
          <w:szCs w:val="48"/>
        </w:rPr>
        <w:t>《</w:t>
      </w:r>
      <w:r w:rsidR="00BF3306" w:rsidRPr="00BF3306">
        <w:rPr>
          <w:rFonts w:hAnsi="宋体" w:hint="eastAsia"/>
          <w:b/>
          <w:sz w:val="48"/>
          <w:szCs w:val="48"/>
        </w:rPr>
        <w:t>电动中重卡共享换电站建设及换电车辆技术规范地方标准</w:t>
      </w:r>
      <w:r>
        <w:rPr>
          <w:rFonts w:hAnsi="宋体" w:hint="eastAsia"/>
          <w:b/>
          <w:sz w:val="48"/>
          <w:szCs w:val="48"/>
        </w:rPr>
        <w:t>》</w:t>
      </w:r>
    </w:p>
    <w:p w:rsidR="00FF3840" w:rsidRDefault="00FF3840">
      <w:pPr>
        <w:spacing w:line="360" w:lineRule="auto"/>
        <w:jc w:val="center"/>
        <w:rPr>
          <w:rFonts w:hAnsi="宋体"/>
          <w:b/>
          <w:sz w:val="48"/>
          <w:szCs w:val="48"/>
        </w:rPr>
      </w:pPr>
    </w:p>
    <w:p w:rsidR="00FF3840" w:rsidRDefault="00C47AB0">
      <w:pPr>
        <w:spacing w:line="360" w:lineRule="auto"/>
        <w:jc w:val="center"/>
        <w:rPr>
          <w:rFonts w:ascii="黑体" w:eastAsia="黑体" w:hAnsi="宋体"/>
          <w:b/>
          <w:kern w:val="0"/>
          <w:sz w:val="56"/>
          <w:szCs w:val="32"/>
        </w:rPr>
      </w:pPr>
      <w:r>
        <w:rPr>
          <w:rFonts w:ascii="黑体" w:eastAsia="黑体" w:hAnsi="宋体" w:hint="eastAsia"/>
          <w:b/>
          <w:kern w:val="0"/>
          <w:sz w:val="56"/>
          <w:szCs w:val="32"/>
        </w:rPr>
        <w:t>编制说明</w:t>
      </w: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FF3840">
      <w:pPr>
        <w:spacing w:line="560" w:lineRule="exact"/>
        <w:jc w:val="center"/>
        <w:rPr>
          <w:rFonts w:ascii="宋体" w:hAnsi="宋体"/>
          <w:b/>
          <w:kern w:val="0"/>
          <w:sz w:val="28"/>
          <w:szCs w:val="28"/>
        </w:rPr>
      </w:pPr>
    </w:p>
    <w:p w:rsidR="00FF3840" w:rsidRDefault="00C47AB0">
      <w:pPr>
        <w:spacing w:line="560" w:lineRule="exact"/>
        <w:jc w:val="center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标准编制组</w:t>
      </w:r>
    </w:p>
    <w:p w:rsidR="00FF3840" w:rsidRDefault="00BF3306">
      <w:pPr>
        <w:spacing w:line="560" w:lineRule="exact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2022</w:t>
      </w:r>
      <w:r w:rsidR="00C47AB0">
        <w:rPr>
          <w:rFonts w:ascii="黑体" w:eastAsia="黑体" w:hAnsi="黑体" w:hint="eastAsia"/>
          <w:kern w:val="0"/>
          <w:sz w:val="28"/>
          <w:szCs w:val="28"/>
        </w:rPr>
        <w:t>年</w:t>
      </w:r>
      <w:r>
        <w:rPr>
          <w:rFonts w:ascii="黑体" w:eastAsia="黑体" w:hAnsi="黑体" w:hint="eastAsia"/>
          <w:kern w:val="0"/>
          <w:sz w:val="28"/>
          <w:szCs w:val="28"/>
        </w:rPr>
        <w:t>5</w:t>
      </w:r>
      <w:r w:rsidR="00C47AB0">
        <w:rPr>
          <w:rFonts w:ascii="黑体" w:eastAsia="黑体" w:hAnsi="黑体" w:hint="eastAsia"/>
          <w:kern w:val="0"/>
          <w:sz w:val="28"/>
          <w:szCs w:val="28"/>
        </w:rPr>
        <w:t>月</w:t>
      </w:r>
    </w:p>
    <w:p w:rsidR="00FF3840" w:rsidRDefault="00FF3840">
      <w:pPr>
        <w:spacing w:line="560" w:lineRule="exact"/>
        <w:rPr>
          <w:rFonts w:ascii="宋体" w:hAnsi="宋体"/>
          <w:b/>
          <w:kern w:val="0"/>
          <w:sz w:val="28"/>
          <w:szCs w:val="28"/>
        </w:rPr>
        <w:sectPr w:rsidR="00FF38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1440" w:right="1758" w:bottom="1440" w:left="1758" w:header="851" w:footer="992" w:gutter="0"/>
          <w:cols w:space="720"/>
          <w:titlePg/>
          <w:docGrid w:type="lines" w:linePitch="312"/>
        </w:sectPr>
      </w:pPr>
    </w:p>
    <w:p w:rsidR="00FF3840" w:rsidRDefault="00C47AB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《</w:t>
      </w:r>
      <w:r w:rsidR="00BF3306">
        <w:rPr>
          <w:rFonts w:ascii="方正小标宋简体" w:eastAsia="方正小标宋简体" w:hint="eastAsia"/>
          <w:sz w:val="44"/>
          <w:szCs w:val="44"/>
        </w:rPr>
        <w:t>电动</w:t>
      </w:r>
      <w:r w:rsidR="00BF3306" w:rsidRPr="00BF3306">
        <w:rPr>
          <w:rFonts w:ascii="方正小标宋简体" w:eastAsia="方正小标宋简体" w:hint="eastAsia"/>
          <w:sz w:val="44"/>
          <w:szCs w:val="44"/>
        </w:rPr>
        <w:t>中重卡共享换电站建设及换电车辆技术规范地方标准</w:t>
      </w:r>
      <w:r>
        <w:rPr>
          <w:rFonts w:ascii="方正小标宋简体" w:eastAsia="方正小标宋简体" w:hint="eastAsia"/>
          <w:sz w:val="44"/>
          <w:szCs w:val="44"/>
        </w:rPr>
        <w:t>》</w:t>
      </w:r>
    </w:p>
    <w:p w:rsidR="00FF3840" w:rsidRDefault="00C47AB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编制说明</w:t>
      </w:r>
    </w:p>
    <w:p w:rsidR="00FF3840" w:rsidRDefault="00FF3840">
      <w:pPr>
        <w:spacing w:line="560" w:lineRule="exact"/>
        <w:ind w:firstLineChars="196" w:firstLine="551"/>
        <w:rPr>
          <w:rFonts w:ascii="黑体" w:eastAsia="黑体" w:hAnsi="宋体"/>
          <w:b/>
          <w:kern w:val="0"/>
          <w:sz w:val="28"/>
          <w:szCs w:val="28"/>
        </w:rPr>
      </w:pPr>
    </w:p>
    <w:p w:rsidR="00FF3840" w:rsidRDefault="00C47AB0">
      <w:pPr>
        <w:spacing w:line="560" w:lineRule="exac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一、工作简况</w:t>
      </w:r>
    </w:p>
    <w:p w:rsidR="00FF3840" w:rsidRDefault="00C47AB0">
      <w:pPr>
        <w:spacing w:line="560" w:lineRule="exact"/>
        <w:ind w:firstLineChars="200" w:firstLine="640"/>
        <w:rPr>
          <w:rFonts w:ascii="楷体" w:eastAsia="楷体" w:hAnsi="楷体" w:cstheme="minorBidi"/>
          <w:sz w:val="32"/>
          <w:szCs w:val="32"/>
        </w:rPr>
      </w:pPr>
      <w:r>
        <w:rPr>
          <w:rFonts w:ascii="楷体" w:eastAsia="楷体" w:hAnsi="楷体" w:cstheme="minorBidi" w:hint="eastAsia"/>
          <w:sz w:val="32"/>
          <w:szCs w:val="32"/>
        </w:rPr>
        <w:t>（一）任务来源</w:t>
      </w:r>
    </w:p>
    <w:p w:rsidR="00BF3306" w:rsidRDefault="00BF3306" w:rsidP="00BF3306">
      <w:pPr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 w:rsidRPr="00BF3306">
        <w:rPr>
          <w:rFonts w:ascii="仿宋_GB2312" w:eastAsia="仿宋_GB2312" w:hAnsiTheme="minorEastAsia" w:cs="仿宋_GB2312" w:hint="eastAsia"/>
          <w:sz w:val="32"/>
          <w:szCs w:val="32"/>
        </w:rPr>
        <w:t>目前内蒙古自治区新能源汽车发展尚处启动阶段，包头市在</w:t>
      </w:r>
      <w:r w:rsidR="007A5CE8">
        <w:rPr>
          <w:rFonts w:ascii="仿宋_GB2312" w:eastAsia="仿宋_GB2312" w:hAnsiTheme="minorEastAsia" w:cs="仿宋_GB2312" w:hint="eastAsia"/>
          <w:sz w:val="32"/>
          <w:szCs w:val="32"/>
        </w:rPr>
        <w:t>2022</w:t>
      </w:r>
      <w:r w:rsidRPr="00BF3306">
        <w:rPr>
          <w:rFonts w:ascii="仿宋_GB2312" w:eastAsia="仿宋_GB2312" w:hAnsiTheme="minorEastAsia" w:cs="仿宋_GB2312" w:hint="eastAsia"/>
          <w:sz w:val="32"/>
          <w:szCs w:val="32"/>
        </w:rPr>
        <w:t>年的政府工作报告中明确提出了“要支持北奔新能源汽车年销售实现1万台，建设重卡换电站40座，打造有影响力的新能源重卡产业集群”的目标要求，在国家相关标准尚不健全的背景下，为保障万台新能源项目有序实施，实现不同电量、品牌电池，不同品牌电站及车辆能够相互兼容</w:t>
      </w:r>
      <w:r>
        <w:rPr>
          <w:rFonts w:ascii="仿宋_GB2312" w:eastAsia="仿宋_GB2312" w:hAnsiTheme="minorEastAsia" w:cs="仿宋_GB2312" w:hint="eastAsia"/>
          <w:sz w:val="32"/>
          <w:szCs w:val="32"/>
        </w:rPr>
        <w:t>，</w:t>
      </w:r>
      <w:r w:rsidRPr="00BF3306">
        <w:rPr>
          <w:rFonts w:ascii="仿宋_GB2312" w:eastAsia="仿宋_GB2312" w:hAnsiTheme="minorEastAsia" w:cs="仿宋_GB2312" w:hint="eastAsia"/>
          <w:sz w:val="32"/>
          <w:szCs w:val="32"/>
        </w:rPr>
        <w:t>依据工业和信息化部办公厅印发《关于启动新能源汽车换电模式应用试点工作的通知》的要求，组织开展《电动中重型卡车共享换电站建</w:t>
      </w:r>
      <w:r>
        <w:rPr>
          <w:rFonts w:ascii="仿宋_GB2312" w:eastAsia="仿宋_GB2312" w:hAnsiTheme="minorEastAsia" w:cs="仿宋_GB2312" w:hint="eastAsia"/>
          <w:sz w:val="32"/>
          <w:szCs w:val="32"/>
        </w:rPr>
        <w:t>设及换电车辆技术规范》</w:t>
      </w:r>
      <w:r w:rsidRPr="00BF3306">
        <w:rPr>
          <w:rFonts w:ascii="仿宋_GB2312" w:eastAsia="仿宋_GB2312" w:hAnsiTheme="minorEastAsia" w:cs="仿宋_GB2312" w:hint="eastAsia"/>
          <w:sz w:val="32"/>
          <w:szCs w:val="32"/>
        </w:rPr>
        <w:t>编制</w:t>
      </w:r>
      <w:r>
        <w:rPr>
          <w:rFonts w:ascii="仿宋_GB2312" w:eastAsia="仿宋_GB2312" w:hAnsiTheme="minorEastAsia" w:cs="仿宋_GB2312" w:hint="eastAsia"/>
          <w:sz w:val="32"/>
          <w:szCs w:val="32"/>
        </w:rPr>
        <w:t>。</w:t>
      </w:r>
    </w:p>
    <w:p w:rsidR="00BF3306" w:rsidRDefault="00C47AB0" w:rsidP="00BF3306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（二）起草单位、主要起草人</w:t>
      </w:r>
    </w:p>
    <w:p w:rsidR="00FF3840" w:rsidRDefault="00C47AB0">
      <w:pPr>
        <w:pStyle w:val="a6"/>
        <w:ind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起草单位：</w:t>
      </w:r>
      <w:r w:rsidR="00BC5881" w:rsidRPr="00BC5881">
        <w:rPr>
          <w:rFonts w:ascii="仿宋_GB2312" w:eastAsia="仿宋_GB2312" w:hAnsiTheme="minorEastAsia" w:hint="eastAsia"/>
          <w:sz w:val="32"/>
          <w:szCs w:val="32"/>
        </w:rPr>
        <w:t>北奔重型汽车集团有限公司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上海启源芯动力科技有限公司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协</w:t>
      </w:r>
      <w:proofErr w:type="gramStart"/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鑫</w:t>
      </w:r>
      <w:proofErr w:type="gramEnd"/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能源科技有限公司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上海玖行能源科技有限公司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宁德时代新能源科技股份有限公司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惠州亿</w:t>
      </w:r>
      <w:proofErr w:type="gramStart"/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纬锂能股份有限公司</w:t>
      </w:r>
      <w:proofErr w:type="gramEnd"/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博众精工科技股份有限公司</w:t>
      </w:r>
    </w:p>
    <w:p w:rsidR="00BC5881" w:rsidRPr="00BC5881" w:rsidRDefault="00BC5881" w:rsidP="00BC5881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国智新能源科技（深圳）有限公司</w:t>
      </w:r>
    </w:p>
    <w:p w:rsidR="00BC5881" w:rsidRDefault="00BC5881" w:rsidP="00BC5881">
      <w:pPr>
        <w:pStyle w:val="a6"/>
        <w:ind w:firstLineChars="750" w:firstLine="2400"/>
        <w:rPr>
          <w:rFonts w:ascii="仿宋_GB2312" w:eastAsia="仿宋_GB2312" w:hAnsiTheme="minorEastAsia" w:cs="仿宋_GB2312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lastRenderedPageBreak/>
        <w:t>苏州瑞可达连接系统股份有限公司</w:t>
      </w:r>
    </w:p>
    <w:p w:rsidR="00CD3986" w:rsidRDefault="00C47AB0" w:rsidP="00CD3986">
      <w:pPr>
        <w:pStyle w:val="a6"/>
        <w:ind w:firstLineChars="0" w:firstLine="660"/>
        <w:rPr>
          <w:rFonts w:ascii="仿宋_GB2312" w:eastAsia="仿宋_GB2312" w:hAnsiTheme="minorEastAsia" w:cs="仿宋_GB2312" w:hint="eastAsia"/>
          <w:sz w:val="32"/>
          <w:szCs w:val="32"/>
        </w:rPr>
      </w:pP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主要起草人：</w:t>
      </w:r>
      <w:r w:rsidR="00CD3986" w:rsidRPr="00BC5881">
        <w:rPr>
          <w:rFonts w:ascii="仿宋_GB2312" w:eastAsia="仿宋_GB2312" w:hAnsiTheme="minorEastAsia" w:hint="eastAsia"/>
          <w:sz w:val="32"/>
          <w:szCs w:val="32"/>
        </w:rPr>
        <w:t>北奔重型汽车集团有限公司</w:t>
      </w:r>
      <w:r w:rsidR="00CD3986" w:rsidRPr="00CD3986">
        <w:rPr>
          <w:rFonts w:ascii="仿宋_GB2312" w:eastAsia="仿宋_GB2312" w:hAnsiTheme="minorEastAsia" w:cs="仿宋_GB2312" w:hint="eastAsia"/>
          <w:sz w:val="32"/>
          <w:szCs w:val="32"/>
        </w:rPr>
        <w:t>副总工程师</w:t>
      </w:r>
      <w:r w:rsidR="00CD3986">
        <w:rPr>
          <w:rFonts w:ascii="仿宋_GB2312" w:eastAsia="仿宋_GB2312" w:hAnsiTheme="minorEastAsia" w:cs="仿宋_GB2312" w:hint="eastAsia"/>
          <w:sz w:val="32"/>
          <w:szCs w:val="32"/>
        </w:rPr>
        <w:t>、</w:t>
      </w:r>
    </w:p>
    <w:p w:rsidR="00CD3986" w:rsidRPr="00CD3986" w:rsidRDefault="00CD3986" w:rsidP="00CD3986">
      <w:pPr>
        <w:pStyle w:val="a6"/>
        <w:ind w:firstLineChars="0" w:firstLine="660"/>
        <w:rPr>
          <w:rFonts w:ascii="仿宋_GB2312" w:eastAsia="仿宋_GB2312" w:hAnsiTheme="minorEastAsia" w:cs="仿宋_GB2312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         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集团科技带头人</w:t>
      </w:r>
      <w:r w:rsidR="006304E1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 xml:space="preserve">王永飞  </w:t>
      </w:r>
    </w:p>
    <w:p w:rsidR="00CD3986" w:rsidRDefault="00CD3986" w:rsidP="00CD3986">
      <w:pPr>
        <w:pStyle w:val="a6"/>
        <w:ind w:firstLineChars="700" w:firstLine="2240"/>
        <w:rPr>
          <w:rFonts w:ascii="仿宋_GB2312" w:eastAsia="仿宋_GB2312" w:hAnsiTheme="minorEastAsia" w:cs="仿宋_GB2312" w:hint="eastAsia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</w:t>
      </w: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上海启源芯动力科技有限公司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产品研发</w:t>
      </w:r>
    </w:p>
    <w:p w:rsidR="00CD3986" w:rsidRPr="00CD3986" w:rsidRDefault="00CD3986" w:rsidP="00CD3986">
      <w:pPr>
        <w:pStyle w:val="a6"/>
        <w:ind w:firstLineChars="700" w:firstLine="2240"/>
        <w:rPr>
          <w:rFonts w:ascii="仿宋_GB2312" w:eastAsia="仿宋_GB2312" w:hAnsiTheme="minorEastAsia" w:cs="仿宋_GB2312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部产品总监</w:t>
      </w:r>
      <w:r w:rsidR="006304E1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 xml:space="preserve">王守康  </w:t>
      </w:r>
    </w:p>
    <w:p w:rsidR="00CD3986" w:rsidRDefault="00CD3986" w:rsidP="00CD3986">
      <w:pPr>
        <w:pStyle w:val="a6"/>
        <w:ind w:firstLineChars="62" w:firstLine="198"/>
        <w:rPr>
          <w:rFonts w:ascii="仿宋_GB2312" w:eastAsia="仿宋_GB2312" w:hAnsiTheme="minorEastAsia" w:cs="仿宋_GB2312" w:hint="eastAsia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             </w:t>
      </w: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协</w:t>
      </w:r>
      <w:proofErr w:type="gramStart"/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鑫</w:t>
      </w:r>
      <w:proofErr w:type="gramEnd"/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能源科技有限公司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工程研究院院长</w:t>
      </w: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                        </w:t>
      </w:r>
    </w:p>
    <w:p w:rsidR="00CD3986" w:rsidRPr="00CD3986" w:rsidRDefault="00CD3986" w:rsidP="00CD3986">
      <w:pPr>
        <w:pStyle w:val="a6"/>
        <w:ind w:firstLineChars="62" w:firstLine="198"/>
        <w:rPr>
          <w:rFonts w:ascii="仿宋_GB2312" w:eastAsia="仿宋_GB2312" w:hAnsiTheme="minorEastAsia" w:cs="仿宋_GB2312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            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侯艳丽</w:t>
      </w:r>
    </w:p>
    <w:p w:rsidR="00CD3986" w:rsidRDefault="00CD3986" w:rsidP="00CD3986">
      <w:pPr>
        <w:pStyle w:val="a6"/>
        <w:ind w:firstLineChars="700" w:firstLine="2240"/>
        <w:rPr>
          <w:rFonts w:ascii="仿宋_GB2312" w:eastAsia="仿宋_GB2312" w:hAnsiTheme="minorEastAsia" w:cs="仿宋_GB2312" w:hint="eastAsia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</w:t>
      </w: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上海玖行能源科技有限公司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技术总监</w:t>
      </w:r>
    </w:p>
    <w:p w:rsidR="00CD3986" w:rsidRP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/>
          <w:sz w:val="32"/>
          <w:szCs w:val="32"/>
        </w:rPr>
      </w:pPr>
      <w:proofErr w:type="gramStart"/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来瑞俊</w:t>
      </w:r>
      <w:proofErr w:type="gramEnd"/>
    </w:p>
    <w:p w:rsidR="00CD3986" w:rsidRDefault="00CD3986" w:rsidP="00CD3986">
      <w:pPr>
        <w:pStyle w:val="a6"/>
        <w:ind w:firstLineChars="700" w:firstLine="2240"/>
        <w:rPr>
          <w:rFonts w:ascii="仿宋_GB2312" w:eastAsia="仿宋_GB2312" w:hAnsiTheme="minorEastAsia" w:cs="仿宋_GB2312" w:hint="eastAsia"/>
          <w:sz w:val="32"/>
          <w:szCs w:val="32"/>
        </w:rPr>
      </w:pP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 </w:t>
      </w: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宁德时代新能源科技股份有限公司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换电</w:t>
      </w:r>
      <w:r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</w:p>
    <w:p w:rsidR="00CD3986" w:rsidRP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/>
          <w:sz w:val="32"/>
          <w:szCs w:val="32"/>
        </w:rPr>
      </w:pP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技术总监</w:t>
      </w:r>
      <w:r w:rsidR="006304E1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吴元和</w:t>
      </w:r>
    </w:p>
    <w:p w:rsid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 w:hint="eastAsia"/>
          <w:sz w:val="32"/>
          <w:szCs w:val="32"/>
        </w:rPr>
      </w:pPr>
      <w:r w:rsidRPr="00BC5881">
        <w:rPr>
          <w:rFonts w:ascii="仿宋_GB2312" w:eastAsia="仿宋_GB2312" w:hAnsiTheme="minorEastAsia" w:cs="仿宋_GB2312" w:hint="eastAsia"/>
          <w:sz w:val="32"/>
          <w:szCs w:val="32"/>
        </w:rPr>
        <w:t>博众精工科技股份有限公司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主任工程师</w:t>
      </w:r>
    </w:p>
    <w:p w:rsidR="00CD3986" w:rsidRP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/>
          <w:sz w:val="32"/>
          <w:szCs w:val="32"/>
        </w:rPr>
      </w:pP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吕文昌</w:t>
      </w:r>
    </w:p>
    <w:p w:rsid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 w:hint="eastAsia"/>
          <w:sz w:val="32"/>
          <w:szCs w:val="32"/>
        </w:rPr>
      </w:pP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苏州瑞可达连接系统股份有限公司技术</w:t>
      </w:r>
    </w:p>
    <w:p w:rsidR="00FF3840" w:rsidRPr="00CD3986" w:rsidRDefault="00CD3986" w:rsidP="00CD3986">
      <w:pPr>
        <w:pStyle w:val="a6"/>
        <w:ind w:firstLineChars="800" w:firstLine="2560"/>
        <w:rPr>
          <w:rFonts w:ascii="仿宋_GB2312" w:eastAsia="仿宋_GB2312" w:hAnsiTheme="minorEastAsia" w:cs="仿宋_GB2312"/>
          <w:sz w:val="32"/>
          <w:szCs w:val="32"/>
        </w:rPr>
      </w:pP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>推广总监</w:t>
      </w:r>
      <w:r w:rsidR="006304E1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CD3986">
        <w:rPr>
          <w:rFonts w:ascii="仿宋_GB2312" w:eastAsia="仿宋_GB2312" w:hAnsiTheme="minorEastAsia" w:cs="仿宋_GB2312" w:hint="eastAsia"/>
          <w:sz w:val="32"/>
          <w:szCs w:val="32"/>
        </w:rPr>
        <w:t xml:space="preserve">杨国华  </w:t>
      </w:r>
    </w:p>
    <w:p w:rsidR="00FF3840" w:rsidRDefault="00C47AB0">
      <w:pPr>
        <w:pStyle w:val="a6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二、制定标准的意义和必要性</w:t>
      </w:r>
    </w:p>
    <w:p w:rsidR="00BC5881" w:rsidRDefault="00BC5881" w:rsidP="00BC5881">
      <w:pPr>
        <w:pStyle w:val="a6"/>
        <w:ind w:firstLine="640"/>
        <w:rPr>
          <w:rFonts w:ascii="黑体" w:eastAsia="黑体" w:hAnsi="黑体"/>
          <w:sz w:val="32"/>
          <w:szCs w:val="32"/>
        </w:rPr>
      </w:pPr>
      <w:r w:rsidRPr="00BC5881">
        <w:rPr>
          <w:rFonts w:ascii="黑体" w:eastAsia="黑体" w:hAnsi="黑体" w:hint="eastAsia"/>
          <w:sz w:val="32"/>
          <w:szCs w:val="32"/>
        </w:rPr>
        <w:t>为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实现双碳目标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，国家大力号召节能减排，新能源电动汽车也由此步入了发展的快车道，内蒙古自治区作为中国北方生态屏障，纯电动汽车产业发展正在加速推进，其中包头市作为国家三个重卡类试点城市之一，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围绕散改集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、煤炭运输、钢铁冶金、城市用车、绿色矿山等应用场景，启动了万台新能源项目，但面对纯电动中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重卡存在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的充电难、充电时</w:t>
      </w:r>
      <w:r w:rsidRPr="00BC5881">
        <w:rPr>
          <w:rFonts w:ascii="黑体" w:eastAsia="黑体" w:hAnsi="黑体" w:hint="eastAsia"/>
          <w:sz w:val="32"/>
          <w:szCs w:val="32"/>
        </w:rPr>
        <w:lastRenderedPageBreak/>
        <w:t>间长 ( 大约 0.5 ～ 2h)</w:t>
      </w:r>
      <w:r w:rsidR="00B4779C">
        <w:rPr>
          <w:rFonts w:ascii="黑体" w:eastAsia="黑体" w:hAnsi="黑体" w:hint="eastAsia"/>
          <w:sz w:val="32"/>
          <w:szCs w:val="32"/>
        </w:rPr>
        <w:t>等现状，</w:t>
      </w:r>
      <w:proofErr w:type="gramStart"/>
      <w:r w:rsidR="00B4779C">
        <w:rPr>
          <w:rFonts w:ascii="黑体" w:eastAsia="黑体" w:hAnsi="黑体" w:hint="eastAsia"/>
          <w:sz w:val="32"/>
          <w:szCs w:val="32"/>
        </w:rPr>
        <w:t>充换电站</w:t>
      </w:r>
      <w:proofErr w:type="gramEnd"/>
      <w:r w:rsidR="00B4779C">
        <w:rPr>
          <w:rFonts w:ascii="黑体" w:eastAsia="黑体" w:hAnsi="黑体" w:hint="eastAsia"/>
          <w:sz w:val="32"/>
          <w:szCs w:val="32"/>
        </w:rPr>
        <w:t>基础设施建设，将成为新能源电动汽车</w:t>
      </w:r>
      <w:r w:rsidRPr="00BC5881">
        <w:rPr>
          <w:rFonts w:ascii="黑体" w:eastAsia="黑体" w:hAnsi="黑体" w:hint="eastAsia"/>
          <w:sz w:val="32"/>
          <w:szCs w:val="32"/>
        </w:rPr>
        <w:t>推广的重要推手。</w:t>
      </w:r>
      <w:r>
        <w:rPr>
          <w:rFonts w:ascii="黑体" w:eastAsia="黑体" w:hAnsi="黑体" w:hint="eastAsia"/>
          <w:sz w:val="32"/>
          <w:szCs w:val="32"/>
        </w:rPr>
        <w:t>同时</w:t>
      </w:r>
      <w:r w:rsidRPr="00BC5881">
        <w:rPr>
          <w:rFonts w:ascii="黑体" w:eastAsia="黑体" w:hAnsi="黑体" w:hint="eastAsia"/>
          <w:sz w:val="32"/>
          <w:szCs w:val="32"/>
        </w:rPr>
        <w:t>面对自治区新能源汽车的迅猛发展，为实现不同电量、品牌电池，不同品牌电站及车辆能够相互兼容，先期依据工业和信息化部办公厅印发《关于启动新能源汽车换电模式应用试点工作的通知》的要求，建立包头市充换电站地方标准，统一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充换电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接口及通讯标准。后续依托包头地区产生示范效应，以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221台充换电站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建设规划为指引，重点拓展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”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呼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包鄂乌”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四个城市，采取“站随车走”的模式，逐步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完成充换电站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基础设施建设，着力解决目前客户应用场景缺乏</w:t>
      </w:r>
      <w:proofErr w:type="gramStart"/>
      <w:r w:rsidRPr="00BC5881">
        <w:rPr>
          <w:rFonts w:ascii="黑体" w:eastAsia="黑体" w:hAnsi="黑体" w:hint="eastAsia"/>
          <w:sz w:val="32"/>
          <w:szCs w:val="32"/>
        </w:rPr>
        <w:t>充换电基础</w:t>
      </w:r>
      <w:proofErr w:type="gramEnd"/>
      <w:r w:rsidRPr="00BC5881">
        <w:rPr>
          <w:rFonts w:ascii="黑体" w:eastAsia="黑体" w:hAnsi="黑体" w:hint="eastAsia"/>
          <w:sz w:val="32"/>
          <w:szCs w:val="32"/>
        </w:rPr>
        <w:t>设施问题，陆续推动全区推广复制</w:t>
      </w:r>
      <w:r>
        <w:rPr>
          <w:rFonts w:ascii="黑体" w:eastAsia="黑体" w:hAnsi="黑体" w:hint="eastAsia"/>
          <w:sz w:val="32"/>
          <w:szCs w:val="32"/>
        </w:rPr>
        <w:t>，其主要意义</w:t>
      </w:r>
      <w:r w:rsidR="0050459F">
        <w:rPr>
          <w:rFonts w:ascii="黑体" w:eastAsia="黑体" w:hAnsi="黑体" w:hint="eastAsia"/>
          <w:sz w:val="32"/>
          <w:szCs w:val="32"/>
        </w:rPr>
        <w:t>及必要性</w:t>
      </w:r>
      <w:r>
        <w:rPr>
          <w:rFonts w:ascii="黑体" w:eastAsia="黑体" w:hAnsi="黑体" w:hint="eastAsia"/>
          <w:sz w:val="32"/>
          <w:szCs w:val="32"/>
        </w:rPr>
        <w:t>如下：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1、大幅度缩短能量补充时间，减少里程焦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纯电动汽车能量补充主要通过充电的方式来获得，以现有的技术，</w:t>
      </w:r>
      <w:proofErr w:type="gramStart"/>
      <w:r w:rsidRPr="00BC5881">
        <w:rPr>
          <w:rFonts w:ascii="黑体" w:eastAsia="黑体" w:hAnsi="黑体" w:cstheme="minorBidi" w:hint="eastAsia"/>
          <w:sz w:val="32"/>
          <w:szCs w:val="32"/>
        </w:rPr>
        <w:t>慢充需</w:t>
      </w:r>
      <w:proofErr w:type="gramEnd"/>
      <w:r w:rsidRPr="00BC5881">
        <w:rPr>
          <w:rFonts w:ascii="黑体" w:eastAsia="黑体" w:hAnsi="黑体" w:cstheme="minorBidi" w:hint="eastAsia"/>
          <w:sz w:val="32"/>
          <w:szCs w:val="32"/>
        </w:rPr>
        <w:t xml:space="preserve"> 6～8 小时才能充满，</w:t>
      </w:r>
      <w:proofErr w:type="gramStart"/>
      <w:r w:rsidRPr="00BC5881">
        <w:rPr>
          <w:rFonts w:ascii="黑体" w:eastAsia="黑体" w:hAnsi="黑体" w:cstheme="minorBidi" w:hint="eastAsia"/>
          <w:sz w:val="32"/>
          <w:szCs w:val="32"/>
        </w:rPr>
        <w:t>快充需</w:t>
      </w:r>
      <w:proofErr w:type="gramEnd"/>
      <w:r w:rsidRPr="00BC5881">
        <w:rPr>
          <w:rFonts w:ascii="黑体" w:eastAsia="黑体" w:hAnsi="黑体" w:cstheme="minorBidi" w:hint="eastAsia"/>
          <w:sz w:val="32"/>
          <w:szCs w:val="32"/>
        </w:rPr>
        <w:t xml:space="preserve"> 15～30 分钟，难以满足当今社会快节奏生活要求，采用换电模式可以在 3 分钟内实现纯电动汽车能源补给，做到与传统燃油车加油时间相当，有效解决因电池能量不足造成的里程焦虑问题。 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2、统一管理，延长电池的使用寿命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换电模式下，动力</w:t>
      </w:r>
      <w:proofErr w:type="gramStart"/>
      <w:r w:rsidRPr="00BC5881">
        <w:rPr>
          <w:rFonts w:ascii="黑体" w:eastAsia="黑体" w:hAnsi="黑体" w:cstheme="minorBidi" w:hint="eastAsia"/>
          <w:sz w:val="32"/>
          <w:szCs w:val="32"/>
        </w:rPr>
        <w:t>电池由换电站</w:t>
      </w:r>
      <w:proofErr w:type="gramEnd"/>
      <w:r w:rsidRPr="00BC5881">
        <w:rPr>
          <w:rFonts w:ascii="黑体" w:eastAsia="黑体" w:hAnsi="黑体" w:cstheme="minorBidi" w:hint="eastAsia"/>
          <w:sz w:val="32"/>
          <w:szCs w:val="32"/>
        </w:rPr>
        <w:t>统一管理，统一充电，可以用最合理的方式对动力电池进行充电和维护，从而延长动力电池的使用寿命，同时在电池充电时能及时发现电池的</w:t>
      </w:r>
      <w:r w:rsidRPr="00BC5881">
        <w:rPr>
          <w:rFonts w:ascii="黑体" w:eastAsia="黑体" w:hAnsi="黑体" w:cstheme="minorBidi" w:hint="eastAsia"/>
          <w:sz w:val="32"/>
          <w:szCs w:val="32"/>
        </w:rPr>
        <w:lastRenderedPageBreak/>
        <w:t xml:space="preserve">问题，从而将动力电池的安全隐患排除在萌芽状态。 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3、错峰充电，降低用电成本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 xml:space="preserve">储备电池可以在用电负荷较低的晚上进行充电，减少充电费用。同时，充电站也可以和风光等新能源结合，构建微型风光储电站，大大降低用电成本，也可以在紧急情况向电网馈送电能，有利于智能电网的建设。 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4、换电站利用效率高于充电站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新能源汽车的充电时间长，即使快充也需要 30 分钟左右，而更换电池仅需要 3 分钟左右，效率远</w:t>
      </w:r>
      <w:r>
        <w:rPr>
          <w:rFonts w:ascii="黑体" w:eastAsia="黑体" w:hAnsi="黑体" w:cstheme="minorBidi" w:hint="eastAsia"/>
          <w:sz w:val="32"/>
          <w:szCs w:val="32"/>
        </w:rPr>
        <w:t>高于</w:t>
      </w:r>
      <w:r w:rsidRPr="00BC5881">
        <w:rPr>
          <w:rFonts w:ascii="黑体" w:eastAsia="黑体" w:hAnsi="黑体" w:cstheme="minorBidi" w:hint="eastAsia"/>
          <w:sz w:val="32"/>
          <w:szCs w:val="32"/>
        </w:rPr>
        <w:t xml:space="preserve">充电模式。据测算一个 70㎡ 左右的换电站每天可以完成换电池 300 次。 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5、方便电池的回收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当动力电池的容量衰减至额定容量的80%时，其爬坡和加速能力下降，需要更换动力电池，而更换下来的电池仍有较大的利用价值，可以梯次利用或再生利用，换</w:t>
      </w:r>
      <w:r w:rsidR="006F5960">
        <w:rPr>
          <w:rFonts w:ascii="黑体" w:eastAsia="黑体" w:hAnsi="黑体" w:cstheme="minorBidi" w:hint="eastAsia"/>
          <w:sz w:val="32"/>
          <w:szCs w:val="32"/>
        </w:rPr>
        <w:t>电模式的电池归企业所有，便于统一回收。规避动力电池退役报废后</w:t>
      </w:r>
      <w:r w:rsidRPr="00BC5881">
        <w:rPr>
          <w:rFonts w:ascii="黑体" w:eastAsia="黑体" w:hAnsi="黑体" w:cstheme="minorBidi" w:hint="eastAsia"/>
          <w:sz w:val="32"/>
          <w:szCs w:val="32"/>
        </w:rPr>
        <w:t xml:space="preserve">流入黑市、小作坊，解决具有资质的企业难以收到退役的动力电池现状。 </w:t>
      </w:r>
    </w:p>
    <w:p w:rsidR="00BC5881" w:rsidRPr="00BC5881" w:rsidRDefault="00BC5881" w:rsidP="00BC5881">
      <w:pPr>
        <w:spacing w:line="360" w:lineRule="auto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BC5881">
        <w:rPr>
          <w:rFonts w:ascii="黑体" w:eastAsia="黑体" w:hAnsi="黑体" w:cstheme="minorBidi" w:hint="eastAsia"/>
          <w:sz w:val="32"/>
          <w:szCs w:val="32"/>
        </w:rPr>
        <w:t>6、减轻消费者的购车压力</w:t>
      </w:r>
    </w:p>
    <w:p w:rsidR="00BC5881" w:rsidRPr="00BC5881" w:rsidRDefault="006F5960" w:rsidP="00BC5881">
      <w:pPr>
        <w:pStyle w:val="a6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动力电池成本</w:t>
      </w:r>
      <w:r w:rsidR="00BC5881" w:rsidRPr="00BC5881">
        <w:rPr>
          <w:rFonts w:ascii="黑体" w:eastAsia="黑体" w:hAnsi="黑体" w:hint="eastAsia"/>
          <w:sz w:val="32"/>
          <w:szCs w:val="32"/>
        </w:rPr>
        <w:t>占新能源整车40%左右，通过换电可实现车电分离，消费者购买车辆时不再同步购买电池，大大降低了购车成本和门槛，有利于新能源汽车的推广。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三、标准起草过程</w:t>
      </w:r>
    </w:p>
    <w:p w:rsidR="00FF3840" w:rsidRDefault="00C47AB0">
      <w:pPr>
        <w:spacing w:line="5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根据任务来源要求，起草单位于</w:t>
      </w:r>
      <w:r w:rsidR="0050459F">
        <w:rPr>
          <w:rFonts w:ascii="仿宋_GB2312" w:eastAsia="仿宋_GB2312" w:hAnsiTheme="minorEastAsia" w:cstheme="minorEastAsia" w:hint="eastAsia"/>
          <w:sz w:val="32"/>
          <w:szCs w:val="32"/>
        </w:rPr>
        <w:t>2022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50459F">
        <w:rPr>
          <w:rFonts w:ascii="仿宋_GB2312" w:eastAsia="仿宋_GB2312" w:hAnsiTheme="minorEastAsia" w:cs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月成立了标准编制工作组，组织标准起草工作。</w:t>
      </w:r>
    </w:p>
    <w:p w:rsidR="00FF3840" w:rsidRDefault="00C47AB0">
      <w:pPr>
        <w:spacing w:line="5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标准编制工作组制定了标准工作计划、编写大纲、明确任务分工及各阶段进度时间。同时，广泛征求标准方面的专家对《</w:t>
      </w:r>
      <w:r w:rsidR="0050459F" w:rsidRPr="00BF3306">
        <w:rPr>
          <w:rFonts w:ascii="仿宋_GB2312" w:eastAsia="仿宋_GB2312" w:hAnsiTheme="minorEastAsia" w:cs="仿宋_GB2312" w:hint="eastAsia"/>
          <w:sz w:val="32"/>
          <w:szCs w:val="32"/>
        </w:rPr>
        <w:t>电动中重型卡车共享换电站建</w:t>
      </w:r>
      <w:r w:rsidR="0050459F">
        <w:rPr>
          <w:rFonts w:ascii="仿宋_GB2312" w:eastAsia="仿宋_GB2312" w:hAnsiTheme="minorEastAsia" w:cs="仿宋_GB2312" w:hint="eastAsia"/>
          <w:sz w:val="32"/>
          <w:szCs w:val="32"/>
        </w:rPr>
        <w:t>设及换电车辆技术规范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》草案进行讨论审核，希望通过最终评审会议按规定程序批准、发布。</w:t>
      </w:r>
    </w:p>
    <w:p w:rsidR="00FF3840" w:rsidRDefault="00C47AB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（一）起草阶段</w:t>
      </w:r>
    </w:p>
    <w:p w:rsidR="00FF3840" w:rsidRDefault="00C47AB0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起草小组收集和查阅了大量标准和科学数据进行了调查并全面分析、研究归纳。</w:t>
      </w:r>
      <w:r>
        <w:rPr>
          <w:rFonts w:ascii="仿宋_GB2312" w:eastAsia="仿宋_GB2312" w:hAnsiTheme="minorEastAsia" w:cs="仿宋_GB2312" w:hint="eastAsia"/>
          <w:spacing w:val="10"/>
          <w:sz w:val="32"/>
          <w:szCs w:val="32"/>
        </w:rPr>
        <w:t>在综合调查分析的基础上，</w:t>
      </w:r>
      <w:r>
        <w:rPr>
          <w:rFonts w:ascii="仿宋_GB2312" w:eastAsia="仿宋_GB2312" w:hAnsiTheme="minorEastAsia" w:hint="eastAsia"/>
          <w:sz w:val="32"/>
          <w:szCs w:val="32"/>
        </w:rPr>
        <w:t>起草小组严格遵循GB/T、1.1所规定的标准编写要求和格式起草了《</w:t>
      </w:r>
      <w:r w:rsidR="006F5960" w:rsidRPr="00BF3306">
        <w:rPr>
          <w:rFonts w:ascii="仿宋_GB2312" w:eastAsia="仿宋_GB2312" w:hAnsiTheme="minorEastAsia" w:cs="仿宋_GB2312" w:hint="eastAsia"/>
          <w:sz w:val="32"/>
          <w:szCs w:val="32"/>
        </w:rPr>
        <w:t>电动中重型卡车共享换电站建</w:t>
      </w:r>
      <w:r w:rsidR="006F5960">
        <w:rPr>
          <w:rFonts w:ascii="仿宋_GB2312" w:eastAsia="仿宋_GB2312" w:hAnsiTheme="minorEastAsia" w:cs="仿宋_GB2312" w:hint="eastAsia"/>
          <w:sz w:val="32"/>
          <w:szCs w:val="32"/>
        </w:rPr>
        <w:t>设及换电车辆技术规范</w:t>
      </w:r>
      <w:r>
        <w:rPr>
          <w:rFonts w:ascii="仿宋_GB2312" w:eastAsia="仿宋_GB2312" w:hAnsiTheme="minorEastAsia" w:hint="eastAsia"/>
          <w:sz w:val="32"/>
          <w:szCs w:val="32"/>
        </w:rPr>
        <w:t>》</w:t>
      </w:r>
      <w:r>
        <w:rPr>
          <w:rFonts w:ascii="仿宋_GB2312" w:eastAsia="仿宋_GB2312" w:hAnsiTheme="minorEastAsia" w:hint="eastAsia"/>
          <w:spacing w:val="10"/>
          <w:sz w:val="32"/>
          <w:szCs w:val="32"/>
        </w:rPr>
        <w:t>标准</w:t>
      </w:r>
      <w:r>
        <w:rPr>
          <w:rFonts w:ascii="仿宋_GB2312" w:eastAsia="仿宋_GB2312" w:hAnsiTheme="minorEastAsia" w:hint="eastAsia"/>
          <w:sz w:val="32"/>
          <w:szCs w:val="32"/>
        </w:rPr>
        <w:t>。起草小组成员对标准的草案进行了多次修改，形成了征求意见稿。</w:t>
      </w:r>
    </w:p>
    <w:p w:rsidR="00FF3840" w:rsidRDefault="00C47AB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（二）征求意见阶段</w:t>
      </w:r>
    </w:p>
    <w:p w:rsidR="00FF3840" w:rsidRDefault="0050459F" w:rsidP="0050459F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征求意见过程中遵循民主性、代表性的原则，广泛征求来自各</w:t>
      </w:r>
      <w:r w:rsidR="00C47AB0">
        <w:rPr>
          <w:rFonts w:ascii="仿宋_GB2312" w:eastAsia="仿宋_GB2312" w:hAnsiTheme="minorEastAsia" w:hint="eastAsia"/>
          <w:sz w:val="32"/>
          <w:szCs w:val="32"/>
        </w:rPr>
        <w:t>单位的专家意见。</w:t>
      </w:r>
    </w:p>
    <w:p w:rsidR="00FF3840" w:rsidRDefault="00C47AB0" w:rsidP="0050459F">
      <w:pPr>
        <w:spacing w:line="560" w:lineRule="exact"/>
        <w:ind w:firstLineChars="200" w:firstLine="6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pacing w:val="10"/>
          <w:sz w:val="32"/>
          <w:szCs w:val="32"/>
        </w:rPr>
        <w:t>专家组对标准制定中遇到的相关问题进行了深入交流并进行修改，</w:t>
      </w:r>
      <w:r>
        <w:rPr>
          <w:rFonts w:ascii="仿宋_GB2312" w:eastAsia="仿宋_GB2312" w:hAnsiTheme="minorEastAsia" w:hint="eastAsia"/>
          <w:sz w:val="32"/>
          <w:szCs w:val="32"/>
        </w:rPr>
        <w:t>最终形成完整的送审稿。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四、制定本标准的指导思想、编制原则和依据</w:t>
      </w:r>
    </w:p>
    <w:p w:rsidR="00FF3840" w:rsidRPr="00307E19" w:rsidRDefault="00C47AB0" w:rsidP="0050459F">
      <w:pPr>
        <w:spacing w:line="560" w:lineRule="exact"/>
        <w:ind w:firstLineChars="150" w:firstLine="480"/>
        <w:rPr>
          <w:rFonts w:ascii="仿宋_GB2312" w:eastAsia="仿宋_GB2312" w:hAnsiTheme="minorEastAsia" w:cs="仿宋_GB2312"/>
          <w:sz w:val="32"/>
          <w:szCs w:val="32"/>
        </w:rPr>
      </w:pPr>
      <w:r w:rsidRPr="00307E19">
        <w:rPr>
          <w:rFonts w:ascii="仿宋_GB2312" w:eastAsia="仿宋_GB2312" w:hAnsiTheme="minorEastAsia" w:cs="仿宋_GB2312" w:hint="eastAsia"/>
          <w:sz w:val="32"/>
          <w:szCs w:val="32"/>
        </w:rPr>
        <w:t>指导思想：</w:t>
      </w:r>
      <w:r w:rsidR="0050459F">
        <w:rPr>
          <w:rFonts w:ascii="仿宋_GB2312" w:eastAsia="仿宋_GB2312" w:hAnsiTheme="minorEastAsia" w:cs="仿宋_GB2312" w:hint="eastAsia"/>
          <w:sz w:val="32"/>
          <w:szCs w:val="32"/>
        </w:rPr>
        <w:t>贯彻落实</w:t>
      </w:r>
      <w:r w:rsidR="0050459F" w:rsidRPr="00BF3306">
        <w:rPr>
          <w:rFonts w:ascii="仿宋_GB2312" w:eastAsia="仿宋_GB2312" w:hAnsiTheme="minorEastAsia" w:cs="仿宋_GB2312" w:hint="eastAsia"/>
          <w:sz w:val="32"/>
          <w:szCs w:val="32"/>
        </w:rPr>
        <w:t>工业和信息化部办公厅印发《关于启动新能源汽车换电模式应用试点工作的通知》的要求，</w:t>
      </w:r>
      <w:r w:rsidR="00307E19" w:rsidRPr="00307E19">
        <w:rPr>
          <w:rFonts w:ascii="仿宋_GB2312" w:eastAsia="仿宋_GB2312" w:hAnsiTheme="minorEastAsia" w:cs="仿宋_GB2312" w:hint="eastAsia"/>
          <w:sz w:val="32"/>
          <w:szCs w:val="32"/>
        </w:rPr>
        <w:t>推动</w:t>
      </w:r>
      <w:proofErr w:type="gramStart"/>
      <w:r w:rsidR="00307E19" w:rsidRPr="00307E19">
        <w:rPr>
          <w:rFonts w:ascii="仿宋_GB2312" w:eastAsia="仿宋_GB2312" w:hAnsiTheme="minorEastAsia" w:cs="仿宋_GB2312" w:hint="eastAsia"/>
          <w:sz w:val="32"/>
          <w:szCs w:val="32"/>
        </w:rPr>
        <w:t>包头重卡换</w:t>
      </w:r>
      <w:proofErr w:type="gramEnd"/>
      <w:r w:rsidR="00307E19" w:rsidRPr="00307E19">
        <w:rPr>
          <w:rFonts w:ascii="仿宋_GB2312" w:eastAsia="仿宋_GB2312" w:hAnsiTheme="minorEastAsia" w:cs="仿宋_GB2312" w:hint="eastAsia"/>
          <w:sz w:val="32"/>
          <w:szCs w:val="32"/>
        </w:rPr>
        <w:t>电示范城市建设</w:t>
      </w:r>
      <w:r w:rsidR="00307E19">
        <w:rPr>
          <w:rFonts w:ascii="仿宋_GB2312" w:eastAsia="仿宋_GB2312" w:hAnsiTheme="minorEastAsia" w:cs="仿宋_GB2312" w:hint="eastAsia"/>
          <w:sz w:val="32"/>
          <w:szCs w:val="32"/>
        </w:rPr>
        <w:t>，</w:t>
      </w:r>
      <w:r w:rsidR="00307E19" w:rsidRPr="00BC5881">
        <w:rPr>
          <w:rFonts w:ascii="黑体" w:eastAsia="黑体" w:hAnsi="黑体" w:cstheme="minorBidi" w:hint="eastAsia"/>
          <w:sz w:val="32"/>
          <w:szCs w:val="32"/>
        </w:rPr>
        <w:t>实现不同电量、品牌电池，不同品牌电站及车辆能够相互兼容，建立包头市充换电站地方标准，统一</w:t>
      </w:r>
      <w:proofErr w:type="gramStart"/>
      <w:r w:rsidR="00307E19" w:rsidRPr="00BC5881">
        <w:rPr>
          <w:rFonts w:ascii="黑体" w:eastAsia="黑体" w:hAnsi="黑体" w:cstheme="minorBidi" w:hint="eastAsia"/>
          <w:sz w:val="32"/>
          <w:szCs w:val="32"/>
        </w:rPr>
        <w:t>充换电</w:t>
      </w:r>
      <w:proofErr w:type="gramEnd"/>
      <w:r w:rsidR="00307E19" w:rsidRPr="00BC5881">
        <w:rPr>
          <w:rFonts w:ascii="黑体" w:eastAsia="黑体" w:hAnsi="黑体" w:cstheme="minorBidi" w:hint="eastAsia"/>
          <w:sz w:val="32"/>
          <w:szCs w:val="32"/>
        </w:rPr>
        <w:t>接口及通讯标准</w:t>
      </w:r>
      <w:r w:rsidR="00307E19">
        <w:rPr>
          <w:rFonts w:ascii="仿宋_GB2312" w:eastAsia="仿宋_GB2312" w:hAnsiTheme="minorEastAsia" w:cs="仿宋_GB2312" w:hint="eastAsia"/>
          <w:sz w:val="32"/>
          <w:szCs w:val="32"/>
        </w:rPr>
        <w:t>。</w:t>
      </w:r>
    </w:p>
    <w:p w:rsidR="00FF3840" w:rsidRDefault="00C47AB0">
      <w:pPr>
        <w:spacing w:line="56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kern w:val="0"/>
          <w:sz w:val="32"/>
          <w:szCs w:val="32"/>
        </w:rPr>
        <w:lastRenderedPageBreak/>
        <w:t>编制原则：</w:t>
      </w:r>
      <w:r>
        <w:rPr>
          <w:rFonts w:ascii="仿宋_GB2312" w:eastAsia="仿宋_GB2312" w:hAnsiTheme="minorEastAsia" w:hint="eastAsia"/>
          <w:sz w:val="32"/>
          <w:szCs w:val="32"/>
        </w:rPr>
        <w:t>标准编制遵循“科学性、先进性、统一性、经济性、适用性、协调一致性和规范性”的原则，在广泛调查研究的基础上，多方面争求专家意见，参照国内相关标准，制定了本标准。</w:t>
      </w:r>
    </w:p>
    <w:p w:rsidR="00FF3840" w:rsidRDefault="00C47AB0">
      <w:pPr>
        <w:spacing w:line="560" w:lineRule="exact"/>
        <w:ind w:firstLineChars="200" w:firstLine="640"/>
        <w:rPr>
          <w:rFonts w:ascii="仿宋_GB2312" w:eastAsia="仿宋_GB2312" w:hAnsiTheme="minorEastAsia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kern w:val="0"/>
          <w:sz w:val="32"/>
          <w:szCs w:val="32"/>
        </w:rPr>
        <w:t>本标准依据GB/T、1.1-2009《标准化工作导则》给出的规则起草。同时参照了部分国家标准和行业标准等。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五、主要条款内容的解释说明</w:t>
      </w:r>
    </w:p>
    <w:p w:rsidR="00FF3840" w:rsidRDefault="0050459F">
      <w:pPr>
        <w:pStyle w:val="a6"/>
        <w:ind w:firstLine="640"/>
        <w:rPr>
          <w:rFonts w:ascii="仿宋_GB2312" w:eastAsia="仿宋_GB2312" w:hAnsiTheme="minorEastAsia" w:cs="仿宋_GB2312"/>
          <w:sz w:val="32"/>
          <w:szCs w:val="32"/>
        </w:rPr>
      </w:pPr>
      <w:bookmarkStart w:id="0" w:name="_GoBack"/>
      <w:bookmarkEnd w:id="0"/>
      <w:r w:rsidRPr="0050459F">
        <w:rPr>
          <w:rFonts w:ascii="仿宋_GB2312" w:eastAsia="仿宋_GB2312" w:hAnsiTheme="minorEastAsia" w:cs="仿宋_GB2312" w:hint="eastAsia"/>
          <w:sz w:val="32"/>
          <w:szCs w:val="32"/>
        </w:rPr>
        <w:t>本标准规定了电动中重型卡车共享换电站建设及换</w:t>
      </w:r>
      <w:proofErr w:type="gramStart"/>
      <w:r w:rsidRPr="0050459F">
        <w:rPr>
          <w:rFonts w:ascii="仿宋_GB2312" w:eastAsia="仿宋_GB2312" w:hAnsiTheme="minorEastAsia" w:cs="仿宋_GB2312" w:hint="eastAsia"/>
          <w:sz w:val="32"/>
          <w:szCs w:val="32"/>
        </w:rPr>
        <w:t>电车辆</w:t>
      </w:r>
      <w:proofErr w:type="gramEnd"/>
      <w:r w:rsidRPr="0050459F">
        <w:rPr>
          <w:rFonts w:ascii="仿宋_GB2312" w:eastAsia="仿宋_GB2312" w:hAnsiTheme="minorEastAsia" w:cs="仿宋_GB2312" w:hint="eastAsia"/>
          <w:sz w:val="32"/>
          <w:szCs w:val="32"/>
        </w:rPr>
        <w:t>技术相关的换电站系统的组成、设计与安装、自动化更换电池系统的运行与维护、换电池制度、电池的管理检测系统等内容。</w:t>
      </w:r>
    </w:p>
    <w:p w:rsidR="00FF3840" w:rsidRDefault="00C47AB0">
      <w:pPr>
        <w:spacing w:line="560" w:lineRule="exac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六、重大意见分歧的处理依据和结果</w:t>
      </w:r>
    </w:p>
    <w:p w:rsidR="00FF3840" w:rsidRDefault="00C47AB0" w:rsidP="0050459F">
      <w:pPr>
        <w:spacing w:line="560" w:lineRule="exac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无</w:t>
      </w:r>
      <w:r w:rsidR="0050459F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七、标准作为强制性或推荐性标准的意见</w:t>
      </w:r>
    </w:p>
    <w:p w:rsidR="00FF3840" w:rsidRDefault="00C47AB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建议本标准的要求内容为推荐性标准。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八、废止现行有关标准的建议</w:t>
      </w:r>
    </w:p>
    <w:p w:rsidR="00FF3840" w:rsidRDefault="00C47AB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由于目前无相关标准，因此不存在代替或废止现行标准问题。</w:t>
      </w:r>
    </w:p>
    <w:p w:rsidR="00FF3840" w:rsidRDefault="00C47AB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九、其他应予说明的事项</w:t>
      </w:r>
    </w:p>
    <w:p w:rsidR="00FF3840" w:rsidRDefault="00C47AB0" w:rsidP="0050459F">
      <w:pPr>
        <w:spacing w:line="560" w:lineRule="exac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无。</w:t>
      </w:r>
    </w:p>
    <w:p w:rsidR="00FF3840" w:rsidRDefault="00FF3840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50459F" w:rsidRDefault="0050459F" w:rsidP="0050459F">
      <w:pPr>
        <w:pStyle w:val="a6"/>
        <w:ind w:left="960" w:hangingChars="300" w:hanging="96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 xml:space="preserve">               包头市</w:t>
      </w:r>
      <w:proofErr w:type="gramStart"/>
      <w:r w:rsidR="00C47AB0" w:rsidRPr="0050459F">
        <w:rPr>
          <w:rFonts w:asciiTheme="minorEastAsia" w:hAnsiTheme="minorEastAsia" w:hint="eastAsia"/>
          <w:sz w:val="32"/>
          <w:szCs w:val="32"/>
        </w:rPr>
        <w:t>《</w:t>
      </w:r>
      <w:proofErr w:type="gramEnd"/>
      <w:r w:rsidRPr="0050459F">
        <w:rPr>
          <w:rFonts w:asciiTheme="minorEastAsia" w:hAnsiTheme="minorEastAsia" w:hint="eastAsia"/>
          <w:sz w:val="32"/>
          <w:szCs w:val="32"/>
        </w:rPr>
        <w:t>电动中重卡共享换电站建设及换</w:t>
      </w:r>
    </w:p>
    <w:p w:rsidR="00FF3840" w:rsidRDefault="0050459F" w:rsidP="0050459F">
      <w:pPr>
        <w:pStyle w:val="a6"/>
        <w:ind w:left="960" w:right="480" w:hangingChars="300" w:hanging="960"/>
        <w:jc w:val="right"/>
        <w:rPr>
          <w:rFonts w:asciiTheme="minorEastAsia" w:hAnsiTheme="minorEastAsia"/>
          <w:sz w:val="32"/>
          <w:szCs w:val="32"/>
        </w:rPr>
      </w:pPr>
      <w:proofErr w:type="gramStart"/>
      <w:r w:rsidRPr="0050459F">
        <w:rPr>
          <w:rFonts w:asciiTheme="minorEastAsia" w:hAnsiTheme="minorEastAsia" w:hint="eastAsia"/>
          <w:sz w:val="32"/>
          <w:szCs w:val="32"/>
        </w:rPr>
        <w:t>电车辆</w:t>
      </w:r>
      <w:proofErr w:type="gramEnd"/>
      <w:r w:rsidRPr="0050459F">
        <w:rPr>
          <w:rFonts w:asciiTheme="minorEastAsia" w:hAnsiTheme="minorEastAsia" w:hint="eastAsia"/>
          <w:sz w:val="32"/>
          <w:szCs w:val="32"/>
        </w:rPr>
        <w:t>技术规范地方标准</w:t>
      </w:r>
      <w:proofErr w:type="gramStart"/>
      <w:r w:rsidR="00C47AB0" w:rsidRPr="0050459F">
        <w:rPr>
          <w:rFonts w:asciiTheme="minorEastAsia" w:hAnsiTheme="minorEastAsia" w:hint="eastAsia"/>
          <w:sz w:val="32"/>
          <w:szCs w:val="32"/>
        </w:rPr>
        <w:t>》</w:t>
      </w:r>
      <w:proofErr w:type="gramEnd"/>
      <w:r w:rsidR="00C47AB0">
        <w:rPr>
          <w:rFonts w:asciiTheme="minorEastAsia" w:hAnsiTheme="minorEastAsia" w:hint="eastAsia"/>
          <w:sz w:val="32"/>
          <w:szCs w:val="32"/>
        </w:rPr>
        <w:t>编制组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:rsidR="00FF3840" w:rsidRPr="005E3FE5" w:rsidRDefault="0050459F" w:rsidP="005E3FE5">
      <w:pPr>
        <w:pStyle w:val="a6"/>
        <w:ind w:left="960" w:hangingChars="300" w:hanging="96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2022</w:t>
      </w:r>
      <w:r w:rsidR="00C47AB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5</w:t>
      </w:r>
      <w:r w:rsidR="00C47AB0">
        <w:rPr>
          <w:rFonts w:asciiTheme="minorEastAsia" w:hAnsiTheme="minorEastAsia" w:hint="eastAsia"/>
          <w:sz w:val="32"/>
          <w:szCs w:val="32"/>
        </w:rPr>
        <w:t>月</w:t>
      </w:r>
    </w:p>
    <w:sectPr w:rsidR="00FF3840" w:rsidRPr="005E3FE5" w:rsidSect="00FF3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96" w:rsidRDefault="00824B96" w:rsidP="00FF3840">
      <w:r>
        <w:separator/>
      </w:r>
    </w:p>
  </w:endnote>
  <w:endnote w:type="continuationSeparator" w:id="0">
    <w:p w:rsidR="00824B96" w:rsidRDefault="00824B96" w:rsidP="00FF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0F5E4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C47AB0">
      <w:rPr>
        <w:rStyle w:val="a5"/>
      </w:rPr>
      <w:instrText xml:space="preserve">PAGE  </w:instrText>
    </w:r>
    <w:r>
      <w:fldChar w:fldCharType="separate"/>
    </w:r>
    <w:r w:rsidR="00C47AB0">
      <w:rPr>
        <w:rStyle w:val="a5"/>
      </w:rPr>
      <w:t>2</w:t>
    </w:r>
    <w:r>
      <w:fldChar w:fldCharType="end"/>
    </w:r>
  </w:p>
  <w:p w:rsidR="00FF3840" w:rsidRDefault="00FF384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FF3840">
    <w:pPr>
      <w:pStyle w:val="a3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FF38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96" w:rsidRDefault="00824B96" w:rsidP="00FF3840">
      <w:r>
        <w:separator/>
      </w:r>
    </w:p>
  </w:footnote>
  <w:footnote w:type="continuationSeparator" w:id="0">
    <w:p w:rsidR="00824B96" w:rsidRDefault="00824B96" w:rsidP="00FF3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FF3840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FF3840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40" w:rsidRDefault="00FF3840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zNjUzOTQ5OWUxMTllMTc2YWExNDdhYjZhOTYwZDUifQ=="/>
  </w:docVars>
  <w:rsids>
    <w:rsidRoot w:val="00A80F9F"/>
    <w:rsid w:val="00006F21"/>
    <w:rsid w:val="00012953"/>
    <w:rsid w:val="00026DCA"/>
    <w:rsid w:val="00030427"/>
    <w:rsid w:val="00036A8F"/>
    <w:rsid w:val="00046F24"/>
    <w:rsid w:val="00053C23"/>
    <w:rsid w:val="0009349C"/>
    <w:rsid w:val="00097BF4"/>
    <w:rsid w:val="00097C84"/>
    <w:rsid w:val="000A34C6"/>
    <w:rsid w:val="000A494A"/>
    <w:rsid w:val="000B005C"/>
    <w:rsid w:val="000D3D89"/>
    <w:rsid w:val="000E0309"/>
    <w:rsid w:val="000F5E4B"/>
    <w:rsid w:val="000F78F4"/>
    <w:rsid w:val="001011DF"/>
    <w:rsid w:val="00104712"/>
    <w:rsid w:val="001225C2"/>
    <w:rsid w:val="00156267"/>
    <w:rsid w:val="00187AB7"/>
    <w:rsid w:val="001932B6"/>
    <w:rsid w:val="0019618F"/>
    <w:rsid w:val="00197353"/>
    <w:rsid w:val="001A0FA8"/>
    <w:rsid w:val="001A3A82"/>
    <w:rsid w:val="001E7995"/>
    <w:rsid w:val="001F4CD1"/>
    <w:rsid w:val="00205BC4"/>
    <w:rsid w:val="00216FBE"/>
    <w:rsid w:val="002270D6"/>
    <w:rsid w:val="0022785E"/>
    <w:rsid w:val="002638E3"/>
    <w:rsid w:val="00282A09"/>
    <w:rsid w:val="002863CB"/>
    <w:rsid w:val="00286E0D"/>
    <w:rsid w:val="002A22CE"/>
    <w:rsid w:val="002B3E38"/>
    <w:rsid w:val="002C1463"/>
    <w:rsid w:val="002D0D2F"/>
    <w:rsid w:val="002E1573"/>
    <w:rsid w:val="002F35CD"/>
    <w:rsid w:val="00307E19"/>
    <w:rsid w:val="00323CE5"/>
    <w:rsid w:val="003451DA"/>
    <w:rsid w:val="0034600E"/>
    <w:rsid w:val="003512A6"/>
    <w:rsid w:val="00356359"/>
    <w:rsid w:val="0036643B"/>
    <w:rsid w:val="00370E2E"/>
    <w:rsid w:val="003751B8"/>
    <w:rsid w:val="003977D7"/>
    <w:rsid w:val="003B4E0F"/>
    <w:rsid w:val="003D0043"/>
    <w:rsid w:val="003D4C03"/>
    <w:rsid w:val="003D7DC5"/>
    <w:rsid w:val="003F349B"/>
    <w:rsid w:val="003F6EBD"/>
    <w:rsid w:val="00405D1C"/>
    <w:rsid w:val="00417B67"/>
    <w:rsid w:val="00467599"/>
    <w:rsid w:val="0047404D"/>
    <w:rsid w:val="0047629A"/>
    <w:rsid w:val="00494956"/>
    <w:rsid w:val="004959B8"/>
    <w:rsid w:val="0049611C"/>
    <w:rsid w:val="004974A5"/>
    <w:rsid w:val="004A31D7"/>
    <w:rsid w:val="004A6BED"/>
    <w:rsid w:val="004B101E"/>
    <w:rsid w:val="004C5487"/>
    <w:rsid w:val="004D4BE8"/>
    <w:rsid w:val="004F0AB0"/>
    <w:rsid w:val="0050459F"/>
    <w:rsid w:val="00532947"/>
    <w:rsid w:val="0056393F"/>
    <w:rsid w:val="00564506"/>
    <w:rsid w:val="00570DEF"/>
    <w:rsid w:val="005714D4"/>
    <w:rsid w:val="005832DA"/>
    <w:rsid w:val="005951FF"/>
    <w:rsid w:val="00597767"/>
    <w:rsid w:val="005A0323"/>
    <w:rsid w:val="005A65CB"/>
    <w:rsid w:val="005B6F9F"/>
    <w:rsid w:val="005C15CB"/>
    <w:rsid w:val="005C4042"/>
    <w:rsid w:val="005D3FCE"/>
    <w:rsid w:val="005E04BA"/>
    <w:rsid w:val="005E3FE5"/>
    <w:rsid w:val="005F0414"/>
    <w:rsid w:val="005F5AD1"/>
    <w:rsid w:val="00613E74"/>
    <w:rsid w:val="006151F7"/>
    <w:rsid w:val="00623F80"/>
    <w:rsid w:val="006304E1"/>
    <w:rsid w:val="00635FB0"/>
    <w:rsid w:val="006413D2"/>
    <w:rsid w:val="00642E82"/>
    <w:rsid w:val="00643106"/>
    <w:rsid w:val="00645BAB"/>
    <w:rsid w:val="00651EC3"/>
    <w:rsid w:val="0067021C"/>
    <w:rsid w:val="00673A86"/>
    <w:rsid w:val="006908F3"/>
    <w:rsid w:val="006A1961"/>
    <w:rsid w:val="006A323B"/>
    <w:rsid w:val="006B093C"/>
    <w:rsid w:val="006B3D7B"/>
    <w:rsid w:val="006C682D"/>
    <w:rsid w:val="006D1D9A"/>
    <w:rsid w:val="006D2F1F"/>
    <w:rsid w:val="006F180A"/>
    <w:rsid w:val="006F5960"/>
    <w:rsid w:val="00706932"/>
    <w:rsid w:val="0071013C"/>
    <w:rsid w:val="00734039"/>
    <w:rsid w:val="00736B27"/>
    <w:rsid w:val="00743C0A"/>
    <w:rsid w:val="00750255"/>
    <w:rsid w:val="00752D53"/>
    <w:rsid w:val="007553EE"/>
    <w:rsid w:val="00781FD9"/>
    <w:rsid w:val="00782E30"/>
    <w:rsid w:val="00791B17"/>
    <w:rsid w:val="00796D60"/>
    <w:rsid w:val="007A2A61"/>
    <w:rsid w:val="007A5CE8"/>
    <w:rsid w:val="007B6B18"/>
    <w:rsid w:val="007D361E"/>
    <w:rsid w:val="007D62DE"/>
    <w:rsid w:val="007D66C0"/>
    <w:rsid w:val="007D761C"/>
    <w:rsid w:val="007F0129"/>
    <w:rsid w:val="007F054F"/>
    <w:rsid w:val="007F1A90"/>
    <w:rsid w:val="007F4AED"/>
    <w:rsid w:val="0080069D"/>
    <w:rsid w:val="008006B9"/>
    <w:rsid w:val="00805434"/>
    <w:rsid w:val="00823595"/>
    <w:rsid w:val="00824B96"/>
    <w:rsid w:val="00835268"/>
    <w:rsid w:val="0085090D"/>
    <w:rsid w:val="00871D8A"/>
    <w:rsid w:val="00882780"/>
    <w:rsid w:val="008A396A"/>
    <w:rsid w:val="008A4237"/>
    <w:rsid w:val="008A4FE3"/>
    <w:rsid w:val="008C1EEC"/>
    <w:rsid w:val="008C28F9"/>
    <w:rsid w:val="00902CC7"/>
    <w:rsid w:val="0090742A"/>
    <w:rsid w:val="00910EBF"/>
    <w:rsid w:val="00916AE4"/>
    <w:rsid w:val="00916D6F"/>
    <w:rsid w:val="00935AED"/>
    <w:rsid w:val="009373DE"/>
    <w:rsid w:val="00942059"/>
    <w:rsid w:val="009578CC"/>
    <w:rsid w:val="009747A8"/>
    <w:rsid w:val="0098499C"/>
    <w:rsid w:val="00984EA0"/>
    <w:rsid w:val="009B0303"/>
    <w:rsid w:val="009F0DCD"/>
    <w:rsid w:val="00A0752E"/>
    <w:rsid w:val="00A13815"/>
    <w:rsid w:val="00A177FC"/>
    <w:rsid w:val="00A32998"/>
    <w:rsid w:val="00A64AD1"/>
    <w:rsid w:val="00A675D4"/>
    <w:rsid w:val="00A80F9F"/>
    <w:rsid w:val="00A83274"/>
    <w:rsid w:val="00A83B45"/>
    <w:rsid w:val="00A86CE2"/>
    <w:rsid w:val="00A940F7"/>
    <w:rsid w:val="00AA73F7"/>
    <w:rsid w:val="00AE105D"/>
    <w:rsid w:val="00AE60AD"/>
    <w:rsid w:val="00AF47B7"/>
    <w:rsid w:val="00B036CE"/>
    <w:rsid w:val="00B05444"/>
    <w:rsid w:val="00B13460"/>
    <w:rsid w:val="00B26FD3"/>
    <w:rsid w:val="00B36547"/>
    <w:rsid w:val="00B4779C"/>
    <w:rsid w:val="00B5178D"/>
    <w:rsid w:val="00B561D2"/>
    <w:rsid w:val="00B62732"/>
    <w:rsid w:val="00B70EDE"/>
    <w:rsid w:val="00B7635C"/>
    <w:rsid w:val="00B8225A"/>
    <w:rsid w:val="00BA0844"/>
    <w:rsid w:val="00BA3411"/>
    <w:rsid w:val="00BB2E97"/>
    <w:rsid w:val="00BC5881"/>
    <w:rsid w:val="00BD0F0D"/>
    <w:rsid w:val="00BE0D22"/>
    <w:rsid w:val="00BF3306"/>
    <w:rsid w:val="00C0442D"/>
    <w:rsid w:val="00C04ADA"/>
    <w:rsid w:val="00C05A05"/>
    <w:rsid w:val="00C15F3B"/>
    <w:rsid w:val="00C16E0D"/>
    <w:rsid w:val="00C17E63"/>
    <w:rsid w:val="00C2370D"/>
    <w:rsid w:val="00C36500"/>
    <w:rsid w:val="00C37064"/>
    <w:rsid w:val="00C47AB0"/>
    <w:rsid w:val="00C621B0"/>
    <w:rsid w:val="00C84DD1"/>
    <w:rsid w:val="00C94B89"/>
    <w:rsid w:val="00CA040A"/>
    <w:rsid w:val="00CA297C"/>
    <w:rsid w:val="00CD3986"/>
    <w:rsid w:val="00CD5F1E"/>
    <w:rsid w:val="00CD63F1"/>
    <w:rsid w:val="00CE3647"/>
    <w:rsid w:val="00D0279F"/>
    <w:rsid w:val="00D03C68"/>
    <w:rsid w:val="00D1092B"/>
    <w:rsid w:val="00D10C44"/>
    <w:rsid w:val="00D32EAC"/>
    <w:rsid w:val="00D62638"/>
    <w:rsid w:val="00D716CF"/>
    <w:rsid w:val="00D756DF"/>
    <w:rsid w:val="00D90030"/>
    <w:rsid w:val="00DA46BE"/>
    <w:rsid w:val="00DB00C3"/>
    <w:rsid w:val="00DE1572"/>
    <w:rsid w:val="00E01D65"/>
    <w:rsid w:val="00E07B2A"/>
    <w:rsid w:val="00E110FE"/>
    <w:rsid w:val="00E74FBD"/>
    <w:rsid w:val="00EA5D2A"/>
    <w:rsid w:val="00EB34D8"/>
    <w:rsid w:val="00EB575C"/>
    <w:rsid w:val="00EC3393"/>
    <w:rsid w:val="00EC5A44"/>
    <w:rsid w:val="00EC6212"/>
    <w:rsid w:val="00ED3211"/>
    <w:rsid w:val="00EE5836"/>
    <w:rsid w:val="00EF25BB"/>
    <w:rsid w:val="00F055D3"/>
    <w:rsid w:val="00F07C40"/>
    <w:rsid w:val="00F15D07"/>
    <w:rsid w:val="00F169FD"/>
    <w:rsid w:val="00F16B5C"/>
    <w:rsid w:val="00F204CE"/>
    <w:rsid w:val="00F21F21"/>
    <w:rsid w:val="00F22C95"/>
    <w:rsid w:val="00F3748E"/>
    <w:rsid w:val="00F4161F"/>
    <w:rsid w:val="00F53F2C"/>
    <w:rsid w:val="00F87BE8"/>
    <w:rsid w:val="00FA4B76"/>
    <w:rsid w:val="00FA4F26"/>
    <w:rsid w:val="00FC1A14"/>
    <w:rsid w:val="00FC5397"/>
    <w:rsid w:val="00FC7006"/>
    <w:rsid w:val="00FD3EF3"/>
    <w:rsid w:val="00FE6293"/>
    <w:rsid w:val="00FF3840"/>
    <w:rsid w:val="00FF7C8C"/>
    <w:rsid w:val="0BCD1B90"/>
    <w:rsid w:val="47D5124F"/>
    <w:rsid w:val="47E86587"/>
    <w:rsid w:val="60ED7287"/>
    <w:rsid w:val="66C7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3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F3840"/>
  </w:style>
  <w:style w:type="character" w:customStyle="1" w:styleId="Char0">
    <w:name w:val="页眉 Char"/>
    <w:basedOn w:val="a0"/>
    <w:link w:val="a4"/>
    <w:uiPriority w:val="99"/>
    <w:rsid w:val="00FF38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F3840"/>
    <w:rPr>
      <w:sz w:val="18"/>
      <w:szCs w:val="18"/>
    </w:rPr>
  </w:style>
  <w:style w:type="character" w:customStyle="1" w:styleId="Char1">
    <w:name w:val="段 Char"/>
    <w:basedOn w:val="a0"/>
    <w:link w:val="a6"/>
    <w:qFormat/>
    <w:rsid w:val="00FF3840"/>
    <w:rPr>
      <w:rFonts w:ascii="宋体"/>
    </w:rPr>
  </w:style>
  <w:style w:type="paragraph" w:customStyle="1" w:styleId="a6">
    <w:name w:val="段"/>
    <w:link w:val="Char1"/>
    <w:qFormat/>
    <w:rsid w:val="00FF3840"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BC5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5B76-7B7B-42D4-B849-6D922864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431</Words>
  <Characters>2459</Characters>
  <Application>Microsoft Office Word</Application>
  <DocSecurity>0</DocSecurity>
  <Lines>20</Lines>
  <Paragraphs>5</Paragraphs>
  <ScaleCrop>false</ScaleCrop>
  <Company>China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16</cp:revision>
  <dcterms:created xsi:type="dcterms:W3CDTF">2019-10-30T07:14:00Z</dcterms:created>
  <dcterms:modified xsi:type="dcterms:W3CDTF">2022-05-26T06:46:00Z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C0DB704C6BBD478AA1B14165AB2000BD</vt:lpwstr>
  </property>
</Properties>
</file>