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val="en-US" w:eastAsia="zh-CN"/>
              </w:rPr>
              <w:t>65.020.40</w:t>
            </w:r>
            <w:r>
              <w:rPr>
                <w:rFonts w:hint="eastAsia"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B</w:t>
            </w:r>
            <w:r>
              <w:rPr>
                <w:rFonts w:hint="eastAsia" w:ascii="黑体" w:hAnsi="黑体" w:eastAsia="黑体"/>
                <w:sz w:val="21"/>
                <w:szCs w:val="21"/>
                <w:lang w:val="en-US" w:eastAsia="zh-CN"/>
              </w:rPr>
              <w:t>64</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XX</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包头市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1502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包头地区森林碳储量计量标准</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Measuring standard </w:t>
      </w:r>
      <w:r>
        <w:rPr>
          <w:rFonts w:hint="eastAsia" w:ascii="黑体" w:hAnsi="黑体" w:eastAsia="黑体"/>
          <w:szCs w:val="28"/>
        </w:rPr>
        <w:t>for</w:t>
      </w:r>
      <w:r>
        <w:rPr>
          <w:rFonts w:ascii="黑体" w:hAnsi="黑体" w:eastAsia="黑体"/>
          <w:szCs w:val="28"/>
        </w:rPr>
        <w:t xml:space="preserve"> </w:t>
      </w:r>
      <w:r>
        <w:rPr>
          <w:rFonts w:hint="eastAsia" w:ascii="黑体" w:hAnsi="黑体" w:eastAsia="黑体"/>
          <w:szCs w:val="28"/>
        </w:rPr>
        <w:t>f</w:t>
      </w:r>
      <w:r>
        <w:rPr>
          <w:rFonts w:ascii="黑体" w:hAnsi="黑体" w:eastAsia="黑体"/>
          <w:szCs w:val="28"/>
        </w:rPr>
        <w:t xml:space="preserve">orest carbon storage </w:t>
      </w:r>
      <w:r>
        <w:rPr>
          <w:rFonts w:hint="eastAsia" w:ascii="黑体" w:hAnsi="黑体" w:eastAsia="黑体"/>
          <w:szCs w:val="28"/>
        </w:rPr>
        <w:t>in</w:t>
      </w:r>
      <w:r>
        <w:rPr>
          <w:rFonts w:ascii="黑体" w:hAnsi="黑体" w:eastAsia="黑体"/>
          <w:szCs w:val="28"/>
        </w:rPr>
        <w:t xml:space="preserve"> B</w:t>
      </w:r>
      <w:r>
        <w:rPr>
          <w:rFonts w:hint="eastAsia" w:ascii="黑体" w:hAnsi="黑体" w:eastAsia="黑体"/>
          <w:szCs w:val="28"/>
        </w:rPr>
        <w:t>aotou</w:t>
      </w:r>
      <w:r>
        <w:rPr>
          <w:rFonts w:ascii="黑体" w:hAnsi="黑体" w:eastAsia="黑体"/>
          <w:szCs w:val="28"/>
        </w:rPr>
        <w:t xml:space="preserve"> </w:t>
      </w:r>
      <w:r>
        <w:rPr>
          <w:rFonts w:hint="eastAsia" w:ascii="黑体" w:hAnsi="黑体" w:eastAsia="黑体"/>
          <w:szCs w:val="28"/>
        </w:rPr>
        <w:t>area</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包头市市场监督管理局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101" w:name="_GoBack"/>
      <w:bookmarkEnd w:id="101"/>
      <w:bookmarkStart w:id="21" w:name="BookMark1"/>
      <w:bookmarkStart w:id="22" w:name="_Toc168499136"/>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"_Toc168499196" </w:instrText>
      </w:r>
      <w:r>
        <w:fldChar w:fldCharType="separate"/>
      </w:r>
      <w:r>
        <w:rPr>
          <w:rStyle w:val="32"/>
        </w:rPr>
        <w:t>前言</w:t>
      </w:r>
      <w:r>
        <w:tab/>
      </w:r>
      <w:r>
        <w:fldChar w:fldCharType="begin"/>
      </w:r>
      <w:r>
        <w:instrText xml:space="preserve"> PAGEREF _Toc168499196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"_Toc168499197" </w:instrText>
      </w:r>
      <w:r>
        <w:fldChar w:fldCharType="separate"/>
      </w:r>
      <w:r>
        <w:rPr>
          <w:rStyle w:val="32"/>
        </w:rPr>
        <w:t>1  范围</w:t>
      </w:r>
      <w:r>
        <w:tab/>
      </w:r>
      <w:r>
        <w:fldChar w:fldCharType="begin"/>
      </w:r>
      <w:r>
        <w:instrText xml:space="preserve"> PAGEREF _Toc168499197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"_Toc168499198" </w:instrText>
      </w:r>
      <w:r>
        <w:fldChar w:fldCharType="separate"/>
      </w:r>
      <w:r>
        <w:rPr>
          <w:rStyle w:val="32"/>
        </w:rPr>
        <w:t>2  规范性引用文件</w:t>
      </w:r>
      <w:r>
        <w:tab/>
      </w:r>
      <w:r>
        <w:fldChar w:fldCharType="begin"/>
      </w:r>
      <w:r>
        <w:instrText xml:space="preserve"> PAGEREF _Toc168499198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"_Toc168499199" </w:instrText>
      </w:r>
      <w:r>
        <w:fldChar w:fldCharType="separate"/>
      </w:r>
      <w:r>
        <w:rPr>
          <w:rStyle w:val="32"/>
        </w:rPr>
        <w:t>3  术语和定义</w:t>
      </w:r>
      <w:r>
        <w:tab/>
      </w:r>
      <w:r>
        <w:fldChar w:fldCharType="begin"/>
      </w:r>
      <w:r>
        <w:instrText xml:space="preserve"> PAGEREF _Toc168499199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"_Toc168499200" </w:instrText>
      </w:r>
      <w:r>
        <w:fldChar w:fldCharType="separate"/>
      </w:r>
      <w:r>
        <w:rPr>
          <w:rStyle w:val="32"/>
        </w:rPr>
        <w:t>4  计量对象</w:t>
      </w:r>
      <w:r>
        <w:tab/>
      </w:r>
      <w:r>
        <w:fldChar w:fldCharType="begin"/>
      </w:r>
      <w:r>
        <w:instrText xml:space="preserve"> PAGEREF _Toc168499200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"_Toc168499201" </w:instrText>
      </w:r>
      <w:r>
        <w:fldChar w:fldCharType="separate"/>
      </w:r>
      <w:r>
        <w:rPr>
          <w:rStyle w:val="32"/>
        </w:rPr>
        <w:t>5  计量内容</w:t>
      </w:r>
      <w:r>
        <w:tab/>
      </w:r>
      <w:r>
        <w:fldChar w:fldCharType="begin"/>
      </w:r>
      <w:r>
        <w:instrText xml:space="preserve"> PAGEREF _Toc168499201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"_Toc168499202" </w:instrText>
      </w:r>
      <w:r>
        <w:fldChar w:fldCharType="separate"/>
      </w:r>
      <w:r>
        <w:rPr>
          <w:rStyle w:val="32"/>
        </w:rPr>
        <w:t>6  计量方法</w:t>
      </w:r>
      <w:r>
        <w:tab/>
      </w:r>
      <w:r>
        <w:fldChar w:fldCharType="begin"/>
      </w:r>
      <w:r>
        <w:instrText xml:space="preserve"> PAGEREF _Toc168499202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"_Toc168499203" </w:instrText>
      </w:r>
      <w:r>
        <w:fldChar w:fldCharType="separate"/>
      </w:r>
      <w:r>
        <w:rPr>
          <w:rStyle w:val="32"/>
          <w14:scene3d>
            <w14:lightRig w14:rig="threePt" w14:dir="t">
              <w14:rot w14:lat="0" w14:lon="0" w14:rev="0"/>
            </w14:lightRig>
          </w14:scene3d>
        </w:rPr>
        <w:t xml:space="preserve">6.1 </w:t>
      </w:r>
      <w:r>
        <w:rPr>
          <w:rStyle w:val="32"/>
        </w:rPr>
        <w:t xml:space="preserve"> 调查取样与测定</w:t>
      </w:r>
      <w:r>
        <w:tab/>
      </w:r>
      <w:r>
        <w:fldChar w:fldCharType="begin"/>
      </w:r>
      <w:r>
        <w:instrText xml:space="preserve"> PAGEREF _Toc168499203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"_Toc168499204" </w:instrText>
      </w:r>
      <w:r>
        <w:fldChar w:fldCharType="separate"/>
      </w:r>
      <w:r>
        <w:rPr>
          <w:rStyle w:val="32"/>
          <w14:scene3d>
            <w14:lightRig w14:rig="threePt" w14:dir="t">
              <w14:rot w14:lat="0" w14:lon="0" w14:rev="0"/>
            </w14:lightRig>
          </w14:scene3d>
        </w:rPr>
        <w:t xml:space="preserve">6.2 </w:t>
      </w:r>
      <w:r>
        <w:rPr>
          <w:rStyle w:val="32"/>
        </w:rPr>
        <w:t xml:space="preserve"> 碳储量计量</w:t>
      </w:r>
      <w:r>
        <w:tab/>
      </w:r>
      <w:r>
        <w:fldChar w:fldCharType="begin"/>
      </w:r>
      <w:r>
        <w:instrText xml:space="preserve"> PAGEREF _Toc168499204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"_Toc168499205" </w:instrText>
      </w:r>
      <w:r>
        <w:fldChar w:fldCharType="separate"/>
      </w:r>
      <w:r>
        <w:rPr>
          <w:rStyle w:val="32"/>
          <w14:scene3d>
            <w14:lightRig w14:rig="threePt" w14:dir="t">
              <w14:rot w14:lat="0" w14:lon="0" w14:rev="0"/>
            </w14:lightRig>
          </w14:scene3d>
        </w:rPr>
        <w:t xml:space="preserve">6.3 </w:t>
      </w:r>
      <w:r>
        <w:rPr>
          <w:rStyle w:val="32"/>
        </w:rPr>
        <w:t xml:space="preserve"> 单位面积碳储量</w:t>
      </w:r>
      <w:r>
        <w:tab/>
      </w:r>
      <w:r>
        <w:fldChar w:fldCharType="begin"/>
      </w:r>
      <w:r>
        <w:instrText xml:space="preserve"> PAGEREF _Toc168499205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"_Toc168499206" </w:instrText>
      </w:r>
      <w:r>
        <w:fldChar w:fldCharType="separate"/>
      </w:r>
      <w:r>
        <w:rPr>
          <w:rStyle w:val="32"/>
          <w14:scene3d>
            <w14:lightRig w14:rig="threePt" w14:dir="t">
              <w14:rot w14:lat="0" w14:lon="0" w14:rev="0"/>
            </w14:lightRig>
          </w14:scene3d>
        </w:rPr>
        <w:t xml:space="preserve">6.4 </w:t>
      </w:r>
      <w:r>
        <w:rPr>
          <w:rStyle w:val="32"/>
        </w:rPr>
        <w:t xml:space="preserve"> 乔木层碳储量</w:t>
      </w:r>
      <w:r>
        <w:tab/>
      </w:r>
      <w:r>
        <w:fldChar w:fldCharType="begin"/>
      </w:r>
      <w:r>
        <w:instrText xml:space="preserve"> PAGEREF _Toc168499206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"_Toc168499209" </w:instrText>
      </w:r>
      <w:r>
        <w:fldChar w:fldCharType="separate"/>
      </w:r>
      <w:r>
        <w:rPr>
          <w:rStyle w:val="32"/>
          <w14:scene3d>
            <w14:lightRig w14:rig="threePt" w14:dir="t">
              <w14:rot w14:lat="0" w14:lon="0" w14:rev="0"/>
            </w14:lightRig>
          </w14:scene3d>
        </w:rPr>
        <w:t xml:space="preserve">6.5 </w:t>
      </w:r>
      <w:r>
        <w:rPr>
          <w:rStyle w:val="32"/>
        </w:rPr>
        <w:t xml:space="preserve"> 灌木层碳储量</w:t>
      </w:r>
      <w:r>
        <w:tab/>
      </w:r>
      <w:r>
        <w:fldChar w:fldCharType="begin"/>
      </w:r>
      <w:r>
        <w:instrText xml:space="preserve"> PAGEREF _Toc168499209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"_Toc168499210" </w:instrText>
      </w:r>
      <w:r>
        <w:fldChar w:fldCharType="separate"/>
      </w:r>
      <w:r>
        <w:rPr>
          <w:rStyle w:val="32"/>
          <w14:scene3d>
            <w14:lightRig w14:rig="threePt" w14:dir="t">
              <w14:rot w14:lat="0" w14:lon="0" w14:rev="0"/>
            </w14:lightRig>
          </w14:scene3d>
        </w:rPr>
        <w:t xml:space="preserve">6.6 </w:t>
      </w:r>
      <w:r>
        <w:rPr>
          <w:rStyle w:val="32"/>
        </w:rPr>
        <w:t xml:space="preserve"> 草本层碳储量</w:t>
      </w:r>
      <w:r>
        <w:tab/>
      </w:r>
      <w:r>
        <w:fldChar w:fldCharType="begin"/>
      </w:r>
      <w:r>
        <w:instrText xml:space="preserve"> PAGEREF _Toc168499210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"_Toc168499211" </w:instrText>
      </w:r>
      <w:r>
        <w:fldChar w:fldCharType="separate"/>
      </w:r>
      <w:r>
        <w:rPr>
          <w:rStyle w:val="32"/>
          <w14:scene3d>
            <w14:lightRig w14:rig="threePt" w14:dir="t">
              <w14:rot w14:lat="0" w14:lon="0" w14:rev="0"/>
            </w14:lightRig>
          </w14:scene3d>
        </w:rPr>
        <w:t xml:space="preserve">6.7 </w:t>
      </w:r>
      <w:r>
        <w:rPr>
          <w:rStyle w:val="32"/>
        </w:rPr>
        <w:t xml:space="preserve"> 枯落物层碳储量</w:t>
      </w:r>
      <w:r>
        <w:tab/>
      </w:r>
      <w:r>
        <w:fldChar w:fldCharType="begin"/>
      </w:r>
      <w:r>
        <w:instrText xml:space="preserve"> PAGEREF _Toc168499211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"_Toc168499212" </w:instrText>
      </w:r>
      <w:r>
        <w:fldChar w:fldCharType="separate"/>
      </w:r>
      <w:r>
        <w:rPr>
          <w:rStyle w:val="32"/>
          <w14:scene3d>
            <w14:lightRig w14:rig="threePt" w14:dir="t">
              <w14:rot w14:lat="0" w14:lon="0" w14:rev="0"/>
            </w14:lightRig>
          </w14:scene3d>
        </w:rPr>
        <w:t xml:space="preserve">6.8 </w:t>
      </w:r>
      <w:r>
        <w:rPr>
          <w:rStyle w:val="32"/>
        </w:rPr>
        <w:t xml:space="preserve"> 土壤层碳储量</w:t>
      </w:r>
      <w:r>
        <w:tab/>
      </w:r>
      <w:r>
        <w:fldChar w:fldCharType="begin"/>
      </w:r>
      <w:r>
        <w:instrText xml:space="preserve"> PAGEREF _Toc168499212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"_Toc168499213" </w:instrText>
      </w:r>
      <w:r>
        <w:fldChar w:fldCharType="separate"/>
      </w:r>
      <w:r>
        <w:rPr>
          <w:rStyle w:val="32"/>
        </w:rPr>
        <w:t>附录A（资料性）  包头地区森林各碳层本地参数</w:t>
      </w:r>
      <w:r>
        <w:tab/>
      </w:r>
      <w:r>
        <w:fldChar w:fldCharType="begin"/>
      </w:r>
      <w:r>
        <w:instrText xml:space="preserve"> PAGEREF _Toc168499213 \h </w:instrText>
      </w:r>
      <w:r>
        <w:fldChar w:fldCharType="separate"/>
      </w:r>
      <w:r>
        <w:t>6</w:t>
      </w:r>
      <w:r>
        <w:fldChar w:fldCharType="end"/>
      </w:r>
      <w:r>
        <w:fldChar w:fldCharType="end"/>
      </w:r>
    </w:p>
    <w:p>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3" w:name="_Toc168499196"/>
      <w:bookmarkStart w:id="24" w:name="BookMark2"/>
      <w:r>
        <w:rPr>
          <w:spacing w:val="320"/>
        </w:rPr>
        <w:t>前</w:t>
      </w:r>
      <w:r>
        <w:t>言</w:t>
      </w:r>
      <w:bookmarkEnd w:id="22"/>
      <w:bookmarkEnd w:id="23"/>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本文件由包头市林业和草原局提出并归口。</w:t>
      </w:r>
    </w:p>
    <w:p>
      <w:pPr>
        <w:pStyle w:val="56"/>
        <w:ind w:firstLine="420"/>
      </w:pPr>
      <w:r>
        <w:rPr>
          <w:rFonts w:hint="eastAsia"/>
        </w:rPr>
        <w:t>本文件起草单位：包头市林业和草原工作站、内蒙古农业大学、包头市林业和草原局、包头市达茂旗林业和草原局、包头市固阳县林业和草原局、包头市林业和草原资源保护站、包头市湿地保护中心。</w:t>
      </w:r>
    </w:p>
    <w:p>
      <w:pPr>
        <w:pStyle w:val="56"/>
        <w:ind w:firstLine="420"/>
      </w:pPr>
      <w:r>
        <w:rPr>
          <w:rFonts w:hint="eastAsia"/>
        </w:rPr>
        <w:t>本文件主要起草人：韩淑敏、高润红、张文英、高丽琴、杜娟、赵泽宇、李茂森、郝静颐、吴乐、冀鹏浩、郭彭飞、潘学敏、冯小东、吕整荣、姚瑶、郑龙、栗启元。</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sdt>
      <w:sdtPr>
        <w:tag w:val="NEW_STAND_NAME"/>
        <w:id w:val="595910757"/>
        <w:lock w:val="sdtLocked"/>
        <w:placeholder>
          <w:docPart w:val="45E2FA65F6EE4E8A942778FCFAB3691D"/>
        </w:placeholder>
      </w:sdtPr>
      <w:sdtContent>
        <w:p>
          <w:pPr>
            <w:pStyle w:val="177"/>
            <w:spacing w:before="3" w:beforeLines="1" w:after="686" w:afterLines="220"/>
          </w:pPr>
          <w:bookmarkStart w:id="26" w:name="NEW_STAND_NAME"/>
          <w:r>
            <w:rPr>
              <w:rFonts w:hint="eastAsia"/>
            </w:rPr>
            <w:t>包头地区森林碳储量计量标准</w:t>
          </w:r>
        </w:p>
      </w:sdtContent>
    </w:sdt>
    <w:bookmarkEnd w:id="26"/>
    <w:p>
      <w:pPr>
        <w:pStyle w:val="104"/>
        <w:spacing w:before="312" w:after="312"/>
      </w:pPr>
      <w:bookmarkStart w:id="27" w:name="_Toc17233325"/>
      <w:bookmarkStart w:id="28" w:name="_Toc26986530"/>
      <w:bookmarkStart w:id="29" w:name="_Toc168499197"/>
      <w:bookmarkStart w:id="30" w:name="_Toc97191423"/>
      <w:bookmarkStart w:id="31" w:name="_Toc26648465"/>
      <w:bookmarkStart w:id="32" w:name="_Toc24884211"/>
      <w:bookmarkStart w:id="33" w:name="_Toc24884218"/>
      <w:bookmarkStart w:id="34" w:name="_Toc168499137"/>
      <w:bookmarkStart w:id="35" w:name="_Toc163049235"/>
      <w:bookmarkStart w:id="36" w:name="_Toc26718930"/>
      <w:bookmarkStart w:id="37" w:name="_Toc17233333"/>
      <w:bookmarkStart w:id="38" w:name="_Toc26986771"/>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pPr>
        <w:pStyle w:val="56"/>
        <w:ind w:firstLine="420"/>
      </w:pPr>
      <w:bookmarkStart w:id="39" w:name="_Toc26648466"/>
      <w:bookmarkStart w:id="40" w:name="_Toc17233326"/>
      <w:bookmarkStart w:id="41" w:name="_Toc24884212"/>
      <w:bookmarkStart w:id="42" w:name="_Toc17233334"/>
      <w:bookmarkStart w:id="43" w:name="_Toc24884219"/>
      <w:r>
        <w:rPr>
          <w:rFonts w:hint="eastAsia"/>
        </w:rPr>
        <w:t>本文件规定了包头地区森林碳储量的计量对象、计量内容、计量方法与相关要求。</w:t>
      </w:r>
    </w:p>
    <w:p>
      <w:pPr>
        <w:pStyle w:val="56"/>
        <w:ind w:firstLine="420"/>
      </w:pPr>
      <w:r>
        <w:rPr>
          <w:rFonts w:hint="eastAsia"/>
        </w:rPr>
        <w:t>本文件适用于包头地区森林生物量、含碳率和碳储量的计量核算。</w:t>
      </w:r>
    </w:p>
    <w:p>
      <w:pPr>
        <w:pStyle w:val="104"/>
        <w:spacing w:before="312" w:after="312"/>
      </w:pPr>
      <w:bookmarkStart w:id="44" w:name="_Toc163049236"/>
      <w:bookmarkStart w:id="45" w:name="_Toc26986772"/>
      <w:bookmarkStart w:id="46" w:name="_Toc97191424"/>
      <w:bookmarkStart w:id="47" w:name="_Toc168499138"/>
      <w:bookmarkStart w:id="48" w:name="_Toc26986531"/>
      <w:bookmarkStart w:id="49" w:name="_Toc26718931"/>
      <w:bookmarkStart w:id="50" w:name="_Toc168499198"/>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C626C5BA1350452B96FF5CCA0F81AB6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L</w:t>
      </w:r>
      <w:r>
        <w:t xml:space="preserve">Y/T 2988 </w:t>
      </w:r>
      <w:r>
        <w:rPr>
          <w:rFonts w:hint="eastAsia"/>
        </w:rPr>
        <w:t>森林生态系统碳储量计量指南</w:t>
      </w:r>
    </w:p>
    <w:p>
      <w:pPr>
        <w:pStyle w:val="56"/>
        <w:ind w:firstLine="420"/>
      </w:pPr>
      <w:r>
        <w:rPr>
          <w:rFonts w:hint="eastAsia"/>
        </w:rPr>
        <w:t>D</w:t>
      </w:r>
      <w:r>
        <w:t xml:space="preserve">B 1502/T 022 </w:t>
      </w:r>
      <w:r>
        <w:rPr>
          <w:rFonts w:hint="eastAsia"/>
        </w:rPr>
        <w:t>森林碳汇调查与监测技术规程</w:t>
      </w:r>
    </w:p>
    <w:p>
      <w:pPr>
        <w:pStyle w:val="104"/>
        <w:spacing w:before="312" w:after="312"/>
      </w:pPr>
      <w:bookmarkStart w:id="51" w:name="_Toc163049237"/>
      <w:bookmarkStart w:id="52" w:name="_Toc168499199"/>
      <w:bookmarkStart w:id="53" w:name="_Toc168499139"/>
      <w:bookmarkStart w:id="54" w:name="_Toc97191425"/>
      <w:r>
        <w:rPr>
          <w:rFonts w:hint="eastAsia"/>
          <w:szCs w:val="21"/>
        </w:rPr>
        <w:t>术语和定义</w:t>
      </w:r>
      <w:bookmarkEnd w:id="51"/>
      <w:bookmarkEnd w:id="52"/>
      <w:bookmarkEnd w:id="53"/>
      <w:bookmarkEnd w:id="54"/>
    </w:p>
    <w:sdt>
      <w:sdtPr>
        <w:id w:val="-1909835108"/>
        <w:placeholder>
          <w:docPart w:val="F9DC43C29C8B4BD1851E348D4389830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5" w:name="_Toc26986532"/>
          <w:bookmarkEnd w:id="55"/>
          <w:r>
            <w:t>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森林碳储量 forest carbon storage</w:t>
      </w:r>
    </w:p>
    <w:p>
      <w:pPr>
        <w:pStyle w:val="56"/>
        <w:ind w:firstLine="420"/>
      </w:pPr>
      <w:r>
        <w:rPr>
          <w:rFonts w:hint="eastAsia"/>
        </w:rPr>
        <w:t>在特定时间内保留在森林碳库中碳的质量。</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地上生物量 aboveground biomass</w:t>
      </w:r>
    </w:p>
    <w:p>
      <w:pPr>
        <w:pStyle w:val="56"/>
        <w:ind w:firstLine="420"/>
      </w:pPr>
      <w:r>
        <w:rPr>
          <w:rFonts w:hint="eastAsia"/>
        </w:rPr>
        <w:t>单位面积内所有植物种群的地上总干物质重量，包括地上活物质和死物质。　</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地下生物量 subsurface biomass</w:t>
      </w:r>
    </w:p>
    <w:p>
      <w:pPr>
        <w:pStyle w:val="56"/>
        <w:ind w:firstLine="420"/>
      </w:pPr>
      <w:r>
        <w:rPr>
          <w:rFonts w:hint="eastAsia"/>
        </w:rPr>
        <w:t>单位面积内地下实存生活的有机干物质重量。</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含碳率 carbon content</w:t>
      </w:r>
    </w:p>
    <w:p>
      <w:pPr>
        <w:pStyle w:val="56"/>
        <w:ind w:firstLine="420"/>
      </w:pPr>
      <w:r>
        <w:rPr>
          <w:rFonts w:hint="eastAsia"/>
        </w:rPr>
        <w:t>植物体内碳元素所占的比例。</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生长方程 growth equation</w:t>
      </w:r>
    </w:p>
    <w:p>
      <w:pPr>
        <w:pStyle w:val="56"/>
        <w:ind w:firstLine="420"/>
      </w:pPr>
      <w:r>
        <w:rPr>
          <w:rFonts w:hint="eastAsia"/>
        </w:rPr>
        <w:t>描述树种或树种组各调查因子总生长量随时间生长变化规律的数学模型。</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根茎比 root to shoot ratio</w:t>
      </w:r>
    </w:p>
    <w:p>
      <w:pPr>
        <w:pStyle w:val="56"/>
        <w:ind w:firstLine="420"/>
      </w:pPr>
      <w:r>
        <w:rPr>
          <w:rFonts w:hint="eastAsia"/>
        </w:rPr>
        <w:t>植物地上部分与地下部分之比。</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土壤有机碳密度 soil organic carbon density</w:t>
      </w:r>
    </w:p>
    <w:p>
      <w:pPr>
        <w:pStyle w:val="56"/>
        <w:ind w:firstLine="420"/>
      </w:pPr>
      <w:r>
        <w:rPr>
          <w:rFonts w:hint="eastAsia"/>
        </w:rPr>
        <w:t>单位面积和深度的土壤中有机碳的总量。</w:t>
      </w:r>
    </w:p>
    <w:p>
      <w:pPr>
        <w:pStyle w:val="104"/>
        <w:spacing w:before="312" w:after="312"/>
      </w:pPr>
      <w:bookmarkStart w:id="56" w:name="_Toc168499200"/>
      <w:bookmarkStart w:id="57" w:name="_Toc163049238"/>
      <w:bookmarkStart w:id="58" w:name="_Toc168499140"/>
      <w:r>
        <w:rPr>
          <w:rFonts w:hint="eastAsia"/>
        </w:rPr>
        <w:t>计量对象</w:t>
      </w:r>
      <w:bookmarkEnd w:id="56"/>
      <w:bookmarkEnd w:id="57"/>
      <w:bookmarkEnd w:id="58"/>
    </w:p>
    <w:p>
      <w:pPr>
        <w:pStyle w:val="56"/>
        <w:ind w:firstLine="420"/>
      </w:pPr>
      <w:r>
        <w:rPr>
          <w:rFonts w:hint="eastAsia"/>
        </w:rPr>
        <w:t>计量对象为不同立地条件、不同林龄的森林。</w:t>
      </w:r>
    </w:p>
    <w:p>
      <w:pPr>
        <w:pStyle w:val="104"/>
        <w:spacing w:before="312" w:after="312"/>
      </w:pPr>
      <w:bookmarkStart w:id="59" w:name="_Toc155607309"/>
      <w:bookmarkStart w:id="60" w:name="_Toc163049239"/>
      <w:bookmarkStart w:id="61" w:name="_Toc168499201"/>
      <w:bookmarkStart w:id="62" w:name="_Toc155379553"/>
      <w:bookmarkStart w:id="63" w:name="_Toc168499141"/>
      <w:r>
        <w:rPr>
          <w:rFonts w:hint="eastAsia"/>
        </w:rPr>
        <w:t>计量内容</w:t>
      </w:r>
      <w:bookmarkEnd w:id="59"/>
      <w:bookmarkEnd w:id="60"/>
      <w:bookmarkEnd w:id="61"/>
      <w:bookmarkEnd w:id="62"/>
      <w:bookmarkEnd w:id="63"/>
    </w:p>
    <w:p>
      <w:pPr>
        <w:pStyle w:val="56"/>
        <w:ind w:firstLine="420"/>
      </w:pPr>
      <w:r>
        <w:rPr>
          <w:rFonts w:hint="eastAsia"/>
        </w:rPr>
        <w:t>不同立地条件、不同林龄森林的生物量、含碳率和碳储量。</w:t>
      </w:r>
    </w:p>
    <w:p>
      <w:pPr>
        <w:pStyle w:val="104"/>
        <w:spacing w:before="312" w:after="312"/>
      </w:pPr>
      <w:bookmarkStart w:id="64" w:name="_Toc168499142"/>
      <w:bookmarkStart w:id="65" w:name="_Toc163049240"/>
      <w:bookmarkStart w:id="66" w:name="_Toc168499202"/>
      <w:r>
        <w:rPr>
          <w:rFonts w:hint="eastAsia"/>
        </w:rPr>
        <w:t>计量方法</w:t>
      </w:r>
      <w:bookmarkEnd w:id="64"/>
      <w:bookmarkEnd w:id="65"/>
      <w:bookmarkEnd w:id="66"/>
    </w:p>
    <w:p>
      <w:pPr>
        <w:pStyle w:val="105"/>
        <w:spacing w:before="156" w:after="156"/>
      </w:pPr>
      <w:bookmarkStart w:id="67" w:name="_Toc168499143"/>
      <w:bookmarkStart w:id="68" w:name="_Toc168499203"/>
      <w:r>
        <w:rPr>
          <w:rFonts w:hint="eastAsia"/>
        </w:rPr>
        <w:t>调查取样与测定</w:t>
      </w:r>
      <w:bookmarkEnd w:id="67"/>
      <w:bookmarkEnd w:id="68"/>
    </w:p>
    <w:p>
      <w:pPr>
        <w:pStyle w:val="56"/>
        <w:ind w:firstLine="420"/>
      </w:pPr>
      <w:r>
        <w:rPr>
          <w:rFonts w:hint="eastAsia"/>
        </w:rPr>
        <w:t>按照D</w:t>
      </w:r>
      <w:r>
        <w:t>B 1502/T 022</w:t>
      </w:r>
      <w:r>
        <w:rPr>
          <w:rFonts w:hint="eastAsia"/>
        </w:rPr>
        <w:t>进行调查取样与测定。</w:t>
      </w:r>
    </w:p>
    <w:p>
      <w:pPr>
        <w:pStyle w:val="105"/>
        <w:spacing w:before="156" w:after="156"/>
      </w:pPr>
      <w:bookmarkStart w:id="69" w:name="_Toc163049241"/>
      <w:bookmarkStart w:id="70" w:name="_Toc168499144"/>
      <w:bookmarkStart w:id="71" w:name="_Toc168499204"/>
      <w:r>
        <w:rPr>
          <w:rFonts w:hint="eastAsia"/>
        </w:rPr>
        <w:t>碳储量</w:t>
      </w:r>
      <w:bookmarkEnd w:id="69"/>
      <w:r>
        <w:rPr>
          <w:rFonts w:hint="eastAsia"/>
        </w:rPr>
        <w:t>计量</w:t>
      </w:r>
      <w:bookmarkEnd w:id="70"/>
      <w:bookmarkEnd w:id="71"/>
    </w:p>
    <w:p>
      <w:pPr>
        <w:pStyle w:val="162"/>
        <w:numPr>
          <w:ilvl w:val="0"/>
          <w:numId w:val="0"/>
        </w:numPr>
        <w:ind w:firstLine="420" w:firstLineChars="200"/>
      </w:pPr>
      <w:r>
        <w:rPr>
          <w:rFonts w:hint="eastAsia"/>
        </w:rPr>
        <w:t>根据不同树种森林按照各碳层单位面积碳储量与总面积的乘积得到包头地区森林总碳储量。采用以下公式获得：</w:t>
      </w:r>
    </w:p>
    <w:p>
      <w:pPr>
        <w:pStyle w:val="113"/>
      </w:pPr>
      <w:r>
        <w:tab/>
      </w: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总</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单</m:t>
            </m:r>
            <m:ctrlPr>
              <w:rPr>
                <w:rFonts w:ascii="Cambria Math" w:hAnsi="Cambria Math"/>
              </w:rPr>
            </m:ctrlPr>
          </m:sub>
        </m:sSub>
        <m:r>
          <m:rPr>
            <m:sty m:val="p"/>
          </m:rPr>
          <w:rPr>
            <w:rFonts w:ascii="Cambria Math" w:hAnsi="Cambria Math"/>
          </w:rPr>
          <m:t>×S</m:t>
        </m:r>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5"/>
        <w:ind w:firstLine="420"/>
      </w:pPr>
      <m:oMath>
        <m:sSub>
          <m:sSubPr>
            <m:ctrlPr>
              <w:rPr>
                <w:rFonts w:ascii="Cambria Math" w:hAnsi="Cambria Math"/>
                <w:kern w:val="2"/>
              </w:rPr>
            </m:ctrlPr>
          </m:sSubPr>
          <m:e>
            <m:r>
              <m:rPr>
                <m:sty m:val="p"/>
              </m:rPr>
              <w:rPr>
                <w:rFonts w:ascii="Cambria Math" w:hAnsi="Cambria Math"/>
              </w:rPr>
              <m:t>C</m:t>
            </m:r>
            <m:ctrlPr>
              <w:rPr>
                <w:rFonts w:ascii="Cambria Math" w:hAnsi="Cambria Math"/>
                <w:kern w:val="2"/>
              </w:rPr>
            </m:ctrlPr>
          </m:e>
          <m:sub>
            <m:r>
              <m:rPr>
                <m:sty m:val="p"/>
              </m:rPr>
              <w:rPr>
                <w:rFonts w:hint="eastAsia" w:ascii="Cambria Math" w:hAnsi="Cambria Math"/>
              </w:rPr>
              <m:t>总</m:t>
            </m:r>
            <m:ctrlPr>
              <w:rPr>
                <w:rFonts w:ascii="Cambria Math" w:hAnsi="Cambria Math"/>
                <w:kern w:val="2"/>
              </w:rPr>
            </m:ctrlPr>
          </m:sub>
        </m:sSub>
      </m:oMath>
      <w:r>
        <w:rPr>
          <w:rFonts w:hint="eastAsia"/>
          <w:kern w:val="2"/>
        </w:rPr>
        <w:t xml:space="preserve">    </w:t>
      </w:r>
      <w:r>
        <w:rPr>
          <w:rFonts w:ascii="Times New Roman" w:hAnsi="Times New Roman"/>
          <w:kern w:val="2"/>
        </w:rPr>
        <w:t>——</w:t>
      </w:r>
      <w:r>
        <w:rPr>
          <w:rFonts w:hint="eastAsia" w:ascii="Times New Roman"/>
        </w:rPr>
        <w:t>为</w:t>
      </w:r>
      <w:r>
        <w:rPr>
          <w:rFonts w:hint="eastAsia"/>
        </w:rPr>
        <w:t>森林总碳储量，</w:t>
      </w:r>
      <w:r>
        <w:rPr>
          <w:rFonts w:hint="eastAsia" w:ascii="Times New Roman"/>
        </w:rPr>
        <w:t>单位为吨（t）</w:t>
      </w:r>
      <w:r>
        <w:rPr>
          <w:rFonts w:hint="eastAsia"/>
        </w:rPr>
        <w:t>；</w:t>
      </w:r>
    </w:p>
    <w:p>
      <w:pPr>
        <w:pStyle w:val="56"/>
        <w:ind w:firstLine="420"/>
      </w:pPr>
      <m:oMath>
        <m:sSub>
          <m:sSubPr>
            <m:ctrlPr>
              <w:rPr>
                <w:rFonts w:ascii="Cambria Math" w:hAnsi="Cambria Math"/>
                <w:kern w:val="2"/>
                <w:szCs w:val="21"/>
              </w:rPr>
            </m:ctrlPr>
          </m:sSubPr>
          <m:e>
            <m:r>
              <m:rPr>
                <m:sty m:val="p"/>
              </m:rPr>
              <w:rPr>
                <w:rFonts w:ascii="Cambria Math" w:hAnsi="Cambria Math"/>
              </w:rPr>
              <m:t>C</m:t>
            </m:r>
            <m:ctrlPr>
              <w:rPr>
                <w:rFonts w:ascii="Cambria Math" w:hAnsi="Cambria Math"/>
                <w:kern w:val="2"/>
                <w:szCs w:val="21"/>
              </w:rPr>
            </m:ctrlPr>
          </m:e>
          <m:sub>
            <m:r>
              <m:rPr>
                <m:sty m:val="p"/>
              </m:rPr>
              <w:rPr>
                <w:rFonts w:hint="eastAsia" w:ascii="Cambria Math" w:hAnsi="Cambria Math"/>
              </w:rPr>
              <m:t>单</m:t>
            </m:r>
            <m:ctrlPr>
              <w:rPr>
                <w:rFonts w:ascii="Cambria Math" w:hAnsi="Cambria Math"/>
                <w:kern w:val="2"/>
                <w:szCs w:val="21"/>
              </w:rPr>
            </m:ctrlPr>
          </m:sub>
        </m:sSub>
        <m:r>
          <m:rPr>
            <m:sty m:val="p"/>
          </m:rPr>
          <w:rPr>
            <w:rFonts w:ascii="Cambria Math" w:hAnsi="Cambria Math"/>
            <w:kern w:val="2"/>
            <w:szCs w:val="21"/>
          </w:rPr>
          <m:t xml:space="preserve"> </m:t>
        </m:r>
      </m:oMath>
      <w:r>
        <w:rPr>
          <w:rFonts w:hint="eastAsia"/>
          <w:kern w:val="2"/>
          <w:szCs w:val="21"/>
        </w:rPr>
        <w:t xml:space="preserve">   </w:t>
      </w:r>
      <w:r>
        <w:rPr>
          <w:rFonts w:ascii="Times New Roman"/>
        </w:rPr>
        <w:t>——</w:t>
      </w:r>
      <w:r>
        <w:rPr>
          <w:rFonts w:hint="eastAsia" w:ascii="Times New Roman"/>
        </w:rPr>
        <w:t>为单位面积森林碳储量，单位为吨（t）</w:t>
      </w:r>
      <w:r>
        <w:rPr>
          <w:rFonts w:hint="eastAsia"/>
        </w:rPr>
        <w:t>；</w:t>
      </w:r>
    </w:p>
    <w:p>
      <w:pPr>
        <w:pStyle w:val="56"/>
        <w:ind w:firstLine="420"/>
        <w:rPr>
          <w:rFonts w:ascii="Times New Roman"/>
        </w:rPr>
      </w:pPr>
      <m:oMath>
        <m:r>
          <m:rPr>
            <m:sty m:val="p"/>
          </m:rPr>
          <w:rPr>
            <w:rFonts w:ascii="Cambria Math" w:hAnsi="Cambria Math"/>
          </w:rPr>
          <m:t>S</m:t>
        </m:r>
      </m:oMath>
      <w:r>
        <w:rPr>
          <w:rFonts w:hint="eastAsia"/>
        </w:rPr>
        <w:t xml:space="preserve">     </w:t>
      </w:r>
      <w:r>
        <w:rPr>
          <w:rFonts w:ascii="Times New Roman"/>
        </w:rPr>
        <w:t>——</w:t>
      </w:r>
      <w:r>
        <w:rPr>
          <w:rFonts w:hint="eastAsia" w:ascii="Times New Roman"/>
        </w:rPr>
        <w:t>为面积，单位为平方千米（km</w:t>
      </w:r>
      <w:r>
        <w:rPr>
          <w:rFonts w:hint="eastAsia" w:ascii="Times New Roman"/>
          <w:vertAlign w:val="superscript"/>
        </w:rPr>
        <w:t>2</w:t>
      </w:r>
      <w:r>
        <w:rPr>
          <w:rFonts w:hint="eastAsia" w:ascii="Times New Roman"/>
        </w:rPr>
        <w:t>）。</w:t>
      </w:r>
    </w:p>
    <w:p>
      <w:pPr>
        <w:pStyle w:val="105"/>
        <w:spacing w:before="156" w:after="156"/>
      </w:pPr>
      <w:bookmarkStart w:id="72" w:name="_Toc168499145"/>
      <w:bookmarkStart w:id="73" w:name="_Toc163049243"/>
      <w:bookmarkStart w:id="74" w:name="_Toc168499205"/>
      <w:r>
        <w:rPr>
          <w:rFonts w:hint="eastAsia"/>
        </w:rPr>
        <w:t>单位面积碳储量</w:t>
      </w:r>
      <w:bookmarkEnd w:id="72"/>
      <w:bookmarkEnd w:id="73"/>
      <w:bookmarkEnd w:id="74"/>
    </w:p>
    <w:p>
      <w:pPr>
        <w:pStyle w:val="56"/>
        <w:ind w:firstLine="420"/>
      </w:pPr>
      <w:r>
        <w:rPr>
          <w:rFonts w:hint="eastAsia"/>
        </w:rPr>
        <w:t>森林碳储量估算采用生物量法将将森林碳库按照碳层分别划分为乔木层、灌木层、草本层、枯落物层和土壤层，按照各碳层碳储量求和得到包头地区森林单位面积碳储量。采用以下公式获得：</w:t>
      </w:r>
    </w:p>
    <w:p>
      <w:pPr>
        <w:pStyle w:val="113"/>
      </w:pPr>
      <w:r>
        <w:tab/>
      </w: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单</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乔木层</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灌木层</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草本层</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枯落物层</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土壤层</m:t>
            </m:r>
            <m:ctrlPr>
              <w:rPr>
                <w:rFonts w:ascii="Cambria Math" w:hAnsi="Cambria Math"/>
              </w:rPr>
            </m:ctrlPr>
          </m:sub>
        </m:sSub>
        <m:r>
          <m:rPr>
            <m:sty m:val="p"/>
          </m:rPr>
          <w:rPr>
            <w:rFonts w:ascii="Cambria Math" w:hAnsi="Cambria Math"/>
          </w:rPr>
          <m:t xml:space="preserve">) </m:t>
        </m:r>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单</m:t>
            </m:r>
            <m:ctrlPr>
              <w:rPr>
                <w:rFonts w:ascii="Cambria Math" w:hAnsi="Cambria Math"/>
              </w:rPr>
            </m:ctrlPr>
          </m:sub>
        </m:sSub>
      </m:oMath>
      <w:r>
        <w:rPr>
          <w:rFonts w:ascii="Times New Roman"/>
        </w:rPr>
        <w:t xml:space="preserve">       ——为单位面积森林碳储量，单位为吨（t）；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乔木层</m:t>
            </m:r>
            <m:ctrlPr>
              <w:rPr>
                <w:rFonts w:ascii="Cambria Math" w:hAnsi="Cambria Math"/>
              </w:rPr>
            </m:ctrlPr>
          </m:sub>
        </m:sSub>
      </m:oMath>
      <w:r>
        <w:rPr>
          <w:rFonts w:ascii="Times New Roman"/>
        </w:rPr>
        <w:t xml:space="preserve">    ——为森林乔木层单位面积碳储量，包括地上与地下两部分，单位为吨每公顷（t/hm</w:t>
      </w:r>
      <w:r>
        <w:rPr>
          <w:rFonts w:ascii="Times New Roman"/>
          <w:vertAlign w:val="superscript"/>
        </w:rPr>
        <w:t>2</w:t>
      </w:r>
      <w:r>
        <w:rPr>
          <w:rFonts w:ascii="Times New Roman"/>
        </w:rPr>
        <w: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灌木层</m:t>
            </m:r>
            <m:ctrlPr>
              <w:rPr>
                <w:rFonts w:ascii="Cambria Math" w:hAnsi="Cambria Math"/>
              </w:rPr>
            </m:ctrlPr>
          </m:sub>
        </m:sSub>
      </m:oMath>
      <w:r>
        <w:rPr>
          <w:rFonts w:ascii="Times New Roman"/>
        </w:rPr>
        <w:t xml:space="preserve">    ——为森林灌木层单位面积碳储量，单位为吨每公顷（t/hm</w:t>
      </w:r>
      <w:r>
        <w:rPr>
          <w:rFonts w:ascii="Times New Roman"/>
          <w:vertAlign w:val="superscript"/>
        </w:rPr>
        <w:t>2</w:t>
      </w:r>
      <w:r>
        <w:rPr>
          <w:rFonts w:ascii="Times New Roman"/>
        </w:rPr>
        <w: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草本层</m:t>
            </m:r>
            <m:ctrlPr>
              <w:rPr>
                <w:rFonts w:ascii="Cambria Math" w:hAnsi="Cambria Math"/>
              </w:rPr>
            </m:ctrlPr>
          </m:sub>
        </m:sSub>
      </m:oMath>
      <w:r>
        <w:rPr>
          <w:rFonts w:ascii="Times New Roman"/>
        </w:rPr>
        <w:t xml:space="preserve">    ——为森林草本层单位面积碳储量，单位为吨每公顷（t/hm</w:t>
      </w:r>
      <w:r>
        <w:rPr>
          <w:rFonts w:ascii="Times New Roman"/>
          <w:vertAlign w:val="superscript"/>
        </w:rPr>
        <w:t>2</w:t>
      </w:r>
      <w:r>
        <w:rPr>
          <w:rFonts w:ascii="Times New Roman"/>
        </w:rPr>
        <w: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枯落物层</m:t>
            </m:r>
            <m:ctrlPr>
              <w:rPr>
                <w:rFonts w:ascii="Cambria Math" w:hAnsi="Cambria Math"/>
              </w:rPr>
            </m:ctrlPr>
          </m:sub>
        </m:sSub>
      </m:oMath>
      <w:r>
        <w:rPr>
          <w:rFonts w:ascii="Times New Roman"/>
        </w:rPr>
        <w:t xml:space="preserve">   ——为森林枯落物层单位面积碳储量，单位为吨每公顷（t/hm</w:t>
      </w:r>
      <w:r>
        <w:rPr>
          <w:rFonts w:ascii="Times New Roman"/>
          <w:vertAlign w:val="superscript"/>
        </w:rPr>
        <w:t>2</w:t>
      </w:r>
      <w:r>
        <w:rPr>
          <w:rFonts w:ascii="Times New Roman"/>
        </w:rPr>
        <w: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土壤层</m:t>
            </m:r>
            <m:ctrlPr>
              <w:rPr>
                <w:rFonts w:ascii="Cambria Math" w:hAnsi="Cambria Math"/>
              </w:rPr>
            </m:ctrlPr>
          </m:sub>
        </m:sSub>
      </m:oMath>
      <w:r>
        <w:rPr>
          <w:rFonts w:ascii="Times New Roman"/>
        </w:rPr>
        <w:t xml:space="preserve">    ——为森林土壤层单位面积碳储量，单位为吨每公顷（t/hm</w:t>
      </w:r>
      <w:r>
        <w:rPr>
          <w:rFonts w:ascii="Times New Roman"/>
          <w:vertAlign w:val="superscript"/>
        </w:rPr>
        <w:t>2</w:t>
      </w:r>
      <w:r>
        <w:rPr>
          <w:rFonts w:ascii="Times New Roman"/>
        </w:rPr>
        <w:t>）。</w:t>
      </w:r>
    </w:p>
    <w:p>
      <w:pPr>
        <w:pStyle w:val="105"/>
        <w:spacing w:before="156" w:after="156"/>
      </w:pPr>
      <w:bookmarkStart w:id="75" w:name="_Toc163049244"/>
      <w:bookmarkStart w:id="76" w:name="_Toc168499146"/>
      <w:bookmarkStart w:id="77" w:name="_Toc168499206"/>
      <w:r>
        <w:rPr>
          <w:rFonts w:hint="eastAsia"/>
        </w:rPr>
        <w:t>乔木层碳储量</w:t>
      </w:r>
      <w:bookmarkEnd w:id="75"/>
      <w:bookmarkEnd w:id="76"/>
      <w:bookmarkEnd w:id="77"/>
    </w:p>
    <w:p>
      <w:pPr>
        <w:pStyle w:val="56"/>
        <w:ind w:firstLine="420"/>
      </w:pPr>
      <w:r>
        <w:rPr>
          <w:rFonts w:hint="eastAsia"/>
        </w:rPr>
        <w:t>乔木层</w:t>
      </w:r>
      <w:r>
        <w:t>碳储量</w:t>
      </w:r>
      <w:r>
        <w:rPr>
          <w:rFonts w:hint="eastAsia"/>
        </w:rPr>
        <w:t>获得</w:t>
      </w:r>
      <w:r>
        <w:t>组成林分各树种的平均单位面积生物量</w:t>
      </w:r>
      <w:r>
        <w:rPr>
          <w:rFonts w:hint="eastAsia"/>
        </w:rPr>
        <w:t>及</w:t>
      </w:r>
      <w:r>
        <w:t>树种含碳率，</w:t>
      </w:r>
      <w:r>
        <w:rPr>
          <w:rFonts w:hint="eastAsia"/>
        </w:rPr>
        <w:t>参考附录A</w:t>
      </w:r>
      <w:r>
        <w:t>.1</w:t>
      </w:r>
      <w:r>
        <w:rPr>
          <w:rFonts w:hint="eastAsia"/>
        </w:rPr>
        <w:t>乔木层本地参数，</w:t>
      </w:r>
      <w:r>
        <w:t>采用以下公式</w:t>
      </w:r>
      <w:r>
        <w:rPr>
          <w:rFonts w:hint="eastAsia"/>
        </w:rPr>
        <w:t>获得：</w:t>
      </w:r>
    </w:p>
    <w:p>
      <w:pPr>
        <w:pStyle w:val="113"/>
      </w:pPr>
      <w:r>
        <w:tab/>
      </w:r>
      <m:oMath>
        <m:sSub>
          <m:sSubPr>
            <m:ctrlPr>
              <w:rPr>
                <w:rFonts w:ascii="Cambria Math" w:hAnsi="Cambria Math"/>
                <w:kern w:val="0"/>
                <w:szCs w:val="20"/>
              </w:rPr>
            </m:ctrlPr>
          </m:sSubPr>
          <m:e>
            <m:r>
              <m:rPr>
                <m:sty m:val="p"/>
              </m:rPr>
              <w:rPr>
                <w:rFonts w:ascii="Cambria Math" w:hAnsi="Cambria Math"/>
                <w:kern w:val="0"/>
                <w:szCs w:val="20"/>
              </w:rPr>
              <m:t>C</m:t>
            </m:r>
            <m:ctrlPr>
              <w:rPr>
                <w:rFonts w:ascii="Cambria Math" w:hAnsi="Cambria Math"/>
                <w:kern w:val="0"/>
                <w:szCs w:val="20"/>
              </w:rPr>
            </m:ctrlPr>
          </m:e>
          <m:sub>
            <m:r>
              <m:rPr>
                <m:sty m:val="p"/>
              </m:rPr>
              <w:rPr>
                <w:rFonts w:hint="eastAsia" w:ascii="Cambria Math" w:hAnsi="Cambria Math"/>
                <w:kern w:val="0"/>
                <w:szCs w:val="20"/>
              </w:rPr>
              <m:t>乔木层</m:t>
            </m:r>
            <m:ctrlPr>
              <w:rPr>
                <w:rFonts w:ascii="Cambria Math" w:hAnsi="Cambria Math"/>
                <w:kern w:val="0"/>
                <w:szCs w:val="20"/>
              </w:rPr>
            </m:ctrlPr>
          </m:sub>
        </m:sSub>
        <m:r>
          <m:rPr>
            <m:sty m:val="p"/>
          </m:rPr>
          <w:rPr>
            <w:rFonts w:ascii="Cambria Math" w:hAnsi="Cambria Math"/>
            <w:kern w:val="0"/>
            <w:szCs w:val="20"/>
          </w:rPr>
          <m:t>=</m:t>
        </m:r>
        <m:nary>
          <m:naryPr>
            <m:chr m:val="∑"/>
            <m:limLoc m:val="subSup"/>
            <m:ctrlPr>
              <w:rPr>
                <w:rFonts w:ascii="Cambria Math" w:hAnsi="Cambria Math"/>
                <w:kern w:val="0"/>
                <w:szCs w:val="20"/>
              </w:rPr>
            </m:ctrlPr>
          </m:naryPr>
          <m:sub>
            <m:r>
              <m:rPr>
                <m:sty m:val="p"/>
              </m:rPr>
              <w:rPr>
                <w:rFonts w:ascii="Cambria Math" w:hAnsi="Cambria Math"/>
                <w:kern w:val="0"/>
                <w:szCs w:val="20"/>
              </w:rPr>
              <m:t>k=1</m:t>
            </m:r>
            <m:ctrlPr>
              <w:rPr>
                <w:rFonts w:ascii="Cambria Math" w:hAnsi="Cambria Math"/>
                <w:kern w:val="0"/>
                <w:szCs w:val="20"/>
              </w:rPr>
            </m:ctrlPr>
          </m:sub>
          <m:sup>
            <m:r>
              <m:rPr>
                <m:sty m:val="p"/>
              </m:rPr>
              <w:rPr>
                <w:rFonts w:ascii="Cambria Math" w:hAnsi="Cambria Math"/>
                <w:kern w:val="0"/>
                <w:szCs w:val="20"/>
              </w:rPr>
              <m:t>n</m:t>
            </m:r>
            <m:ctrlPr>
              <w:rPr>
                <w:rFonts w:ascii="Cambria Math" w:hAnsi="Cambria Math"/>
                <w:kern w:val="0"/>
                <w:szCs w:val="20"/>
              </w:rPr>
            </m:ctrlPr>
          </m:sup>
          <m:e>
            <m:d>
              <m:dPr>
                <m:begChr m:val="["/>
                <m:endChr m:val="]"/>
                <m:ctrlPr>
                  <w:rPr>
                    <w:rFonts w:ascii="Cambria Math" w:hAnsi="Cambria Math"/>
                    <w:kern w:val="0"/>
                    <w:szCs w:val="20"/>
                  </w:rPr>
                </m:ctrlPr>
              </m:dPr>
              <m:e>
                <m:r>
                  <m:rPr>
                    <m:sty m:val="p"/>
                  </m:rPr>
                  <w:rPr>
                    <w:rFonts w:ascii="Cambria Math" w:hAnsi="Cambria Math"/>
                    <w:kern w:val="0"/>
                    <w:szCs w:val="20"/>
                  </w:rPr>
                  <m:t>(</m:t>
                </m:r>
                <m:sSub>
                  <m:sSubPr>
                    <m:ctrlPr>
                      <w:rPr>
                        <w:rFonts w:ascii="Cambria Math" w:hAnsi="Cambria Math"/>
                        <w:kern w:val="0"/>
                        <w:szCs w:val="20"/>
                      </w:rPr>
                    </m:ctrlPr>
                  </m:sSubPr>
                  <m:e>
                    <m:r>
                      <m:rPr>
                        <m:sty m:val="p"/>
                      </m:rPr>
                      <w:rPr>
                        <w:rFonts w:ascii="Cambria Math" w:hAnsi="Cambria Math"/>
                        <w:kern w:val="0"/>
                        <w:szCs w:val="20"/>
                      </w:rPr>
                      <m:t>B</m:t>
                    </m:r>
                    <m:ctrlPr>
                      <w:rPr>
                        <w:rFonts w:ascii="Cambria Math" w:hAnsi="Cambria Math"/>
                        <w:kern w:val="0"/>
                        <w:szCs w:val="20"/>
                      </w:rPr>
                    </m:ctrlPr>
                  </m:e>
                  <m:sub>
                    <m:r>
                      <m:rPr>
                        <m:sty m:val="p"/>
                      </m:rPr>
                      <w:rPr>
                        <w:rFonts w:hint="eastAsia" w:ascii="Cambria Math" w:hAnsi="Cambria Math"/>
                        <w:kern w:val="0"/>
                        <w:szCs w:val="20"/>
                      </w:rPr>
                      <m:t>乔木地上生物量</m:t>
                    </m:r>
                    <m:r>
                      <m:rPr>
                        <m:sty m:val="p"/>
                      </m:rPr>
                      <w:rPr>
                        <w:rFonts w:ascii="Cambria Math" w:hAnsi="Cambria Math"/>
                        <w:kern w:val="0"/>
                        <w:szCs w:val="20"/>
                      </w:rPr>
                      <m:t>,k</m:t>
                    </m:r>
                    <m:ctrlPr>
                      <w:rPr>
                        <w:rFonts w:ascii="Cambria Math" w:hAnsi="Cambria Math"/>
                        <w:kern w:val="0"/>
                        <w:szCs w:val="20"/>
                      </w:rPr>
                    </m:ctrlPr>
                  </m:sub>
                </m:sSub>
                <m:r>
                  <m:rPr>
                    <m:sty m:val="p"/>
                  </m:rPr>
                  <w:rPr>
                    <w:rFonts w:ascii="Cambria Math" w:hAnsi="Cambria Math"/>
                    <w:kern w:val="0"/>
                    <w:szCs w:val="20"/>
                  </w:rPr>
                  <m:t>×</m:t>
                </m:r>
                <m:sSub>
                  <m:sSubPr>
                    <m:ctrlPr>
                      <w:rPr>
                        <w:rFonts w:ascii="Cambria Math" w:hAnsi="Cambria Math"/>
                        <w:kern w:val="0"/>
                        <w:szCs w:val="20"/>
                      </w:rPr>
                    </m:ctrlPr>
                  </m:sSubPr>
                  <m:e>
                    <m:r>
                      <m:rPr>
                        <m:sty m:val="p"/>
                      </m:rPr>
                      <w:rPr>
                        <w:rFonts w:ascii="Cambria Math" w:hAnsi="Cambria Math"/>
                        <w:kern w:val="0"/>
                        <w:szCs w:val="20"/>
                      </w:rPr>
                      <m:t>CF</m:t>
                    </m:r>
                    <m:ctrlPr>
                      <w:rPr>
                        <w:rFonts w:ascii="Cambria Math" w:hAnsi="Cambria Math"/>
                        <w:kern w:val="0"/>
                        <w:szCs w:val="20"/>
                      </w:rPr>
                    </m:ctrlPr>
                  </m:e>
                  <m:sub>
                    <m:r>
                      <m:rPr>
                        <m:sty m:val="p"/>
                      </m:rPr>
                      <w:rPr>
                        <w:rFonts w:hint="eastAsia" w:ascii="Cambria Math" w:hAnsi="Cambria Math"/>
                        <w:kern w:val="0"/>
                        <w:szCs w:val="20"/>
                      </w:rPr>
                      <m:t>乔木上</m:t>
                    </m:r>
                    <m:r>
                      <m:rPr>
                        <m:sty m:val="p"/>
                      </m:rPr>
                      <w:rPr>
                        <w:rFonts w:ascii="Cambria Math" w:hAnsi="Cambria Math"/>
                        <w:kern w:val="0"/>
                        <w:szCs w:val="20"/>
                      </w:rPr>
                      <m:t>,k</m:t>
                    </m:r>
                    <m:ctrlPr>
                      <w:rPr>
                        <w:rFonts w:ascii="Cambria Math" w:hAnsi="Cambria Math"/>
                        <w:kern w:val="0"/>
                        <w:szCs w:val="20"/>
                      </w:rPr>
                    </m:ctrlPr>
                  </m:sub>
                </m:sSub>
                <m:r>
                  <m:rPr>
                    <m:sty m:val="p"/>
                  </m:rPr>
                  <w:rPr>
                    <w:rFonts w:ascii="Cambria Math" w:hAnsi="Cambria Math"/>
                    <w:kern w:val="0"/>
                    <w:szCs w:val="20"/>
                  </w:rPr>
                  <m:t>)+</m:t>
                </m:r>
                <m:d>
                  <m:dPr>
                    <m:ctrlPr>
                      <w:rPr>
                        <w:rFonts w:ascii="Cambria Math" w:hAnsi="Cambria Math"/>
                        <w:kern w:val="0"/>
                        <w:szCs w:val="20"/>
                      </w:rPr>
                    </m:ctrlPr>
                  </m:dPr>
                  <m:e>
                    <m:sSub>
                      <m:sSubPr>
                        <m:ctrlPr>
                          <w:rPr>
                            <w:rFonts w:ascii="Cambria Math" w:hAnsi="Cambria Math"/>
                            <w:kern w:val="0"/>
                            <w:szCs w:val="20"/>
                          </w:rPr>
                        </m:ctrlPr>
                      </m:sSubPr>
                      <m:e>
                        <m:r>
                          <m:rPr>
                            <m:sty m:val="p"/>
                          </m:rPr>
                          <w:rPr>
                            <w:rFonts w:ascii="Cambria Math" w:hAnsi="Cambria Math"/>
                            <w:kern w:val="0"/>
                            <w:szCs w:val="20"/>
                          </w:rPr>
                          <m:t>B</m:t>
                        </m:r>
                        <m:ctrlPr>
                          <w:rPr>
                            <w:rFonts w:ascii="Cambria Math" w:hAnsi="Cambria Math"/>
                            <w:kern w:val="0"/>
                            <w:szCs w:val="20"/>
                          </w:rPr>
                        </m:ctrlPr>
                      </m:e>
                      <m:sub>
                        <m:r>
                          <m:rPr>
                            <m:sty m:val="p"/>
                          </m:rPr>
                          <w:rPr>
                            <w:rFonts w:hint="eastAsia" w:ascii="Cambria Math" w:hAnsi="Cambria Math"/>
                            <w:kern w:val="0"/>
                            <w:szCs w:val="20"/>
                          </w:rPr>
                          <m:t>乔木地下生物量</m:t>
                        </m:r>
                        <m:r>
                          <m:rPr>
                            <m:sty m:val="p"/>
                          </m:rPr>
                          <w:rPr>
                            <w:rFonts w:ascii="Cambria Math" w:hAnsi="Cambria Math"/>
                            <w:kern w:val="0"/>
                            <w:szCs w:val="20"/>
                          </w:rPr>
                          <m:t>,k</m:t>
                        </m:r>
                        <m:ctrlPr>
                          <w:rPr>
                            <w:rFonts w:ascii="Cambria Math" w:hAnsi="Cambria Math"/>
                            <w:kern w:val="0"/>
                            <w:szCs w:val="20"/>
                          </w:rPr>
                        </m:ctrlPr>
                      </m:sub>
                    </m:sSub>
                    <m:r>
                      <m:rPr/>
                      <w:rPr>
                        <w:rFonts w:ascii="Cambria Math" w:hAnsi="Cambria Math"/>
                        <w:kern w:val="0"/>
                        <w:szCs w:val="20"/>
                      </w:rPr>
                      <m:t>×</m:t>
                    </m:r>
                    <m:sSub>
                      <m:sSubPr>
                        <m:ctrlPr>
                          <w:rPr>
                            <w:rFonts w:ascii="Cambria Math" w:hAnsi="Cambria Math"/>
                            <w:kern w:val="0"/>
                            <w:szCs w:val="20"/>
                          </w:rPr>
                        </m:ctrlPr>
                      </m:sSubPr>
                      <m:e>
                        <m:r>
                          <m:rPr>
                            <m:sty m:val="p"/>
                          </m:rPr>
                          <w:rPr>
                            <w:rFonts w:ascii="Cambria Math" w:hAnsi="Cambria Math"/>
                            <w:kern w:val="0"/>
                            <w:szCs w:val="20"/>
                          </w:rPr>
                          <m:t>CF</m:t>
                        </m:r>
                        <m:ctrlPr>
                          <w:rPr>
                            <w:rFonts w:ascii="Cambria Math" w:hAnsi="Cambria Math"/>
                            <w:kern w:val="0"/>
                            <w:szCs w:val="20"/>
                          </w:rPr>
                        </m:ctrlPr>
                      </m:e>
                      <m:sub>
                        <m:r>
                          <m:rPr>
                            <m:sty m:val="p"/>
                          </m:rPr>
                          <w:rPr>
                            <w:rFonts w:hint="eastAsia" w:ascii="Cambria Math" w:hAnsi="Cambria Math"/>
                            <w:kern w:val="0"/>
                            <w:szCs w:val="20"/>
                          </w:rPr>
                          <m:t>乔木下</m:t>
                        </m:r>
                        <m:r>
                          <m:rPr>
                            <m:sty m:val="p"/>
                          </m:rPr>
                          <w:rPr>
                            <w:rFonts w:ascii="Cambria Math" w:hAnsi="Cambria Math"/>
                            <w:kern w:val="0"/>
                            <w:szCs w:val="20"/>
                          </w:rPr>
                          <m:t>,k</m:t>
                        </m:r>
                        <m:ctrlPr>
                          <w:rPr>
                            <w:rFonts w:ascii="Cambria Math" w:hAnsi="Cambria Math"/>
                            <w:kern w:val="0"/>
                            <w:szCs w:val="20"/>
                          </w:rPr>
                        </m:ctrlPr>
                      </m:sub>
                    </m:sSub>
                    <m:ctrlPr>
                      <w:rPr>
                        <w:rFonts w:ascii="Cambria Math" w:hAnsi="Cambria Math"/>
                        <w:kern w:val="0"/>
                        <w:szCs w:val="20"/>
                      </w:rPr>
                    </m:ctrlPr>
                  </m:e>
                </m:d>
                <m:ctrlPr>
                  <w:rPr>
                    <w:rFonts w:ascii="Cambria Math" w:hAnsi="Cambria Math"/>
                    <w:kern w:val="0"/>
                    <w:szCs w:val="20"/>
                  </w:rPr>
                </m:ctrlPr>
              </m:e>
            </m:d>
            <m:ctrlPr>
              <w:rPr>
                <w:rFonts w:ascii="Cambria Math" w:hAnsi="Cambria Math"/>
                <w:kern w:val="0"/>
                <w:szCs w:val="20"/>
              </w:rPr>
            </m:ctrlPr>
          </m:e>
        </m:nary>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adjustRightInd/>
        <w:ind w:firstLine="420" w:firstLineChars="200"/>
        <w:rPr>
          <w:rFonts w:ascii="Times New Roman" w:hAnsi="Times New Roman"/>
          <w:kern w:val="0"/>
          <w:szCs w:val="20"/>
        </w:rPr>
      </w:pPr>
      <m:oMath>
        <m:sSub>
          <m:sSubPr>
            <m:ctrlPr>
              <w:rPr>
                <w:rFonts w:ascii="Cambria Math" w:hAnsi="Cambria Math"/>
                <w:kern w:val="0"/>
                <w:szCs w:val="20"/>
              </w:rPr>
            </m:ctrlPr>
          </m:sSubPr>
          <m:e>
            <m:r>
              <m:rPr>
                <m:sty m:val="p"/>
              </m:rPr>
              <w:rPr>
                <w:rFonts w:ascii="Cambria Math" w:hAnsi="Cambria Math"/>
                <w:kern w:val="0"/>
                <w:szCs w:val="20"/>
              </w:rPr>
              <m:t>C</m:t>
            </m:r>
            <m:ctrlPr>
              <w:rPr>
                <w:rFonts w:ascii="Cambria Math" w:hAnsi="Cambria Math"/>
                <w:kern w:val="0"/>
                <w:szCs w:val="20"/>
              </w:rPr>
            </m:ctrlPr>
          </m:e>
          <m:sub>
            <m:r>
              <m:rPr>
                <m:sty m:val="p"/>
              </m:rPr>
              <w:rPr>
                <w:rFonts w:ascii="Cambria Math" w:hAnsi="Cambria Math"/>
                <w:kern w:val="0"/>
                <w:szCs w:val="20"/>
              </w:rPr>
              <m:t>乔木层</m:t>
            </m:r>
            <m:ctrlPr>
              <w:rPr>
                <w:rFonts w:ascii="Cambria Math" w:hAnsi="Cambria Math"/>
                <w:kern w:val="0"/>
                <w:szCs w:val="20"/>
              </w:rPr>
            </m:ctrlPr>
          </m:sub>
        </m:sSub>
      </m:oMath>
      <w:r>
        <w:rPr>
          <w:rFonts w:ascii="Times New Roman" w:hAnsi="Times New Roman"/>
          <w:kern w:val="0"/>
          <w:szCs w:val="20"/>
        </w:rPr>
        <w:t xml:space="preserve">           ——为乔木生物质碳储量，单位为吨（t）；</w:t>
      </w:r>
    </w:p>
    <w:p>
      <w:pPr>
        <w:adjustRightInd/>
        <w:ind w:firstLine="420" w:firstLineChars="200"/>
        <w:rPr>
          <w:rFonts w:ascii="Times New Roman" w:hAnsi="Times New Roman"/>
          <w:kern w:val="0"/>
          <w:szCs w:val="20"/>
        </w:rPr>
      </w:pPr>
      <w:r>
        <w:rPr>
          <w:rFonts w:ascii="Times New Roman" w:hAnsi="Times New Roman"/>
          <w:kern w:val="0"/>
          <w:szCs w:val="20"/>
        </w:rPr>
        <w:t>k=1,2,3...n        ——为组成林分的树种；</w:t>
      </w:r>
    </w:p>
    <w:p>
      <w:pPr>
        <w:adjustRightInd/>
        <w:ind w:firstLine="420" w:firstLineChars="200"/>
        <w:rPr>
          <w:rFonts w:ascii="Times New Roman" w:hAnsi="Times New Roman"/>
          <w:kern w:val="0"/>
          <w:szCs w:val="20"/>
        </w:rPr>
      </w:pPr>
      <m:oMath>
        <m:sSub>
          <m:sSubPr>
            <m:ctrlPr>
              <w:rPr>
                <w:rFonts w:ascii="Cambria Math" w:hAnsi="Cambria Math"/>
                <w:kern w:val="0"/>
                <w:szCs w:val="20"/>
              </w:rPr>
            </m:ctrlPr>
          </m:sSubPr>
          <m:e>
            <m:r>
              <m:rPr>
                <m:sty m:val="p"/>
              </m:rPr>
              <w:rPr>
                <w:rFonts w:ascii="Cambria Math" w:hAnsi="Cambria Math"/>
                <w:kern w:val="0"/>
                <w:szCs w:val="20"/>
              </w:rPr>
              <m:t>B</m:t>
            </m:r>
            <m:ctrlPr>
              <w:rPr>
                <w:rFonts w:ascii="Cambria Math" w:hAnsi="Cambria Math"/>
                <w:kern w:val="0"/>
                <w:szCs w:val="20"/>
              </w:rPr>
            </m:ctrlPr>
          </m:e>
          <m:sub>
            <m:r>
              <m:rPr>
                <m:sty m:val="p"/>
              </m:rPr>
              <w:rPr>
                <w:rFonts w:ascii="Cambria Math" w:hAnsi="Cambria Math"/>
                <w:kern w:val="0"/>
                <w:szCs w:val="20"/>
              </w:rPr>
              <m:t>乔木地上生物量,k</m:t>
            </m:r>
            <m:ctrlPr>
              <w:rPr>
                <w:rFonts w:ascii="Cambria Math" w:hAnsi="Cambria Math"/>
                <w:kern w:val="0"/>
                <w:szCs w:val="20"/>
              </w:rPr>
            </m:ctrlPr>
          </m:sub>
        </m:sSub>
      </m:oMath>
      <w:r>
        <w:rPr>
          <w:rFonts w:ascii="Times New Roman" w:hAnsi="Times New Roman"/>
          <w:kern w:val="0"/>
          <w:szCs w:val="20"/>
        </w:rPr>
        <w:t xml:space="preserve">    ——为林分中树种k的平均单位面积生物量，单位为吨每公顷（t/hm</w:t>
      </w:r>
      <w:r>
        <w:rPr>
          <w:rFonts w:ascii="Times New Roman" w:hAnsi="Times New Roman"/>
          <w:kern w:val="0"/>
          <w:szCs w:val="20"/>
          <w:vertAlign w:val="superscript"/>
        </w:rPr>
        <w:t>2</w:t>
      </w:r>
      <w:r>
        <w:rPr>
          <w:rFonts w:ascii="Times New Roman" w:hAnsi="Times New Roman"/>
          <w:kern w:val="0"/>
          <w:szCs w:val="20"/>
        </w:rPr>
        <w:t>）;</w:t>
      </w:r>
    </w:p>
    <w:p>
      <w:pPr>
        <w:adjustRightInd/>
        <w:ind w:firstLine="420" w:firstLineChars="200"/>
        <w:rPr>
          <w:rFonts w:ascii="Times New Roman" w:hAnsi="Times New Roman"/>
          <w:kern w:val="0"/>
          <w:szCs w:val="20"/>
        </w:rPr>
      </w:pPr>
      <m:oMath>
        <m:sSub>
          <m:sSubPr>
            <m:ctrlPr>
              <w:rPr>
                <w:rFonts w:ascii="Cambria Math" w:hAnsi="Cambria Math"/>
                <w:kern w:val="0"/>
                <w:szCs w:val="20"/>
              </w:rPr>
            </m:ctrlPr>
          </m:sSubPr>
          <m:e>
            <m:r>
              <m:rPr>
                <m:sty m:val="p"/>
              </m:rPr>
              <w:rPr>
                <w:rFonts w:ascii="Cambria Math" w:hAnsi="Cambria Math"/>
                <w:kern w:val="0"/>
                <w:szCs w:val="20"/>
              </w:rPr>
              <m:t>CF</m:t>
            </m:r>
            <m:ctrlPr>
              <w:rPr>
                <w:rFonts w:ascii="Cambria Math" w:hAnsi="Cambria Math"/>
                <w:kern w:val="0"/>
                <w:szCs w:val="20"/>
              </w:rPr>
            </m:ctrlPr>
          </m:e>
          <m:sub>
            <m:r>
              <m:rPr>
                <m:sty m:val="p"/>
              </m:rPr>
              <w:rPr>
                <w:rFonts w:ascii="Cambria Math" w:hAnsi="Cambria Math"/>
                <w:kern w:val="0"/>
                <w:szCs w:val="20"/>
              </w:rPr>
              <m:t>乔木上,k</m:t>
            </m:r>
            <m:ctrlPr>
              <w:rPr>
                <w:rFonts w:ascii="Cambria Math" w:hAnsi="Cambria Math"/>
                <w:kern w:val="0"/>
                <w:szCs w:val="20"/>
              </w:rPr>
            </m:ctrlPr>
          </m:sub>
        </m:sSub>
      </m:oMath>
      <w:r>
        <w:rPr>
          <w:rFonts w:ascii="Times New Roman" w:hAnsi="Times New Roman"/>
          <w:kern w:val="0"/>
          <w:szCs w:val="20"/>
        </w:rPr>
        <w:t xml:space="preserve">         ——为树种k的含碳率</w:t>
      </w:r>
      <w:r>
        <w:rPr>
          <w:rFonts w:ascii="Times New Roman" w:hAnsi="Times New Roman"/>
        </w:rPr>
        <w:t>，单位为百分比（%）</w:t>
      </w:r>
      <w:r>
        <w:rPr>
          <w:rFonts w:ascii="Times New Roman" w:hAnsi="Times New Roman"/>
          <w:kern w:val="0"/>
          <w:szCs w:val="20"/>
        </w:rPr>
        <w:t>;</w:t>
      </w:r>
    </w:p>
    <w:p>
      <w:pPr>
        <w:adjustRightInd/>
        <w:ind w:firstLine="420" w:firstLineChars="200"/>
        <w:rPr>
          <w:rFonts w:ascii="Times New Roman" w:hAnsi="Times New Roman"/>
          <w:kern w:val="0"/>
          <w:szCs w:val="20"/>
        </w:rPr>
      </w:pPr>
      <m:oMath>
        <m:sSub>
          <m:sSubPr>
            <m:ctrlPr>
              <w:rPr>
                <w:rFonts w:ascii="Cambria Math" w:hAnsi="Cambria Math"/>
                <w:kern w:val="0"/>
                <w:szCs w:val="20"/>
              </w:rPr>
            </m:ctrlPr>
          </m:sSubPr>
          <m:e>
            <m:r>
              <m:rPr>
                <m:sty m:val="p"/>
              </m:rPr>
              <w:rPr>
                <w:rFonts w:ascii="Cambria Math" w:hAnsi="Cambria Math"/>
                <w:kern w:val="0"/>
                <w:szCs w:val="20"/>
              </w:rPr>
              <m:t>B</m:t>
            </m:r>
            <m:ctrlPr>
              <w:rPr>
                <w:rFonts w:ascii="Cambria Math" w:hAnsi="Cambria Math"/>
                <w:kern w:val="0"/>
                <w:szCs w:val="20"/>
              </w:rPr>
            </m:ctrlPr>
          </m:e>
          <m:sub>
            <m:r>
              <m:rPr>
                <m:sty m:val="p"/>
              </m:rPr>
              <w:rPr>
                <w:rFonts w:ascii="Cambria Math" w:hAnsi="Cambria Math"/>
                <w:kern w:val="0"/>
                <w:szCs w:val="20"/>
              </w:rPr>
              <m:t>乔木地下生物量,k</m:t>
            </m:r>
            <m:ctrlPr>
              <w:rPr>
                <w:rFonts w:ascii="Cambria Math" w:hAnsi="Cambria Math"/>
                <w:kern w:val="0"/>
                <w:szCs w:val="20"/>
              </w:rPr>
            </m:ctrlPr>
          </m:sub>
        </m:sSub>
      </m:oMath>
      <w:r>
        <w:rPr>
          <w:rFonts w:ascii="Times New Roman" w:hAnsi="Times New Roman"/>
          <w:kern w:val="0"/>
          <w:szCs w:val="20"/>
        </w:rPr>
        <w:t xml:space="preserve">    ——为林分中树种k的平均单位面积生物量，单位为吨每公顷（t/hm</w:t>
      </w:r>
      <w:r>
        <w:rPr>
          <w:rFonts w:ascii="Times New Roman" w:hAnsi="Times New Roman"/>
          <w:kern w:val="0"/>
          <w:szCs w:val="20"/>
          <w:vertAlign w:val="superscript"/>
        </w:rPr>
        <w:t>2</w:t>
      </w:r>
      <w:r>
        <w:rPr>
          <w:rFonts w:ascii="Times New Roman" w:hAnsi="Times New Roman"/>
          <w:kern w:val="0"/>
          <w:szCs w:val="20"/>
        </w:rPr>
        <w:t>）;</w:t>
      </w:r>
    </w:p>
    <w:p>
      <w:pPr>
        <w:adjustRightInd/>
        <w:ind w:firstLine="420" w:firstLineChars="200"/>
        <w:rPr>
          <w:rFonts w:ascii="Times New Roman" w:hAnsi="Times New Roman"/>
          <w:kern w:val="0"/>
          <w:szCs w:val="20"/>
        </w:rPr>
      </w:pPr>
      <m:oMath>
        <m:sSub>
          <m:sSubPr>
            <m:ctrlPr>
              <w:rPr>
                <w:rFonts w:ascii="Cambria Math" w:hAnsi="Cambria Math"/>
                <w:kern w:val="0"/>
                <w:szCs w:val="20"/>
              </w:rPr>
            </m:ctrlPr>
          </m:sSubPr>
          <m:e>
            <m:r>
              <m:rPr>
                <m:sty m:val="p"/>
              </m:rPr>
              <w:rPr>
                <w:rFonts w:ascii="Cambria Math" w:hAnsi="Cambria Math"/>
                <w:kern w:val="0"/>
                <w:szCs w:val="20"/>
              </w:rPr>
              <m:t>CF</m:t>
            </m:r>
            <m:ctrlPr>
              <w:rPr>
                <w:rFonts w:ascii="Cambria Math" w:hAnsi="Cambria Math"/>
                <w:kern w:val="0"/>
                <w:szCs w:val="20"/>
              </w:rPr>
            </m:ctrlPr>
          </m:e>
          <m:sub>
            <m:r>
              <m:rPr>
                <m:sty m:val="p"/>
              </m:rPr>
              <w:rPr>
                <w:rFonts w:ascii="Cambria Math" w:hAnsi="Cambria Math"/>
                <w:kern w:val="0"/>
                <w:szCs w:val="20"/>
              </w:rPr>
              <m:t>乔木下,k</m:t>
            </m:r>
            <m:ctrlPr>
              <w:rPr>
                <w:rFonts w:ascii="Cambria Math" w:hAnsi="Cambria Math"/>
                <w:kern w:val="0"/>
                <w:szCs w:val="20"/>
              </w:rPr>
            </m:ctrlPr>
          </m:sub>
        </m:sSub>
      </m:oMath>
      <w:r>
        <w:rPr>
          <w:rFonts w:ascii="Times New Roman" w:hAnsi="Times New Roman"/>
          <w:kern w:val="0"/>
          <w:szCs w:val="20"/>
        </w:rPr>
        <w:t xml:space="preserve">         ——为树种k的含碳率</w:t>
      </w:r>
      <w:r>
        <w:rPr>
          <w:rFonts w:ascii="Times New Roman" w:hAnsi="Times New Roman"/>
        </w:rPr>
        <w:t>，单位为百分比（%）</w:t>
      </w:r>
      <w:r>
        <w:rPr>
          <w:rFonts w:ascii="Times New Roman" w:hAnsi="Times New Roman"/>
          <w:kern w:val="0"/>
          <w:szCs w:val="20"/>
        </w:rPr>
        <w:t>。</w:t>
      </w:r>
    </w:p>
    <w:p>
      <w:pPr>
        <w:pStyle w:val="65"/>
        <w:spacing w:before="156" w:after="156"/>
      </w:pPr>
      <w:bookmarkStart w:id="78" w:name="_Toc163049245"/>
      <w:bookmarkStart w:id="79" w:name="_Toc168499147"/>
      <w:bookmarkStart w:id="80" w:name="_Toc168499207"/>
      <w:r>
        <w:rPr>
          <w:rFonts w:hint="eastAsia"/>
        </w:rPr>
        <w:t>乔木层地上生物量</w:t>
      </w:r>
      <w:bookmarkEnd w:id="78"/>
      <w:bookmarkEnd w:id="79"/>
      <w:bookmarkEnd w:id="80"/>
    </w:p>
    <w:p>
      <w:pPr>
        <w:pStyle w:val="56"/>
        <w:ind w:firstLine="420"/>
      </w:pPr>
      <w:r>
        <w:rPr>
          <w:rFonts w:hint="eastAsia"/>
        </w:rPr>
        <w:t>乔木层地上生物量按照LY/T 2988方法采用本地参数建立乔木生长方程获得乔木层地上</w:t>
      </w:r>
      <w:r>
        <w:t>生物量，采用以下公式</w:t>
      </w:r>
      <w:r>
        <w:rPr>
          <w:rFonts w:hint="eastAsia"/>
        </w:rPr>
        <w:t>获得：</w:t>
      </w:r>
    </w:p>
    <w:p>
      <w:pPr>
        <w:pStyle w:val="113"/>
      </w:pPr>
      <w:r>
        <w:tab/>
      </w:r>
      <m:oMath>
        <m:sSub>
          <m:sSubPr>
            <m:ctrlPr>
              <w:rPr>
                <w:rFonts w:ascii="Cambria Math" w:hAnsi="Cambria Math"/>
                <w:kern w:val="0"/>
                <w:szCs w:val="20"/>
              </w:rPr>
            </m:ctrlPr>
          </m:sSubPr>
          <m:e>
            <m:r>
              <m:rPr>
                <m:sty m:val="p"/>
              </m:rPr>
              <w:rPr>
                <w:rFonts w:ascii="Cambria Math" w:hAnsi="Cambria Math"/>
                <w:kern w:val="0"/>
                <w:szCs w:val="20"/>
              </w:rPr>
              <m:t>B</m:t>
            </m:r>
            <m:ctrlPr>
              <w:rPr>
                <w:rFonts w:ascii="Cambria Math" w:hAnsi="Cambria Math"/>
                <w:kern w:val="0"/>
                <w:szCs w:val="20"/>
              </w:rPr>
            </m:ctrlPr>
          </m:e>
          <m:sub>
            <m:r>
              <m:rPr>
                <m:sty m:val="p"/>
              </m:rPr>
              <w:rPr>
                <w:rFonts w:hint="eastAsia" w:ascii="Cambria Math" w:hAnsi="Cambria Math"/>
                <w:kern w:val="0"/>
                <w:szCs w:val="20"/>
              </w:rPr>
              <m:t>乔木地上生物量</m:t>
            </m:r>
            <m:r>
              <m:rPr>
                <m:sty m:val="p"/>
              </m:rPr>
              <w:rPr>
                <w:rFonts w:ascii="Cambria Math" w:hAnsi="Cambria Math"/>
                <w:kern w:val="0"/>
                <w:szCs w:val="20"/>
              </w:rPr>
              <m:t>,k</m:t>
            </m:r>
            <m:ctrlPr>
              <w:rPr>
                <w:rFonts w:ascii="Cambria Math" w:hAnsi="Cambria Math"/>
                <w:kern w:val="0"/>
                <w:szCs w:val="20"/>
              </w:rPr>
            </m:ctrlPr>
          </m:sub>
        </m:sSub>
        <m:r>
          <m:rPr/>
          <w:rPr>
            <w:rFonts w:ascii="Cambria Math" w:hAnsi="Cambria Math"/>
          </w:rPr>
          <m:t>=</m:t>
        </m:r>
        <m:sSub>
          <m:sSubPr>
            <m:ctrlPr>
              <w:rPr>
                <w:rFonts w:ascii="Cambria Math" w:hAnsi="Cambria Math"/>
                <w:i/>
              </w:rPr>
            </m:ctrlPr>
          </m:sSubPr>
          <m:e>
            <m:r>
              <m:rPr/>
              <w:rPr>
                <w:rFonts w:ascii="Cambria Math" w:hAnsi="Cambria Math"/>
              </w:rPr>
              <m:t>F</m:t>
            </m:r>
            <m:ctrlPr>
              <w:rPr>
                <w:rFonts w:ascii="Cambria Math" w:hAnsi="Cambria Math"/>
                <w:i/>
              </w:rPr>
            </m:ctrlPr>
          </m:e>
          <m:sub>
            <m:r>
              <m:rPr/>
              <w:rPr>
                <w:rFonts w:hint="eastAsia" w:ascii="Cambria Math" w:hAnsi="Cambria Math"/>
              </w:rPr>
              <m:t>k</m:t>
            </m:r>
            <m:d>
              <m:dPr>
                <m:ctrlPr>
                  <w:rPr>
                    <w:rFonts w:ascii="Cambria Math" w:hAnsi="Cambria Math"/>
                    <w:i/>
                  </w:rPr>
                </m:ctrlPr>
              </m:dPr>
              <m:e>
                <m:sSub>
                  <m:sSubPr>
                    <m:ctrlPr>
                      <w:rPr>
                        <w:rFonts w:ascii="Cambria Math" w:hAnsi="Cambria Math"/>
                        <w:i/>
                      </w:rPr>
                    </m:ctrlPr>
                  </m:sSubPr>
                  <m:e>
                    <m:r>
                      <m:rPr/>
                      <w:rPr>
                        <w:rFonts w:ascii="Cambria Math" w:hAnsi="Cambria Math"/>
                      </w:rPr>
                      <m:t>x1</m:t>
                    </m:r>
                    <m:ctrlPr>
                      <w:rPr>
                        <w:rFonts w:ascii="Cambria Math" w:hAnsi="Cambria Math"/>
                        <w:i/>
                      </w:rPr>
                    </m:ctrlPr>
                  </m:e>
                  <m:sub>
                    <m:r>
                      <m:rPr/>
                      <w:rPr>
                        <w:rFonts w:ascii="Cambria Math" w:hAnsi="Cambria Math"/>
                      </w:rPr>
                      <m:t>k</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 xml:space="preserve"> x2</m:t>
                    </m:r>
                    <m:ctrlPr>
                      <w:rPr>
                        <w:rFonts w:ascii="Cambria Math" w:hAnsi="Cambria Math"/>
                        <w:i/>
                      </w:rPr>
                    </m:ctrlPr>
                  </m:e>
                  <m:sub>
                    <m:r>
                      <m:rPr/>
                      <w:rPr>
                        <w:rFonts w:ascii="Cambria Math" w:hAnsi="Cambria Math"/>
                      </w:rPr>
                      <m:t xml:space="preserve">k,  </m:t>
                    </m:r>
                    <m:ctrlPr>
                      <w:rPr>
                        <w:rFonts w:ascii="Cambria Math" w:hAnsi="Cambria Math"/>
                        <w:i/>
                      </w:rPr>
                    </m:ctrlPr>
                  </m:sub>
                </m:sSub>
                <m:sSub>
                  <m:sSubPr>
                    <m:ctrlPr>
                      <w:rPr>
                        <w:rFonts w:ascii="Cambria Math" w:hAnsi="Cambria Math"/>
                        <w:i/>
                      </w:rPr>
                    </m:ctrlPr>
                  </m:sSubPr>
                  <m:e>
                    <m:r>
                      <m:rPr/>
                      <w:rPr>
                        <w:rFonts w:ascii="Cambria Math" w:hAnsi="Cambria Math"/>
                      </w:rPr>
                      <m:t xml:space="preserve"> x3</m:t>
                    </m:r>
                    <m:ctrlPr>
                      <w:rPr>
                        <w:rFonts w:ascii="Cambria Math" w:hAnsi="Cambria Math"/>
                        <w:i/>
                      </w:rPr>
                    </m:ctrlPr>
                  </m:e>
                  <m:sub>
                    <m:r>
                      <m:rPr/>
                      <w:rPr>
                        <w:rFonts w:ascii="Cambria Math" w:hAnsi="Cambria Math"/>
                      </w:rPr>
                      <m:t xml:space="preserve">k,  </m:t>
                    </m:r>
                    <m:ctrlPr>
                      <w:rPr>
                        <w:rFonts w:ascii="Cambria Math" w:hAnsi="Cambria Math"/>
                        <w:i/>
                      </w:rPr>
                    </m:ctrlPr>
                  </m:sub>
                </m:sSub>
                <m:r>
                  <m:rPr/>
                  <w:rPr>
                    <w:rFonts w:ascii="Cambria Math" w:hAnsi="Cambria Math"/>
                  </w:rPr>
                  <m:t>…</m:t>
                </m:r>
                <m:ctrlPr>
                  <w:rPr>
                    <w:rFonts w:ascii="Cambria Math" w:hAnsi="Cambria Math"/>
                    <w:i/>
                  </w:rPr>
                </m:ctrlPr>
              </m:e>
            </m:d>
            <m:ctrlPr>
              <w:rPr>
                <w:rFonts w:ascii="Cambria Math" w:hAnsi="Cambria Math"/>
                <w:i/>
              </w:rPr>
            </m:ctrlPr>
          </m:sub>
        </m:sSub>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m:oMath>
        <m:sSub>
          <m:sSubPr>
            <m:ctrlPr>
              <w:rPr>
                <w:rFonts w:ascii="Cambria Math" w:hAnsi="Cambria Math"/>
                <w:i/>
                <w:kern w:val="2"/>
                <w:szCs w:val="21"/>
              </w:rPr>
            </m:ctrlPr>
          </m:sSubPr>
          <m:e>
            <m:r>
              <m:rPr/>
              <w:rPr>
                <w:rFonts w:ascii="Cambria Math" w:hAnsi="Cambria Math"/>
              </w:rPr>
              <m:t>F</m:t>
            </m:r>
            <m:ctrlPr>
              <w:rPr>
                <w:rFonts w:ascii="Cambria Math" w:hAnsi="Cambria Math"/>
                <w:i/>
                <w:kern w:val="2"/>
                <w:szCs w:val="21"/>
              </w:rPr>
            </m:ctrlPr>
          </m:e>
          <m:sub>
            <m:r>
              <m:rPr/>
              <w:rPr>
                <w:rFonts w:hint="eastAsia" w:ascii="Cambria Math" w:hAnsi="Cambria Math"/>
              </w:rPr>
              <m:t>k</m:t>
            </m:r>
            <m:d>
              <m:dPr>
                <m:ctrlPr>
                  <w:rPr>
                    <w:rFonts w:ascii="Cambria Math" w:hAnsi="Cambria Math"/>
                    <w:i/>
                    <w:kern w:val="2"/>
                    <w:szCs w:val="21"/>
                  </w:rPr>
                </m:ctrlPr>
              </m:dPr>
              <m:e>
                <m:sSub>
                  <m:sSubPr>
                    <m:ctrlPr>
                      <w:rPr>
                        <w:rFonts w:ascii="Cambria Math" w:hAnsi="Cambria Math"/>
                        <w:i/>
                        <w:kern w:val="2"/>
                        <w:szCs w:val="21"/>
                      </w:rPr>
                    </m:ctrlPr>
                  </m:sSubPr>
                  <m:e>
                    <m:r>
                      <m:rPr/>
                      <w:rPr>
                        <w:rFonts w:ascii="Cambria Math" w:hAnsi="Cambria Math"/>
                      </w:rPr>
                      <m:t>x1</m:t>
                    </m:r>
                    <m:ctrlPr>
                      <w:rPr>
                        <w:rFonts w:ascii="Cambria Math" w:hAnsi="Cambria Math"/>
                        <w:i/>
                        <w:kern w:val="2"/>
                        <w:szCs w:val="21"/>
                      </w:rPr>
                    </m:ctrlPr>
                  </m:e>
                  <m:sub>
                    <m:r>
                      <m:rPr/>
                      <w:rPr>
                        <w:rFonts w:ascii="Cambria Math" w:hAnsi="Cambria Math"/>
                      </w:rPr>
                      <m:t>k</m:t>
                    </m:r>
                    <m:ctrlPr>
                      <w:rPr>
                        <w:rFonts w:ascii="Cambria Math" w:hAnsi="Cambria Math"/>
                        <w:i/>
                        <w:kern w:val="2"/>
                        <w:szCs w:val="21"/>
                      </w:rPr>
                    </m:ctrlPr>
                  </m:sub>
                </m:sSub>
                <m:r>
                  <m:rPr/>
                  <w:rPr>
                    <w:rFonts w:ascii="Cambria Math" w:hAnsi="Cambria Math"/>
                  </w:rPr>
                  <m:t>,</m:t>
                </m:r>
                <m:sSub>
                  <m:sSubPr>
                    <m:ctrlPr>
                      <w:rPr>
                        <w:rFonts w:ascii="Cambria Math" w:hAnsi="Cambria Math"/>
                        <w:i/>
                        <w:kern w:val="2"/>
                        <w:szCs w:val="21"/>
                      </w:rPr>
                    </m:ctrlPr>
                  </m:sSubPr>
                  <m:e>
                    <m:r>
                      <m:rPr/>
                      <w:rPr>
                        <w:rFonts w:ascii="Cambria Math" w:hAnsi="Cambria Math"/>
                      </w:rPr>
                      <m:t xml:space="preserve"> x2</m:t>
                    </m:r>
                    <m:ctrlPr>
                      <w:rPr>
                        <w:rFonts w:ascii="Cambria Math" w:hAnsi="Cambria Math"/>
                        <w:i/>
                        <w:kern w:val="2"/>
                        <w:szCs w:val="21"/>
                      </w:rPr>
                    </m:ctrlPr>
                  </m:e>
                  <m:sub>
                    <m:r>
                      <m:rPr/>
                      <w:rPr>
                        <w:rFonts w:ascii="Cambria Math" w:hAnsi="Cambria Math"/>
                      </w:rPr>
                      <m:t xml:space="preserve">k,  </m:t>
                    </m:r>
                    <m:ctrlPr>
                      <w:rPr>
                        <w:rFonts w:ascii="Cambria Math" w:hAnsi="Cambria Math"/>
                        <w:i/>
                        <w:kern w:val="2"/>
                        <w:szCs w:val="21"/>
                      </w:rPr>
                    </m:ctrlPr>
                  </m:sub>
                </m:sSub>
                <m:sSub>
                  <m:sSubPr>
                    <m:ctrlPr>
                      <w:rPr>
                        <w:rFonts w:ascii="Cambria Math" w:hAnsi="Cambria Math"/>
                        <w:i/>
                        <w:kern w:val="2"/>
                        <w:szCs w:val="21"/>
                      </w:rPr>
                    </m:ctrlPr>
                  </m:sSubPr>
                  <m:e>
                    <m:r>
                      <m:rPr/>
                      <w:rPr>
                        <w:rFonts w:ascii="Cambria Math" w:hAnsi="Cambria Math"/>
                      </w:rPr>
                      <m:t xml:space="preserve"> x3</m:t>
                    </m:r>
                    <m:ctrlPr>
                      <w:rPr>
                        <w:rFonts w:ascii="Cambria Math" w:hAnsi="Cambria Math"/>
                        <w:i/>
                        <w:kern w:val="2"/>
                        <w:szCs w:val="21"/>
                      </w:rPr>
                    </m:ctrlPr>
                  </m:e>
                  <m:sub>
                    <m:r>
                      <m:rPr/>
                      <w:rPr>
                        <w:rFonts w:ascii="Cambria Math" w:hAnsi="Cambria Math"/>
                      </w:rPr>
                      <m:t xml:space="preserve">k,  </m:t>
                    </m:r>
                    <m:ctrlPr>
                      <w:rPr>
                        <w:rFonts w:ascii="Cambria Math" w:hAnsi="Cambria Math"/>
                        <w:i/>
                        <w:kern w:val="2"/>
                        <w:szCs w:val="21"/>
                      </w:rPr>
                    </m:ctrlPr>
                  </m:sub>
                </m:sSub>
                <m:r>
                  <m:rPr/>
                  <w:rPr>
                    <w:rFonts w:ascii="Cambria Math" w:hAnsi="Cambria Math"/>
                  </w:rPr>
                  <m:t>…</m:t>
                </m:r>
                <m:ctrlPr>
                  <w:rPr>
                    <w:rFonts w:ascii="Cambria Math" w:hAnsi="Cambria Math"/>
                    <w:i/>
                    <w:kern w:val="2"/>
                    <w:szCs w:val="21"/>
                  </w:rPr>
                </m:ctrlPr>
              </m:e>
            </m:d>
            <m:ctrlPr>
              <w:rPr>
                <w:rFonts w:ascii="Cambria Math" w:hAnsi="Cambria Math"/>
                <w:i/>
                <w:kern w:val="2"/>
                <w:szCs w:val="21"/>
              </w:rPr>
            </m:ctrlPr>
          </m:sub>
        </m:sSub>
      </m:oMath>
      <w:r>
        <w:rPr>
          <w:rFonts w:hint="eastAsia" w:ascii="Times New Roman"/>
        </w:rPr>
        <w:t xml:space="preserve">       </w:t>
      </w:r>
      <w:r>
        <w:rPr>
          <w:rFonts w:ascii="Times New Roman"/>
        </w:rPr>
        <w:t>——</w:t>
      </w:r>
      <w:r>
        <w:rPr>
          <w:rFonts w:hint="eastAsia" w:ascii="Times New Roman"/>
        </w:rPr>
        <w:t>为测树因子转化为地上生物量的生长方程。</w:t>
      </w:r>
    </w:p>
    <w:p>
      <w:pPr>
        <w:pStyle w:val="65"/>
        <w:spacing w:before="156" w:after="156"/>
      </w:pPr>
      <w:bookmarkStart w:id="81" w:name="_Toc168499208"/>
      <w:bookmarkStart w:id="82" w:name="_Toc163049246"/>
      <w:bookmarkStart w:id="83" w:name="_Toc168499148"/>
      <w:r>
        <w:rPr>
          <w:rFonts w:hint="eastAsia"/>
        </w:rPr>
        <w:t>乔木层地下生物量</w:t>
      </w:r>
      <w:bookmarkEnd w:id="81"/>
      <w:bookmarkEnd w:id="82"/>
      <w:bookmarkEnd w:id="83"/>
    </w:p>
    <w:p>
      <w:pPr>
        <w:pStyle w:val="56"/>
        <w:ind w:firstLine="420"/>
      </w:pPr>
      <w:r>
        <w:rPr>
          <w:rFonts w:hint="eastAsia"/>
        </w:rPr>
        <w:t>乔木层地下生物量采用本地参数获得根茎比，采用以下公式获得：</w:t>
      </w:r>
    </w:p>
    <w:p>
      <w:pPr>
        <w:pStyle w:val="113"/>
      </w:pPr>
      <w:r>
        <w:tab/>
      </w:r>
      <m:oMath>
        <m:sSub>
          <m:sSubPr>
            <m:ctrlPr>
              <w:rPr>
                <w:rFonts w:ascii="Cambria Math" w:hAnsi="Cambria Math"/>
                <w:kern w:val="0"/>
                <w:szCs w:val="20"/>
              </w:rPr>
            </m:ctrlPr>
          </m:sSubPr>
          <m:e>
            <m:r>
              <m:rPr>
                <m:sty m:val="p"/>
              </m:rPr>
              <w:rPr>
                <w:rFonts w:ascii="Cambria Math" w:hAnsi="Cambria Math"/>
                <w:kern w:val="0"/>
                <w:szCs w:val="20"/>
              </w:rPr>
              <m:t>B</m:t>
            </m:r>
            <m:ctrlPr>
              <w:rPr>
                <w:rFonts w:ascii="Cambria Math" w:hAnsi="Cambria Math"/>
                <w:kern w:val="0"/>
                <w:szCs w:val="20"/>
              </w:rPr>
            </m:ctrlPr>
          </m:e>
          <m:sub>
            <m:r>
              <m:rPr>
                <m:sty m:val="p"/>
              </m:rPr>
              <w:rPr>
                <w:rFonts w:hint="eastAsia" w:ascii="Cambria Math" w:hAnsi="Cambria Math"/>
                <w:kern w:val="0"/>
                <w:szCs w:val="20"/>
              </w:rPr>
              <m:t>乔木地下生物量</m:t>
            </m:r>
            <m:r>
              <m:rPr>
                <m:sty m:val="p"/>
              </m:rPr>
              <w:rPr>
                <w:rFonts w:ascii="Cambria Math" w:hAnsi="Cambria Math"/>
                <w:kern w:val="0"/>
                <w:szCs w:val="20"/>
              </w:rPr>
              <m:t>,k</m:t>
            </m:r>
            <m:ctrlPr>
              <w:rPr>
                <w:rFonts w:ascii="Cambria Math" w:hAnsi="Cambria Math"/>
                <w:kern w:val="0"/>
                <w:szCs w:val="20"/>
              </w:rPr>
            </m:ctrlPr>
          </m:sub>
        </m:sSub>
        <m:r>
          <m:rPr>
            <m:sty m:val="p"/>
          </m:rPr>
          <w:rPr>
            <w:rFonts w:ascii="Cambria Math" w:hAnsi="Cambria Math"/>
          </w:rPr>
          <m:t>=</m:t>
        </m:r>
        <m:sSub>
          <m:sSubPr>
            <m:ctrlPr>
              <w:rPr>
                <w:rFonts w:ascii="Cambria Math" w:hAnsi="Cambria Math"/>
                <w:kern w:val="0"/>
                <w:szCs w:val="20"/>
              </w:rPr>
            </m:ctrlPr>
          </m:sSubPr>
          <m:e>
            <m:r>
              <m:rPr>
                <m:sty m:val="p"/>
              </m:rPr>
              <w:rPr>
                <w:rFonts w:ascii="Cambria Math" w:hAnsi="Cambria Math"/>
                <w:kern w:val="0"/>
                <w:szCs w:val="20"/>
              </w:rPr>
              <m:t>B</m:t>
            </m:r>
            <m:ctrlPr>
              <w:rPr>
                <w:rFonts w:ascii="Cambria Math" w:hAnsi="Cambria Math"/>
                <w:kern w:val="0"/>
                <w:szCs w:val="20"/>
              </w:rPr>
            </m:ctrlPr>
          </m:e>
          <m:sub>
            <m:r>
              <m:rPr>
                <m:sty m:val="p"/>
              </m:rPr>
              <w:rPr>
                <w:rFonts w:hint="eastAsia" w:ascii="Cambria Math" w:hAnsi="Cambria Math"/>
                <w:kern w:val="0"/>
                <w:szCs w:val="20"/>
              </w:rPr>
              <m:t>乔木地上生物量</m:t>
            </m:r>
            <m:r>
              <m:rPr>
                <m:sty m:val="p"/>
              </m:rPr>
              <w:rPr>
                <w:rFonts w:ascii="Cambria Math" w:hAnsi="Cambria Math"/>
                <w:kern w:val="0"/>
                <w:szCs w:val="20"/>
              </w:rPr>
              <m:t>,k</m:t>
            </m:r>
            <m:ctrlPr>
              <w:rPr>
                <w:rFonts w:ascii="Cambria Math" w:hAnsi="Cambria Math"/>
                <w:kern w:val="0"/>
                <w:szCs w:val="20"/>
              </w:rPr>
            </m:ctrlPr>
          </m:sub>
        </m:sSub>
        <m:r>
          <m:rPr>
            <m:sty m:val="p"/>
          </m:rPr>
          <w:rPr>
            <w:rFonts w:ascii="Cambria Math" w:hAnsi="Cambria Math"/>
            <w:kern w:val="0"/>
            <w:szCs w:val="20"/>
          </w:rPr>
          <m:t>×</m:t>
        </m:r>
        <m:sSub>
          <m:sSubPr>
            <m:ctrlPr>
              <w:rPr>
                <w:rFonts w:ascii="Cambria Math" w:hAnsi="Cambria Math"/>
                <w:kern w:val="0"/>
                <w:szCs w:val="20"/>
              </w:rPr>
            </m:ctrlPr>
          </m:sSubPr>
          <m:e>
            <m:r>
              <m:rPr>
                <m:sty m:val="p"/>
              </m:rPr>
              <w:rPr>
                <w:rFonts w:ascii="Cambria Math" w:hAnsi="Cambria Math"/>
                <w:kern w:val="0"/>
                <w:szCs w:val="20"/>
              </w:rPr>
              <m:t>R</m:t>
            </m:r>
            <m:ctrlPr>
              <w:rPr>
                <w:rFonts w:ascii="Cambria Math" w:hAnsi="Cambria Math"/>
                <w:kern w:val="0"/>
                <w:szCs w:val="20"/>
              </w:rPr>
            </m:ctrlPr>
          </m:e>
          <m:sub>
            <m:r>
              <m:rPr>
                <m:sty m:val="p"/>
              </m:rPr>
              <w:rPr>
                <w:rFonts w:hint="eastAsia" w:ascii="Cambria Math" w:hAnsi="Cambria Math"/>
                <w:kern w:val="0"/>
                <w:szCs w:val="20"/>
              </w:rPr>
              <m:t>k</m:t>
            </m:r>
            <m:ctrlPr>
              <w:rPr>
                <w:rFonts w:ascii="Cambria Math" w:hAnsi="Cambria Math"/>
                <w:kern w:val="0"/>
                <w:szCs w:val="20"/>
              </w:rPr>
            </m:ctrlPr>
          </m:sub>
        </m:sSub>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R</m:t>
            </m:r>
            <m:ctrlPr>
              <w:rPr>
                <w:rFonts w:ascii="Cambria Math" w:hAnsi="Cambria Math"/>
              </w:rPr>
            </m:ctrlPr>
          </m:e>
          <m:sub>
            <m:r>
              <m:rPr>
                <m:sty m:val="p"/>
              </m:rPr>
              <w:rPr>
                <w:rFonts w:hint="eastAsia" w:ascii="Cambria Math" w:hAnsi="Cambria Math"/>
              </w:rPr>
              <m:t>k</m:t>
            </m:r>
            <m:ctrlPr>
              <w:rPr>
                <w:rFonts w:ascii="Cambria Math" w:hAnsi="Cambria Math"/>
              </w:rPr>
            </m:ctrlPr>
          </m:sub>
        </m:sSub>
      </m:oMath>
      <w:r>
        <w:rPr>
          <w:rFonts w:hint="eastAsia"/>
        </w:rPr>
        <w:t xml:space="preserve">            </w:t>
      </w:r>
      <w:r>
        <w:rPr>
          <w:rFonts w:ascii="Times New Roman"/>
        </w:rPr>
        <w:t>——</w:t>
      </w:r>
      <w:r>
        <w:rPr>
          <w:rFonts w:hint="eastAsia" w:ascii="Times New Roman"/>
        </w:rPr>
        <w:t>为林分中树种k的根茎比。</w:t>
      </w:r>
    </w:p>
    <w:p>
      <w:pPr>
        <w:pStyle w:val="105"/>
        <w:spacing w:before="156" w:after="156"/>
      </w:pPr>
      <w:bookmarkStart w:id="84" w:name="_Toc163049247"/>
      <w:bookmarkStart w:id="85" w:name="_Toc168499149"/>
      <w:bookmarkStart w:id="86" w:name="_Toc168499209"/>
      <w:r>
        <w:rPr>
          <w:rFonts w:hint="eastAsia"/>
        </w:rPr>
        <w:t>灌木层碳储量</w:t>
      </w:r>
      <w:bookmarkEnd w:id="84"/>
      <w:bookmarkEnd w:id="85"/>
      <w:bookmarkEnd w:id="86"/>
    </w:p>
    <w:p>
      <w:pPr>
        <w:pStyle w:val="56"/>
        <w:ind w:firstLine="420"/>
      </w:pPr>
      <w:r>
        <w:rPr>
          <w:rFonts w:hint="eastAsia"/>
        </w:rPr>
        <w:t>灌木层碳储量采用全收获法通过实验得到植物生物量及含碳率，参考附录A</w:t>
      </w:r>
      <w:r>
        <w:t>.2</w:t>
      </w:r>
      <w:r>
        <w:rPr>
          <w:rFonts w:hint="eastAsia"/>
        </w:rPr>
        <w:t>灌木层本地参数，采用以下公式获得：</w:t>
      </w:r>
    </w:p>
    <w:p>
      <w:pPr>
        <w:pStyle w:val="113"/>
      </w:pPr>
      <w:r>
        <w:tab/>
      </w:r>
      <m:oMath>
        <m:sSub>
          <m:sSubPr>
            <m:ctrlPr>
              <w:rPr>
                <w:rFonts w:hint="eastAsia" w:ascii="Cambria Math" w:hAnsi="Cambria Math"/>
                <w:kern w:val="0"/>
                <w:szCs w:val="20"/>
              </w:rPr>
            </m:ctrlPr>
          </m:sSubPr>
          <m:e>
            <m:r>
              <m:rPr>
                <m:sty m:val="p"/>
              </m:rPr>
              <w:rPr>
                <w:rFonts w:ascii="Cambria Math" w:hAnsi="Cambria Math"/>
                <w:kern w:val="0"/>
                <w:szCs w:val="20"/>
              </w:rPr>
              <m:t>C</m:t>
            </m:r>
            <m:ctrlPr>
              <w:rPr>
                <w:rFonts w:hint="eastAsia" w:ascii="Cambria Math" w:hAnsi="Cambria Math"/>
                <w:kern w:val="0"/>
                <w:szCs w:val="20"/>
              </w:rPr>
            </m:ctrlPr>
          </m:e>
          <m:sub>
            <m:r>
              <m:rPr>
                <m:sty m:val="p"/>
              </m:rPr>
              <w:rPr>
                <w:rFonts w:hint="eastAsia" w:ascii="Cambria Math" w:hAnsi="Cambria Math"/>
                <w:kern w:val="0"/>
                <w:szCs w:val="20"/>
              </w:rPr>
              <m:t>灌木层</m:t>
            </m:r>
            <m:ctrlPr>
              <w:rPr>
                <w:rFonts w:hint="eastAsia" w:ascii="Cambria Math" w:hAnsi="Cambria Math"/>
                <w:kern w:val="0"/>
                <w:szCs w:val="20"/>
              </w:rPr>
            </m:ctrlPr>
          </m:sub>
        </m:sSub>
        <m:r>
          <m:rPr>
            <m:sty m:val="p"/>
          </m:rPr>
          <w:rPr>
            <w:rFonts w:hint="eastAsia" w:ascii="Cambria Math" w:hAnsi="Cambria Math"/>
            <w:kern w:val="0"/>
            <w:szCs w:val="20"/>
          </w:rPr>
          <m:t>=</m:t>
        </m:r>
        <m:sSub>
          <m:sSubPr>
            <m:ctrlPr>
              <w:rPr>
                <w:rFonts w:ascii="Cambria Math" w:hAnsi="Cambria Math"/>
                <w:kern w:val="0"/>
                <w:szCs w:val="20"/>
              </w:rPr>
            </m:ctrlPr>
          </m:sSubPr>
          <m:e>
            <m:r>
              <m:rPr>
                <m:sty m:val="p"/>
              </m:rPr>
              <w:rPr>
                <w:rFonts w:ascii="Cambria Math" w:hAnsi="Cambria Math"/>
                <w:kern w:val="0"/>
                <w:szCs w:val="20"/>
              </w:rPr>
              <m:t>B</m:t>
            </m:r>
            <m:ctrlPr>
              <w:rPr>
                <w:rFonts w:ascii="Cambria Math" w:hAnsi="Cambria Math"/>
                <w:kern w:val="0"/>
                <w:szCs w:val="20"/>
              </w:rPr>
            </m:ctrlPr>
          </m:e>
          <m:sub>
            <m:r>
              <m:rPr>
                <m:sty m:val="p"/>
              </m:rPr>
              <w:rPr>
                <w:rFonts w:hint="eastAsia" w:ascii="Cambria Math" w:hAnsi="Cambria Math"/>
                <w:kern w:val="0"/>
                <w:szCs w:val="20"/>
              </w:rPr>
              <m:t>灌木层</m:t>
            </m:r>
            <m:ctrlPr>
              <w:rPr>
                <w:rFonts w:ascii="Cambria Math" w:hAnsi="Cambria Math"/>
                <w:kern w:val="0"/>
                <w:szCs w:val="20"/>
              </w:rPr>
            </m:ctrlPr>
          </m:sub>
        </m:sSub>
        <m:r>
          <m:rPr>
            <m:sty m:val="p"/>
          </m:rPr>
          <w:rPr>
            <w:rFonts w:ascii="Cambria Math" w:hAnsi="Cambria Math"/>
            <w:kern w:val="0"/>
            <w:szCs w:val="20"/>
          </w:rPr>
          <m:t>+</m:t>
        </m:r>
        <m:sSub>
          <m:sSubPr>
            <m:ctrlPr>
              <w:rPr>
                <w:rFonts w:ascii="Cambria Math" w:hAnsi="Cambria Math"/>
                <w:kern w:val="0"/>
                <w:szCs w:val="20"/>
              </w:rPr>
            </m:ctrlPr>
          </m:sSubPr>
          <m:e>
            <m:r>
              <m:rPr>
                <m:sty m:val="p"/>
              </m:rPr>
              <w:rPr>
                <w:rFonts w:ascii="Cambria Math" w:hAnsi="Cambria Math"/>
                <w:kern w:val="0"/>
                <w:szCs w:val="20"/>
              </w:rPr>
              <m:t>CF</m:t>
            </m:r>
            <m:ctrlPr>
              <w:rPr>
                <w:rFonts w:ascii="Cambria Math" w:hAnsi="Cambria Math"/>
                <w:kern w:val="0"/>
                <w:szCs w:val="20"/>
              </w:rPr>
            </m:ctrlPr>
          </m:e>
          <m:sub>
            <m:r>
              <m:rPr>
                <m:sty m:val="p"/>
              </m:rPr>
              <w:rPr>
                <w:rFonts w:hint="eastAsia" w:ascii="Cambria Math" w:hAnsi="Cambria Math"/>
                <w:kern w:val="0"/>
                <w:szCs w:val="20"/>
              </w:rPr>
              <m:t>灌木层</m:t>
            </m:r>
            <m:ctrlPr>
              <w:rPr>
                <w:rFonts w:ascii="Cambria Math" w:hAnsi="Cambria Math"/>
                <w:kern w:val="0"/>
                <w:szCs w:val="20"/>
              </w:rPr>
            </m:ctrlPr>
          </m:sub>
        </m:sSub>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灌木层</m:t>
            </m:r>
            <m:ctrlPr>
              <w:rPr>
                <w:rFonts w:ascii="Cambria Math" w:hAnsi="Cambria Math"/>
              </w:rPr>
            </m:ctrlPr>
          </m:sub>
        </m:sSub>
      </m:oMath>
      <w:r>
        <w:rPr>
          <w:rFonts w:ascii="Times New Roman"/>
        </w:rPr>
        <w:t xml:space="preserve">    ——为林分中灌木层的碳储量，单位为吨（t）；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B</m:t>
            </m:r>
            <m:ctrlPr>
              <w:rPr>
                <w:rFonts w:ascii="Cambria Math" w:hAnsi="Cambria Math"/>
              </w:rPr>
            </m:ctrlPr>
          </m:e>
          <m:sub>
            <m:r>
              <m:rPr>
                <m:sty m:val="p"/>
              </m:rPr>
              <w:rPr>
                <w:rFonts w:ascii="Cambria Math" w:hAnsi="Cambria Math"/>
              </w:rPr>
              <m:t>灌木层</m:t>
            </m:r>
            <m:ctrlPr>
              <w:rPr>
                <w:rFonts w:ascii="Cambria Math" w:hAnsi="Cambria Math"/>
              </w:rPr>
            </m:ctrlPr>
          </m:sub>
        </m:sSub>
      </m:oMath>
      <w:r>
        <w:rPr>
          <w:rFonts w:ascii="Times New Roman"/>
        </w:rPr>
        <w:t xml:space="preserve">   ——为林分中灌木层单株生物量，单位为吨每公顷（t/hm</w:t>
      </w:r>
      <w:r>
        <w:rPr>
          <w:rFonts w:ascii="Times New Roman"/>
          <w:vertAlign w:val="superscript"/>
        </w:rPr>
        <w:t>2</w:t>
      </w:r>
      <w:r>
        <w:rPr>
          <w:rFonts w:ascii="Times New Roman"/>
        </w:rPr>
        <w: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CF</m:t>
            </m:r>
            <m:ctrlPr>
              <w:rPr>
                <w:rFonts w:ascii="Cambria Math" w:hAnsi="Cambria Math"/>
              </w:rPr>
            </m:ctrlPr>
          </m:e>
          <m:sub>
            <m:r>
              <m:rPr>
                <m:sty m:val="p"/>
              </m:rPr>
              <w:rPr>
                <w:rFonts w:ascii="Cambria Math" w:hAnsi="Cambria Math"/>
              </w:rPr>
              <m:t>灌木层</m:t>
            </m:r>
            <m:ctrlPr>
              <w:rPr>
                <w:rFonts w:ascii="Cambria Math" w:hAnsi="Cambria Math"/>
              </w:rPr>
            </m:ctrlPr>
          </m:sub>
        </m:sSub>
      </m:oMath>
      <w:r>
        <w:rPr>
          <w:rFonts w:ascii="Times New Roman"/>
        </w:rPr>
        <w:t xml:space="preserve">  ——为灌木层平均含碳率，单位为百分比（%）。</w:t>
      </w:r>
    </w:p>
    <w:p>
      <w:pPr>
        <w:pStyle w:val="105"/>
        <w:spacing w:before="156" w:after="156"/>
      </w:pPr>
      <w:bookmarkStart w:id="87" w:name="_Toc168499150"/>
      <w:bookmarkStart w:id="88" w:name="_Toc163049248"/>
      <w:bookmarkStart w:id="89" w:name="_Toc168499210"/>
      <w:r>
        <w:rPr>
          <w:rFonts w:hint="eastAsia"/>
        </w:rPr>
        <w:t>草本层碳储量</w:t>
      </w:r>
      <w:bookmarkEnd w:id="87"/>
      <w:bookmarkEnd w:id="88"/>
      <w:bookmarkEnd w:id="89"/>
    </w:p>
    <w:p>
      <w:pPr>
        <w:pStyle w:val="56"/>
        <w:ind w:firstLine="420"/>
      </w:pPr>
      <w:r>
        <w:rPr>
          <w:rFonts w:hint="eastAsia" w:ascii="Calibri" w:hAnsi="Calibri"/>
          <w:kern w:val="2"/>
          <w:szCs w:val="21"/>
        </w:rPr>
        <w:t>草本层碳储量采用全收获法通过实验得到植物生物量及含碳率，</w:t>
      </w:r>
      <w:r>
        <w:rPr>
          <w:rFonts w:hint="eastAsia"/>
        </w:rPr>
        <w:t>参考附录A</w:t>
      </w:r>
      <w:r>
        <w:t>.3</w:t>
      </w:r>
      <w:r>
        <w:rPr>
          <w:rFonts w:hint="eastAsia"/>
        </w:rPr>
        <w:t>草本层本地参数，</w:t>
      </w:r>
      <w:r>
        <w:rPr>
          <w:rFonts w:hint="eastAsia" w:ascii="Calibri" w:hAnsi="Calibri"/>
          <w:kern w:val="2"/>
          <w:szCs w:val="21"/>
        </w:rPr>
        <w:t>采用以下公式获得：</w:t>
      </w:r>
    </w:p>
    <w:p>
      <w:pPr>
        <w:pStyle w:val="113"/>
      </w:pPr>
      <w:r>
        <w:tab/>
      </w:r>
      <m:oMath>
        <m:sSub>
          <m:sSubPr>
            <m:ctrlPr>
              <w:rPr>
                <w:rFonts w:hint="eastAsia" w:ascii="Cambria Math" w:hAnsi="Cambria Math"/>
                <w:kern w:val="0"/>
                <w:szCs w:val="20"/>
              </w:rPr>
            </m:ctrlPr>
          </m:sSubPr>
          <m:e>
            <m:r>
              <m:rPr>
                <m:sty m:val="p"/>
              </m:rPr>
              <w:rPr>
                <w:rFonts w:ascii="Cambria Math" w:hAnsi="Cambria Math"/>
                <w:kern w:val="0"/>
                <w:szCs w:val="20"/>
              </w:rPr>
              <m:t>C</m:t>
            </m:r>
            <m:ctrlPr>
              <w:rPr>
                <w:rFonts w:hint="eastAsia" w:ascii="Cambria Math" w:hAnsi="Cambria Math"/>
                <w:kern w:val="0"/>
                <w:szCs w:val="20"/>
              </w:rPr>
            </m:ctrlPr>
          </m:e>
          <m:sub>
            <m:r>
              <m:rPr>
                <m:sty m:val="p"/>
              </m:rPr>
              <w:rPr>
                <w:rFonts w:hint="eastAsia" w:ascii="Cambria Math" w:hAnsi="Cambria Math"/>
                <w:kern w:val="0"/>
                <w:szCs w:val="20"/>
              </w:rPr>
              <m:t>草本层</m:t>
            </m:r>
            <m:ctrlPr>
              <w:rPr>
                <w:rFonts w:hint="eastAsia" w:ascii="Cambria Math" w:hAnsi="Cambria Math"/>
                <w:kern w:val="0"/>
                <w:szCs w:val="20"/>
              </w:rPr>
            </m:ctrlPr>
          </m:sub>
        </m:sSub>
        <m:r>
          <m:rPr>
            <m:sty m:val="p"/>
          </m:rPr>
          <w:rPr>
            <w:rFonts w:hint="eastAsia" w:ascii="Cambria Math" w:hAnsi="Cambria Math"/>
            <w:kern w:val="0"/>
            <w:szCs w:val="20"/>
          </w:rPr>
          <m:t>=</m:t>
        </m:r>
        <m:sSub>
          <m:sSubPr>
            <m:ctrlPr>
              <w:rPr>
                <w:rFonts w:ascii="Cambria Math" w:hAnsi="Cambria Math"/>
                <w:kern w:val="0"/>
                <w:szCs w:val="20"/>
              </w:rPr>
            </m:ctrlPr>
          </m:sSubPr>
          <m:e>
            <m:r>
              <m:rPr>
                <m:sty m:val="p"/>
              </m:rPr>
              <w:rPr>
                <w:rFonts w:ascii="Cambria Math" w:hAnsi="Cambria Math"/>
                <w:kern w:val="0"/>
                <w:szCs w:val="20"/>
              </w:rPr>
              <m:t>B</m:t>
            </m:r>
            <m:ctrlPr>
              <w:rPr>
                <w:rFonts w:ascii="Cambria Math" w:hAnsi="Cambria Math"/>
                <w:kern w:val="0"/>
                <w:szCs w:val="20"/>
              </w:rPr>
            </m:ctrlPr>
          </m:e>
          <m:sub>
            <m:r>
              <m:rPr>
                <m:sty m:val="p"/>
              </m:rPr>
              <w:rPr>
                <w:rFonts w:hint="eastAsia" w:ascii="Cambria Math" w:hAnsi="Cambria Math"/>
                <w:kern w:val="0"/>
                <w:szCs w:val="20"/>
              </w:rPr>
              <m:t>草本层</m:t>
            </m:r>
            <m:ctrlPr>
              <w:rPr>
                <w:rFonts w:ascii="Cambria Math" w:hAnsi="Cambria Math"/>
                <w:kern w:val="0"/>
                <w:szCs w:val="20"/>
              </w:rPr>
            </m:ctrlPr>
          </m:sub>
        </m:sSub>
        <m:r>
          <m:rPr>
            <m:sty m:val="p"/>
          </m:rPr>
          <w:rPr>
            <w:rFonts w:ascii="Cambria Math" w:hAnsi="Cambria Math"/>
            <w:kern w:val="0"/>
            <w:szCs w:val="20"/>
          </w:rPr>
          <m:t>+</m:t>
        </m:r>
        <m:sSub>
          <m:sSubPr>
            <m:ctrlPr>
              <w:rPr>
                <w:rFonts w:ascii="Cambria Math" w:hAnsi="Cambria Math"/>
                <w:kern w:val="0"/>
                <w:szCs w:val="20"/>
              </w:rPr>
            </m:ctrlPr>
          </m:sSubPr>
          <m:e>
            <m:r>
              <m:rPr>
                <m:sty m:val="p"/>
              </m:rPr>
              <w:rPr>
                <w:rFonts w:ascii="Cambria Math" w:hAnsi="Cambria Math"/>
                <w:kern w:val="0"/>
                <w:szCs w:val="20"/>
              </w:rPr>
              <m:t>CF</m:t>
            </m:r>
            <m:ctrlPr>
              <w:rPr>
                <w:rFonts w:ascii="Cambria Math" w:hAnsi="Cambria Math"/>
                <w:kern w:val="0"/>
                <w:szCs w:val="20"/>
              </w:rPr>
            </m:ctrlPr>
          </m:e>
          <m:sub>
            <m:r>
              <m:rPr>
                <m:sty m:val="p"/>
              </m:rPr>
              <w:rPr>
                <w:rFonts w:hint="eastAsia" w:ascii="Cambria Math" w:hAnsi="Cambria Math"/>
                <w:kern w:val="0"/>
                <w:szCs w:val="20"/>
              </w:rPr>
              <m:t>草本层</m:t>
            </m:r>
            <m:ctrlPr>
              <w:rPr>
                <w:rFonts w:ascii="Cambria Math" w:hAnsi="Cambria Math"/>
                <w:kern w:val="0"/>
                <w:szCs w:val="20"/>
              </w:rPr>
            </m:ctrlPr>
          </m:sub>
        </m:sSub>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草本层</m:t>
            </m:r>
            <m:ctrlPr>
              <w:rPr>
                <w:rFonts w:ascii="Cambria Math" w:hAnsi="Cambria Math"/>
              </w:rPr>
            </m:ctrlPr>
          </m:sub>
        </m:sSub>
      </m:oMath>
      <w:r>
        <w:rPr>
          <w:rFonts w:ascii="Times New Roman"/>
        </w:rPr>
        <w:t xml:space="preserve">    ——为林分中草本层的碳储量，单位为吨（t）；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B</m:t>
            </m:r>
            <m:ctrlPr>
              <w:rPr>
                <w:rFonts w:ascii="Cambria Math" w:hAnsi="Cambria Math"/>
              </w:rPr>
            </m:ctrlPr>
          </m:e>
          <m:sub>
            <m:r>
              <m:rPr>
                <m:sty m:val="p"/>
              </m:rPr>
              <w:rPr>
                <w:rFonts w:ascii="Cambria Math" w:hAnsi="Cambria Math"/>
              </w:rPr>
              <m:t>草本层</m:t>
            </m:r>
            <m:ctrlPr>
              <w:rPr>
                <w:rFonts w:ascii="Cambria Math" w:hAnsi="Cambria Math"/>
              </w:rPr>
            </m:ctrlPr>
          </m:sub>
        </m:sSub>
      </m:oMath>
      <w:r>
        <w:rPr>
          <w:rFonts w:ascii="Times New Roman"/>
        </w:rPr>
        <w:t xml:space="preserve">    ——为林分中草本层平均单位面积生物量，单位为吨每公顷（t/hm</w:t>
      </w:r>
      <w:r>
        <w:rPr>
          <w:rFonts w:ascii="Times New Roman"/>
          <w:vertAlign w:val="superscript"/>
        </w:rPr>
        <w:t>2</w:t>
      </w:r>
      <w:r>
        <w:rPr>
          <w:rFonts w:ascii="Times New Roman"/>
        </w:rPr>
        <w: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CF</m:t>
            </m:r>
            <m:ctrlPr>
              <w:rPr>
                <w:rFonts w:ascii="Cambria Math" w:hAnsi="Cambria Math"/>
              </w:rPr>
            </m:ctrlPr>
          </m:e>
          <m:sub>
            <m:r>
              <m:rPr>
                <m:sty m:val="p"/>
              </m:rPr>
              <w:rPr>
                <w:rFonts w:ascii="Cambria Math" w:hAnsi="Cambria Math"/>
              </w:rPr>
              <m:t>草本层</m:t>
            </m:r>
            <m:ctrlPr>
              <w:rPr>
                <w:rFonts w:ascii="Cambria Math" w:hAnsi="Cambria Math"/>
              </w:rPr>
            </m:ctrlPr>
          </m:sub>
        </m:sSub>
      </m:oMath>
      <w:r>
        <w:rPr>
          <w:rFonts w:ascii="Times New Roman"/>
        </w:rPr>
        <w:t xml:space="preserve">   ——为草本层平均含碳率，单位为百分比（%）。</w:t>
      </w:r>
    </w:p>
    <w:p>
      <w:pPr>
        <w:pStyle w:val="105"/>
        <w:spacing w:before="156" w:after="156"/>
      </w:pPr>
      <w:bookmarkStart w:id="90" w:name="_Toc168499151"/>
      <w:bookmarkStart w:id="91" w:name="_Toc168499211"/>
      <w:bookmarkStart w:id="92" w:name="_Toc163049249"/>
      <w:r>
        <w:rPr>
          <w:rFonts w:hint="eastAsia"/>
        </w:rPr>
        <w:t>枯落物层碳储量</w:t>
      </w:r>
      <w:bookmarkEnd w:id="90"/>
      <w:bookmarkEnd w:id="91"/>
      <w:bookmarkEnd w:id="92"/>
    </w:p>
    <w:p>
      <w:pPr>
        <w:pStyle w:val="56"/>
        <w:ind w:firstLine="420"/>
      </w:pPr>
      <w:r>
        <w:rPr>
          <w:rFonts w:hint="eastAsia"/>
        </w:rPr>
        <w:t>枯落物层碳储量采用全收获法通过实验得到植物生物量及含碳率，参考附录A</w:t>
      </w:r>
      <w:r>
        <w:t>.4</w:t>
      </w:r>
      <w:r>
        <w:rPr>
          <w:rFonts w:hint="eastAsia"/>
        </w:rPr>
        <w:t>枯落物层本地参数，采用以下公式获得：</w:t>
      </w:r>
    </w:p>
    <w:p>
      <w:pPr>
        <w:pStyle w:val="113"/>
      </w:pPr>
      <w:r>
        <w:tab/>
      </w: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枯落物层</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ctrlPr>
              <w:rPr>
                <w:rFonts w:ascii="Cambria Math" w:hAnsi="Cambria Math"/>
              </w:rPr>
            </m:ctrlPr>
          </m:e>
          <m:sub>
            <m:r>
              <m:rPr>
                <m:sty m:val="p"/>
              </m:rPr>
              <w:rPr>
                <w:rFonts w:hint="eastAsia" w:ascii="Cambria Math" w:hAnsi="Cambria Math"/>
              </w:rPr>
              <m:t>枯落物</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CF</m:t>
            </m:r>
            <m:ctrlPr>
              <w:rPr>
                <w:rFonts w:ascii="Cambria Math" w:hAnsi="Cambria Math"/>
              </w:rPr>
            </m:ctrlPr>
          </m:e>
          <m:sub>
            <m:r>
              <m:rPr>
                <m:sty m:val="p"/>
              </m:rPr>
              <w:rPr>
                <w:rFonts w:hint="eastAsia" w:ascii="Cambria Math" w:hAnsi="Cambria Math"/>
              </w:rPr>
              <m:t>枯落物</m:t>
            </m:r>
            <m:ctrlPr>
              <w:rPr>
                <w:rFonts w:ascii="Cambria Math" w:hAnsi="Cambria Math"/>
              </w:rPr>
            </m:ctrlPr>
          </m:sub>
        </m:sSub>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枯落物层</m:t>
            </m:r>
            <m:ctrlPr>
              <w:rPr>
                <w:rFonts w:ascii="Cambria Math" w:hAnsi="Cambria Math"/>
              </w:rPr>
            </m:ctrlPr>
          </m:sub>
        </m:sSub>
      </m:oMath>
      <w:r>
        <w:rPr>
          <w:rFonts w:ascii="Times New Roman"/>
        </w:rPr>
        <w:t xml:space="preserve">    ——为林分中枯落物层的碳储量，单位为吨（t）；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B</m:t>
            </m:r>
            <m:ctrlPr>
              <w:rPr>
                <w:rFonts w:ascii="Cambria Math" w:hAnsi="Cambria Math"/>
              </w:rPr>
            </m:ctrlPr>
          </m:e>
          <m:sub>
            <m:r>
              <m:rPr>
                <m:sty m:val="p"/>
              </m:rPr>
              <w:rPr>
                <w:rFonts w:ascii="Cambria Math" w:hAnsi="Cambria Math"/>
              </w:rPr>
              <m:t>枯落物层</m:t>
            </m:r>
            <m:ctrlPr>
              <w:rPr>
                <w:rFonts w:ascii="Cambria Math" w:hAnsi="Cambria Math"/>
              </w:rPr>
            </m:ctrlPr>
          </m:sub>
        </m:sSub>
      </m:oMath>
      <w:r>
        <w:rPr>
          <w:rFonts w:ascii="Times New Roman"/>
        </w:rPr>
        <w:t xml:space="preserve">    ——为林分中枯落物层平均单位面积生物量，单位为吨每公顷（t/hm</w:t>
      </w:r>
      <w:r>
        <w:rPr>
          <w:rFonts w:ascii="Times New Roman"/>
          <w:vertAlign w:val="superscript"/>
        </w:rPr>
        <w:t>2</w:t>
      </w:r>
      <w:r>
        <w:rPr>
          <w:rFonts w:ascii="Times New Roman"/>
        </w:rPr>
        <w: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CF</m:t>
            </m:r>
            <m:ctrlPr>
              <w:rPr>
                <w:rFonts w:ascii="Cambria Math" w:hAnsi="Cambria Math"/>
              </w:rPr>
            </m:ctrlPr>
          </m:e>
          <m:sub>
            <m:r>
              <m:rPr>
                <m:sty m:val="p"/>
              </m:rPr>
              <w:rPr>
                <w:rFonts w:ascii="Cambria Math" w:hAnsi="Cambria Math"/>
              </w:rPr>
              <m:t>枯落物层</m:t>
            </m:r>
            <m:ctrlPr>
              <w:rPr>
                <w:rFonts w:ascii="Cambria Math" w:hAnsi="Cambria Math"/>
              </w:rPr>
            </m:ctrlPr>
          </m:sub>
        </m:sSub>
      </m:oMath>
      <w:r>
        <w:rPr>
          <w:rFonts w:ascii="Times New Roman"/>
        </w:rPr>
        <w:t xml:space="preserve">   ——为林分中枯落物平均含碳率，单位为百分比（%）。</w:t>
      </w:r>
    </w:p>
    <w:p>
      <w:pPr>
        <w:pStyle w:val="105"/>
        <w:spacing w:before="156" w:after="156"/>
      </w:pPr>
      <w:bookmarkStart w:id="93" w:name="_Toc163049250"/>
      <w:bookmarkStart w:id="94" w:name="_Toc168499212"/>
      <w:bookmarkStart w:id="95" w:name="_Toc168499152"/>
      <w:r>
        <w:rPr>
          <w:rFonts w:hint="eastAsia"/>
        </w:rPr>
        <w:t>土壤</w:t>
      </w:r>
      <w:bookmarkEnd w:id="93"/>
      <w:r>
        <w:rPr>
          <w:rFonts w:hint="eastAsia"/>
        </w:rPr>
        <w:t>层碳储量</w:t>
      </w:r>
      <w:bookmarkEnd w:id="94"/>
      <w:bookmarkEnd w:id="95"/>
    </w:p>
    <w:p>
      <w:pPr>
        <w:pStyle w:val="56"/>
        <w:ind w:firstLine="420"/>
      </w:pPr>
      <w:r>
        <w:rPr>
          <w:rFonts w:hint="eastAsia"/>
        </w:rPr>
        <w:t>土壤层碳储量根据土壤有机碳密度计算，参考附录A</w:t>
      </w:r>
      <w:r>
        <w:t>.5</w:t>
      </w:r>
      <w:r>
        <w:rPr>
          <w:rFonts w:hint="eastAsia"/>
        </w:rPr>
        <w:t>土壤层本地参数，采用以下公式获得：</w:t>
      </w:r>
    </w:p>
    <w:p>
      <w:pPr>
        <w:pStyle w:val="56"/>
        <w:ind w:firstLine="199" w:firstLineChars="95"/>
      </w:pPr>
    </w:p>
    <w:p>
      <w:pPr>
        <w:pStyle w:val="113"/>
      </w:pPr>
      <w:r>
        <w:tab/>
      </w: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土壤层</m:t>
            </m:r>
            <m:ctrlPr>
              <w:rPr>
                <w:rFonts w:ascii="Cambria Math" w:hAnsi="Cambria Math"/>
              </w:rPr>
            </m:ctrlPr>
          </m:sub>
        </m:sSub>
        <m:r>
          <m:rPr>
            <m:sty m:val="p"/>
          </m:rPr>
          <w:rPr>
            <w:rFonts w:hint="eastAsia" w:ascii="Cambria Math" w:hAnsi="Cambria Math"/>
          </w:rPr>
          <m:t>=</m:t>
        </m:r>
        <m:nary>
          <m:naryPr>
            <m:chr m:val="∑"/>
            <m:limLoc m:val="undOvr"/>
            <m:ctrlPr>
              <w:rPr>
                <w:rFonts w:ascii="Cambria Math" w:hAnsi="Cambria Math"/>
              </w:rPr>
            </m:ctrlPr>
          </m:naryPr>
          <m:sub>
            <m:r>
              <m:rPr>
                <m:sty m:val="p"/>
              </m:rPr>
              <w:rPr>
                <w:rFonts w:hint="eastAsia" w:ascii="Cambria Math" w:hAnsi="Cambria Math"/>
              </w:rPr>
              <m:t>i</m:t>
            </m:r>
            <m:r>
              <m:rPr>
                <m:sty m:val="p"/>
              </m:rPr>
              <w:rPr>
                <w:rFonts w:ascii="Cambria Math" w:hAnsi="Cambria Math"/>
              </w:rPr>
              <m:t>=1</m:t>
            </m:r>
            <m:ctrlPr>
              <w:rPr>
                <w:rFonts w:ascii="Cambria Math" w:hAnsi="Cambria Math"/>
              </w:rPr>
            </m:ctrlPr>
          </m:sub>
          <m:sup>
            <m:r>
              <m:rPr>
                <m:sty m:val="p"/>
              </m:rPr>
              <w:rPr>
                <w:rFonts w:ascii="Cambria Math" w:hAnsi="Cambria Math"/>
              </w:rPr>
              <m:t>n</m:t>
            </m:r>
            <m:ctrlPr>
              <w:rPr>
                <w:rFonts w:ascii="Cambria Math" w:hAnsi="Cambria Math"/>
              </w:rPr>
            </m:ctrlPr>
          </m:sup>
          <m:e>
            <m:sSub>
              <m:sSubPr>
                <m:ctrlPr>
                  <w:rPr>
                    <w:rFonts w:ascii="Cambria Math" w:hAnsi="Cambria Math"/>
                  </w:rPr>
                </m:ctrlPr>
              </m:sSubPr>
              <m:e>
                <m:r>
                  <m:rPr>
                    <m:sty m:val="p"/>
                  </m:rPr>
                  <w:rPr>
                    <w:rFonts w:ascii="Cambria Math" w:hAnsi="Cambria Math"/>
                  </w:rPr>
                  <m:t>A</m:t>
                </m:r>
                <m:ctrlPr>
                  <w:rPr>
                    <w:rFonts w:ascii="Cambria Math" w:hAnsi="Cambria Math"/>
                  </w:rPr>
                </m:ctrlPr>
              </m:e>
              <m:sub>
                <m:r>
                  <m:rPr>
                    <m:sty m:val="p"/>
                  </m:rPr>
                  <w:rPr>
                    <w:rFonts w:ascii="Cambria Math" w:hAnsi="Cambria Math"/>
                  </w:rPr>
                  <m:t>i</m:t>
                </m:r>
                <m:ctrlPr>
                  <w:rPr>
                    <w:rFonts w:ascii="Cambria Math" w:hAnsi="Cambria Math"/>
                  </w:rPr>
                </m:ctrlPr>
              </m:sub>
            </m:sSub>
            <m:ctrlPr>
              <w:rPr>
                <w:rFonts w:ascii="Cambria Math" w:hAnsi="Cambria Math"/>
              </w:rPr>
            </m:ctrlPr>
          </m:e>
        </m:nary>
        <m:r>
          <m:rPr>
            <m:sty m:val="p"/>
          </m:rPr>
          <w:rPr>
            <w:rFonts w:hint="eastAsia" w:ascii="Cambria Math" w:hAnsi="Cambria Math"/>
          </w:rPr>
          <m:t>×</m:t>
        </m:r>
        <m:sSub>
          <m:sSubPr>
            <m:ctrlPr>
              <w:rPr>
                <w:rFonts w:ascii="Cambria Math" w:hAnsi="Cambria Math"/>
              </w:rPr>
            </m:ctrlPr>
          </m:sSubPr>
          <m:e>
            <m:r>
              <m:rPr>
                <m:sty m:val="p"/>
              </m:rPr>
              <w:rPr>
                <w:rFonts w:ascii="Cambria Math" w:hAnsi="Cambria Math"/>
              </w:rPr>
              <m:t>SOC</m:t>
            </m:r>
            <m:ctrlPr>
              <w:rPr>
                <w:rFonts w:ascii="Cambria Math" w:hAnsi="Cambria Math"/>
              </w:rPr>
            </m:ctrlPr>
          </m:e>
          <m:sub>
            <m:r>
              <m:rPr>
                <m:sty m:val="p"/>
              </m:rPr>
              <w:rPr>
                <w:rFonts w:hint="eastAsia" w:ascii="Cambria Math" w:hAnsi="Cambria Math"/>
              </w:rPr>
              <m:t>i</m:t>
            </m:r>
            <m:ctrlPr>
              <w:rPr>
                <w:rFonts w:ascii="Cambria Math" w:hAnsi="Cambria Math"/>
              </w:rPr>
            </m:ctrlPr>
          </m:sub>
        </m:sSub>
      </m:oMath>
      <w:r>
        <w:rPr>
          <w:rFonts w:hint="eastAsia" w:ascii="Cambria Math" w:hAnsi="Cambria Math"/>
        </w:rPr>
        <w:t xml:space="preserve"> , </w:t>
      </w:r>
      <m:oMath>
        <m:r>
          <m:rPr>
            <m:sty m:val="p"/>
          </m:rPr>
          <w:rPr>
            <w:rFonts w:ascii="Cambria Math" w:hAnsi="Cambria Math"/>
          </w:rPr>
          <m:t>SOC</m:t>
        </m:r>
        <m:r>
          <m:rPr>
            <m:sty m:val="p"/>
          </m:rPr>
          <w:rPr>
            <w:rFonts w:hint="eastAsia" w:ascii="Cambria Math" w:hAnsi="Cambria Math"/>
          </w:rPr>
          <m:t>=</m:t>
        </m:r>
        <m:r>
          <m:rPr>
            <m:sty m:val="p"/>
          </m:rPr>
          <w:rPr>
            <w:rFonts w:ascii="Cambria Math" w:hAnsi="Cambria Math"/>
          </w:rPr>
          <m:t>C</m:t>
        </m:r>
        <m:r>
          <m:rPr>
            <m:sty m:val="p"/>
          </m:rPr>
          <w:rPr>
            <w:rFonts w:hint="eastAsia" w:ascii="Cambria Math" w:hAnsi="Cambria Math"/>
          </w:rPr>
          <m:t>×</m:t>
        </m:r>
        <m:r>
          <m:rPr>
            <m:sty m:val="p"/>
          </m:rPr>
          <w:rPr>
            <w:rFonts w:ascii="Cambria Math" w:hAnsi="Cambria Math"/>
          </w:rPr>
          <m:t>D</m:t>
        </m:r>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w:r>
        <w:rPr>
          <w:rFonts w:ascii="Times New Roman"/>
        </w:rPr>
        <w:t>C</w:t>
      </w:r>
      <w:r>
        <w:rPr>
          <w:rFonts w:ascii="Times New Roman"/>
          <w:vertAlign w:val="subscript"/>
        </w:rPr>
        <w:t>土壤层</w:t>
      </w:r>
      <w:r>
        <w:rPr>
          <w:rFonts w:ascii="Times New Roman"/>
        </w:rPr>
        <w:t xml:space="preserve">   ——为林分中土壤碳储量，单位为吨（t）；  </w:t>
      </w:r>
    </w:p>
    <w:p>
      <w:pPr>
        <w:pStyle w:val="56"/>
        <w:ind w:firstLine="420"/>
        <w:rPr>
          <w:rFonts w:ascii="Times New Roman"/>
        </w:rPr>
      </w:pPr>
      <w:r>
        <w:rPr>
          <w:rFonts w:ascii="Times New Roman"/>
        </w:rPr>
        <w:t>A      ——为单位面积，单位为平方米（m</w:t>
      </w:r>
      <w:r>
        <w:rPr>
          <w:rFonts w:ascii="Times New Roman"/>
          <w:vertAlign w:val="superscript"/>
        </w:rPr>
        <w:t>2</w:t>
      </w:r>
      <w:r>
        <w:rPr>
          <w:rFonts w:ascii="Times New Roman"/>
        </w:rPr>
        <w:t>）；</w:t>
      </w:r>
    </w:p>
    <w:p>
      <w:pPr>
        <w:pStyle w:val="56"/>
        <w:ind w:firstLine="420"/>
        <w:rPr>
          <w:rFonts w:ascii="Times New Roman"/>
        </w:rPr>
      </w:pPr>
      <w:r>
        <w:rPr>
          <w:rFonts w:ascii="Times New Roman"/>
        </w:rPr>
        <w:t>SOC</w:t>
      </w:r>
      <w:r>
        <w:rPr>
          <w:rFonts w:ascii="Times New Roman"/>
          <w:vertAlign w:val="subscript"/>
        </w:rPr>
        <w:t>i</w:t>
      </w:r>
      <w:r>
        <w:rPr>
          <w:rFonts w:ascii="Times New Roman"/>
        </w:rPr>
        <w:t xml:space="preserve">   ——为第i种土壤类型的土壤有机碳密度，单位为吨每公顷（t/hm</w:t>
      </w:r>
      <w:r>
        <w:rPr>
          <w:rFonts w:ascii="Times New Roman"/>
          <w:vertAlign w:val="superscript"/>
        </w:rPr>
        <w:t>2</w:t>
      </w:r>
      <w:r>
        <w:rPr>
          <w:rFonts w:ascii="Times New Roman"/>
        </w:rPr>
        <w:t>）；</w:t>
      </w:r>
    </w:p>
    <w:p>
      <w:pPr>
        <w:pStyle w:val="56"/>
        <w:ind w:firstLine="420"/>
        <w:rPr>
          <w:rFonts w:ascii="Times New Roman"/>
        </w:rPr>
      </w:pPr>
      <w:r>
        <w:rPr>
          <w:rFonts w:ascii="Times New Roman"/>
        </w:rPr>
        <w:t>SOC</w:t>
      </w:r>
      <w:r>
        <w:rPr>
          <w:rFonts w:ascii="Times New Roman"/>
        </w:rPr>
        <w:tab/>
      </w:r>
      <w:r>
        <w:rPr>
          <w:rFonts w:ascii="Times New Roman"/>
        </w:rPr>
        <w:t xml:space="preserve">   ——为土壤有机碳密度,单位为千克每平方米（kg/m</w:t>
      </w:r>
      <w:r>
        <w:rPr>
          <w:rFonts w:ascii="Times New Roman"/>
          <w:vertAlign w:val="superscript"/>
        </w:rPr>
        <w:t>2</w:t>
      </w:r>
      <w:r>
        <w:rPr>
          <w:rFonts w:ascii="Times New Roman"/>
        </w:rPr>
        <w:t>）；</w:t>
      </w:r>
    </w:p>
    <w:p>
      <w:pPr>
        <w:pStyle w:val="56"/>
        <w:ind w:firstLine="420"/>
        <w:rPr>
          <w:rFonts w:ascii="Times New Roman"/>
        </w:rPr>
      </w:pPr>
      <w:r>
        <w:rPr>
          <w:rFonts w:ascii="Times New Roman"/>
        </w:rPr>
        <w:t>C      ——为土壤有机碳含量，单位为可每千克（kg/m</w:t>
      </w:r>
      <w:r>
        <w:rPr>
          <w:rFonts w:ascii="Times New Roman"/>
          <w:vertAlign w:val="superscript"/>
        </w:rPr>
        <w:t>3</w:t>
      </w:r>
      <w:r>
        <w:rPr>
          <w:rFonts w:ascii="Times New Roman"/>
        </w:rPr>
        <w:t xml:space="preserve">）； </w:t>
      </w:r>
    </w:p>
    <w:p>
      <w:pPr>
        <w:pStyle w:val="56"/>
        <w:ind w:firstLine="420"/>
        <w:sectPr>
          <w:pgSz w:w="11906" w:h="16838"/>
          <w:pgMar w:top="1928" w:right="1134" w:bottom="1134" w:left="1134" w:header="1418" w:footer="1134" w:gutter="284"/>
          <w:pgNumType w:start="1"/>
          <w:cols w:space="425" w:num="1"/>
          <w:formProt w:val="0"/>
          <w:docGrid w:type="lines" w:linePitch="312" w:charSpace="0"/>
        </w:sectPr>
      </w:pPr>
      <w:r>
        <w:rPr>
          <w:rFonts w:ascii="Times New Roman"/>
        </w:rPr>
        <w:t xml:space="preserve">D     ——为土壤厚度，单位为米（m）。 </w:t>
      </w:r>
      <w:r>
        <w:rPr>
          <w:rFonts w:hint="eastAsia"/>
        </w:rPr>
        <w:t xml:space="preserve">       </w:t>
      </w:r>
      <w:r>
        <w:t xml:space="preserve">    </w:t>
      </w:r>
    </w:p>
    <w:bookmarkEnd w:id="25"/>
    <w:p>
      <w:pPr>
        <w:pStyle w:val="198"/>
        <w:rPr>
          <w:vanish w:val="0"/>
        </w:rPr>
      </w:pPr>
      <w:bookmarkStart w:id="96" w:name="BookMark5"/>
    </w:p>
    <w:p>
      <w:pPr>
        <w:pStyle w:val="199"/>
        <w:rPr>
          <w:vanish w:val="0"/>
        </w:rPr>
      </w:pPr>
    </w:p>
    <w:p>
      <w:pPr>
        <w:pStyle w:val="76"/>
        <w:spacing w:after="156"/>
      </w:pPr>
      <w:r>
        <w:br w:type="textWrapping"/>
      </w:r>
      <w:bookmarkStart w:id="97" w:name="_Toc163049251"/>
      <w:bookmarkStart w:id="98" w:name="_Toc168499153"/>
      <w:bookmarkStart w:id="99" w:name="_Toc168499213"/>
      <w:r>
        <w:rPr>
          <w:rFonts w:hint="eastAsia"/>
        </w:rPr>
        <w:t>（资料性）</w:t>
      </w:r>
      <w:r>
        <w:br w:type="textWrapping"/>
      </w:r>
      <w:bookmarkEnd w:id="97"/>
      <w:r>
        <w:rPr>
          <w:rFonts w:hint="eastAsia"/>
        </w:rPr>
        <w:t>包头地区森林各碳层本地参数</w:t>
      </w:r>
      <w:bookmarkEnd w:id="98"/>
      <w:bookmarkEnd w:id="99"/>
    </w:p>
    <w:p>
      <w:pPr>
        <w:pStyle w:val="56"/>
        <w:ind w:firstLine="420"/>
      </w:pPr>
      <w:r>
        <w:rPr>
          <w:rFonts w:hint="eastAsia"/>
        </w:rPr>
        <w:t>乔木层本地参数见表A</w:t>
      </w:r>
      <w:r>
        <w:t>.</w:t>
      </w:r>
      <w:r>
        <w:rPr>
          <w:rFonts w:hint="eastAsia"/>
        </w:rPr>
        <w:t>1。</w:t>
      </w:r>
    </w:p>
    <w:p>
      <w:pPr>
        <w:pStyle w:val="77"/>
        <w:spacing w:before="156" w:after="156"/>
      </w:pPr>
      <w:r>
        <w:rPr>
          <w:rFonts w:hint="eastAsia"/>
        </w:rPr>
        <w:t>乔木层本地参数</w:t>
      </w:r>
    </w:p>
    <w:tbl>
      <w:tblPr>
        <w:tblStyle w:val="27"/>
        <w:tblW w:w="934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1"/>
        <w:gridCol w:w="3685"/>
        <w:gridCol w:w="3261"/>
        <w:gridCol w:w="155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41"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优势树种</w:t>
            </w:r>
          </w:p>
        </w:tc>
        <w:tc>
          <w:tcPr>
            <w:tcW w:w="3685"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生长方程</w:t>
            </w:r>
          </w:p>
        </w:tc>
        <w:tc>
          <w:tcPr>
            <w:tcW w:w="3261"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根茎比</w:t>
            </w:r>
          </w:p>
        </w:tc>
        <w:tc>
          <w:tcPr>
            <w:tcW w:w="1559" w:type="dxa"/>
            <w:tcBorders>
              <w:top w:val="single" w:color="auto" w:sz="8" w:space="0"/>
              <w:bottom w:val="single" w:color="auto" w:sz="8" w:space="0"/>
            </w:tcBorders>
          </w:tcPr>
          <w:p>
            <w:pPr>
              <w:pStyle w:val="178"/>
              <w:rPr>
                <w:rFonts w:ascii="Times New Roman"/>
              </w:rPr>
            </w:pPr>
            <w:r>
              <w:rPr>
                <w:rFonts w:ascii="Times New Roman"/>
              </w:rPr>
              <w:t>乔木含碳率(%)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tcBorders>
              <w:top w:val="single" w:color="auto" w:sz="8" w:space="0"/>
            </w:tcBorders>
            <w:shd w:val="clear" w:color="auto" w:fill="auto"/>
            <w:vAlign w:val="center"/>
          </w:tcPr>
          <w:p>
            <w:pPr>
              <w:pStyle w:val="178"/>
              <w:rPr>
                <w:rFonts w:ascii="Times New Roman"/>
              </w:rPr>
            </w:pPr>
            <w:r>
              <w:rPr>
                <w:rFonts w:ascii="Times New Roman"/>
              </w:rPr>
              <w:t>新疆杨</w:t>
            </w:r>
          </w:p>
        </w:tc>
        <w:tc>
          <w:tcPr>
            <w:tcW w:w="3685" w:type="dxa"/>
            <w:tcBorders>
              <w:top w:val="single" w:color="auto" w:sz="8" w:space="0"/>
            </w:tcBorders>
            <w:shd w:val="clear" w:color="auto" w:fill="auto"/>
            <w:vAlign w:val="center"/>
          </w:tcPr>
          <w:p>
            <w:pPr>
              <w:pStyle w:val="178"/>
              <w:rPr>
                <w:rFonts w:ascii="Times New Roman"/>
              </w:rPr>
            </w:pPr>
            <w:r>
              <w:rPr>
                <w:rFonts w:ascii="Times New Roman"/>
              </w:rPr>
              <w:t>Fk=0.0848991×（dbh</w:t>
            </w:r>
            <w:r>
              <w:rPr>
                <w:rFonts w:ascii="Times New Roman"/>
                <w:vertAlign w:val="subscript"/>
              </w:rPr>
              <w:t>i</w:t>
            </w:r>
            <w:r>
              <w:rPr>
                <w:rFonts w:ascii="Times New Roman"/>
                <w:vertAlign w:val="superscript"/>
              </w:rPr>
              <w:t>2</w:t>
            </w:r>
            <w:r>
              <w:rPr>
                <w:rFonts w:ascii="Times New Roman"/>
              </w:rPr>
              <w:t>×height</w:t>
            </w:r>
            <w:r>
              <w:rPr>
                <w:rFonts w:ascii="Times New Roman"/>
                <w:vertAlign w:val="subscript"/>
              </w:rPr>
              <w:t>i</w:t>
            </w:r>
            <w:r>
              <w:rPr>
                <w:rFonts w:ascii="Times New Roman"/>
              </w:rPr>
              <w:t>）</w:t>
            </w:r>
            <w:r>
              <w:rPr>
                <w:rFonts w:ascii="Times New Roman"/>
                <w:vertAlign w:val="superscript"/>
              </w:rPr>
              <w:t>0.8116938</w:t>
            </w:r>
          </w:p>
        </w:tc>
        <w:tc>
          <w:tcPr>
            <w:tcW w:w="3261" w:type="dxa"/>
            <w:tcBorders>
              <w:top w:val="single" w:color="auto" w:sz="8" w:space="0"/>
            </w:tcBorders>
            <w:shd w:val="clear" w:color="auto" w:fill="auto"/>
            <w:vAlign w:val="center"/>
          </w:tcPr>
          <w:p>
            <w:pPr>
              <w:pStyle w:val="178"/>
              <w:rPr>
                <w:rFonts w:ascii="Times New Roman"/>
              </w:rPr>
            </w:pPr>
            <w:r>
              <w:rPr>
                <w:rFonts w:ascii="Times New Roman"/>
              </w:rPr>
              <w:t>0.51623×dbh</w:t>
            </w:r>
            <w:r>
              <w:rPr>
                <w:rFonts w:ascii="Times New Roman"/>
                <w:vertAlign w:val="subscript"/>
              </w:rPr>
              <w:t>i</w:t>
            </w:r>
            <w:r>
              <w:rPr>
                <w:rFonts w:ascii="Times New Roman"/>
                <w:vertAlign w:val="superscript"/>
              </w:rPr>
              <w:t>0.18597</w:t>
            </w:r>
            <w:r>
              <w:rPr>
                <w:rFonts w:ascii="Times New Roman"/>
              </w:rPr>
              <w:t>×height</w:t>
            </w:r>
            <w:r>
              <w:rPr>
                <w:rFonts w:ascii="Times New Roman"/>
                <w:vertAlign w:val="subscript"/>
              </w:rPr>
              <w:t>i</w:t>
            </w:r>
            <w:r>
              <w:rPr>
                <w:rFonts w:ascii="Times New Roman"/>
                <w:vertAlign w:val="superscript"/>
              </w:rPr>
              <w:t>-0.50647</w:t>
            </w:r>
          </w:p>
        </w:tc>
        <w:tc>
          <w:tcPr>
            <w:tcW w:w="1559" w:type="dxa"/>
            <w:tcBorders>
              <w:top w:val="single" w:color="auto" w:sz="8" w:space="0"/>
            </w:tcBorders>
          </w:tcPr>
          <w:p>
            <w:pPr>
              <w:pStyle w:val="178"/>
              <w:rPr>
                <w:rFonts w:ascii="Times New Roman"/>
              </w:rPr>
            </w:pPr>
            <w:r>
              <w:rPr>
                <w:rFonts w:ascii="Times New Roman"/>
              </w:rPr>
              <w:t>45.44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178"/>
              <w:rPr>
                <w:rFonts w:ascii="Times New Roman"/>
              </w:rPr>
            </w:pPr>
            <w:r>
              <w:rPr>
                <w:rFonts w:ascii="Times New Roman"/>
              </w:rPr>
              <w:t>樟子松</w:t>
            </w:r>
          </w:p>
        </w:tc>
        <w:tc>
          <w:tcPr>
            <w:tcW w:w="3685" w:type="dxa"/>
            <w:shd w:val="clear" w:color="auto" w:fill="auto"/>
            <w:vAlign w:val="center"/>
          </w:tcPr>
          <w:p>
            <w:pPr>
              <w:pStyle w:val="178"/>
              <w:rPr>
                <w:rFonts w:ascii="Times New Roman"/>
              </w:rPr>
            </w:pPr>
            <w:r>
              <w:rPr>
                <w:rFonts w:ascii="Times New Roman"/>
              </w:rPr>
              <w:t>Fk=0.19946×（dbh</w:t>
            </w:r>
            <w:r>
              <w:rPr>
                <w:rFonts w:ascii="Times New Roman"/>
                <w:vertAlign w:val="subscript"/>
              </w:rPr>
              <w:t>i</w:t>
            </w:r>
            <w:r>
              <w:rPr>
                <w:rFonts w:ascii="Times New Roman"/>
                <w:vertAlign w:val="superscript"/>
              </w:rPr>
              <w:t>2</w:t>
            </w:r>
            <w:r>
              <w:rPr>
                <w:rFonts w:ascii="Times New Roman"/>
              </w:rPr>
              <w:t>×height</w:t>
            </w:r>
            <w:r>
              <w:rPr>
                <w:rFonts w:ascii="Times New Roman"/>
                <w:vertAlign w:val="subscript"/>
              </w:rPr>
              <w:t>i</w:t>
            </w:r>
            <w:r>
              <w:rPr>
                <w:rFonts w:ascii="Times New Roman"/>
              </w:rPr>
              <w:t>）</w:t>
            </w:r>
            <w:r>
              <w:rPr>
                <w:rFonts w:ascii="Times New Roman"/>
                <w:vertAlign w:val="superscript"/>
              </w:rPr>
              <w:t>0.85676</w:t>
            </w:r>
          </w:p>
        </w:tc>
        <w:tc>
          <w:tcPr>
            <w:tcW w:w="3261" w:type="dxa"/>
            <w:shd w:val="clear" w:color="auto" w:fill="auto"/>
            <w:vAlign w:val="center"/>
          </w:tcPr>
          <w:p>
            <w:pPr>
              <w:pStyle w:val="178"/>
              <w:rPr>
                <w:rFonts w:ascii="Times New Roman"/>
              </w:rPr>
            </w:pPr>
            <w:r>
              <w:rPr>
                <w:rFonts w:ascii="Times New Roman"/>
              </w:rPr>
              <w:t>0.21810×dbh</w:t>
            </w:r>
            <w:r>
              <w:rPr>
                <w:rFonts w:ascii="Times New Roman"/>
                <w:vertAlign w:val="subscript"/>
              </w:rPr>
              <w:t>i</w:t>
            </w:r>
            <w:r>
              <w:rPr>
                <w:rFonts w:ascii="Times New Roman"/>
                <w:vertAlign w:val="superscript"/>
              </w:rPr>
              <w:t>0.48134</w:t>
            </w:r>
            <w:r>
              <w:rPr>
                <w:rFonts w:ascii="Times New Roman"/>
              </w:rPr>
              <w:t>×height</w:t>
            </w:r>
            <w:r>
              <w:rPr>
                <w:rFonts w:ascii="Times New Roman"/>
                <w:vertAlign w:val="subscript"/>
              </w:rPr>
              <w:t>i</w:t>
            </w:r>
            <w:r>
              <w:rPr>
                <w:rFonts w:ascii="Times New Roman"/>
                <w:vertAlign w:val="superscript"/>
              </w:rPr>
              <w:t>-0.43154</w:t>
            </w:r>
          </w:p>
        </w:tc>
        <w:tc>
          <w:tcPr>
            <w:tcW w:w="1559" w:type="dxa"/>
          </w:tcPr>
          <w:p>
            <w:pPr>
              <w:pStyle w:val="178"/>
              <w:rPr>
                <w:rFonts w:ascii="Times New Roman"/>
              </w:rPr>
            </w:pPr>
            <w:r>
              <w:rPr>
                <w:rFonts w:ascii="Times New Roman"/>
              </w:rPr>
              <w:t>49.25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178"/>
              <w:rPr>
                <w:rFonts w:ascii="Times New Roman"/>
              </w:rPr>
            </w:pPr>
            <w:r>
              <w:rPr>
                <w:rFonts w:ascii="Times New Roman"/>
              </w:rPr>
              <w:t>侧柏</w:t>
            </w:r>
          </w:p>
        </w:tc>
        <w:tc>
          <w:tcPr>
            <w:tcW w:w="3685" w:type="dxa"/>
            <w:shd w:val="clear" w:color="auto" w:fill="auto"/>
            <w:vAlign w:val="center"/>
          </w:tcPr>
          <w:p>
            <w:pPr>
              <w:pStyle w:val="178"/>
              <w:rPr>
                <w:rFonts w:ascii="Times New Roman"/>
              </w:rPr>
            </w:pPr>
            <w:r>
              <w:rPr>
                <w:rFonts w:ascii="Times New Roman"/>
              </w:rPr>
              <w:t>Fk=1.253e-01×（dbh</w:t>
            </w:r>
            <w:r>
              <w:rPr>
                <w:rFonts w:ascii="Times New Roman"/>
                <w:vertAlign w:val="subscript"/>
              </w:rPr>
              <w:t>i</w:t>
            </w:r>
            <w:r>
              <w:rPr>
                <w:rFonts w:ascii="Times New Roman"/>
                <w:vertAlign w:val="superscript"/>
              </w:rPr>
              <w:t>2</w:t>
            </w:r>
            <w:r>
              <w:rPr>
                <w:rFonts w:ascii="Times New Roman"/>
              </w:rPr>
              <w:t>×height</w:t>
            </w:r>
            <w:r>
              <w:rPr>
                <w:rFonts w:ascii="Times New Roman"/>
                <w:vertAlign w:val="subscript"/>
              </w:rPr>
              <w:t>i</w:t>
            </w:r>
            <w:r>
              <w:rPr>
                <w:rFonts w:ascii="Times New Roman"/>
              </w:rPr>
              <w:t>）</w:t>
            </w:r>
            <w:r>
              <w:rPr>
                <w:rFonts w:ascii="Times New Roman"/>
                <w:vertAlign w:val="superscript"/>
              </w:rPr>
              <w:t>7.330e-01</w:t>
            </w:r>
          </w:p>
        </w:tc>
        <w:tc>
          <w:tcPr>
            <w:tcW w:w="3261" w:type="dxa"/>
            <w:shd w:val="clear" w:color="auto" w:fill="auto"/>
            <w:vAlign w:val="center"/>
          </w:tcPr>
          <w:p>
            <w:pPr>
              <w:pStyle w:val="178"/>
              <w:rPr>
                <w:rFonts w:ascii="Times New Roman"/>
              </w:rPr>
            </w:pPr>
            <w:r>
              <w:rPr>
                <w:rFonts w:ascii="Times New Roman"/>
              </w:rPr>
              <w:t>0.37672×dbh</w:t>
            </w:r>
            <w:r>
              <w:rPr>
                <w:rFonts w:ascii="Times New Roman"/>
                <w:vertAlign w:val="subscript"/>
              </w:rPr>
              <w:t>i</w:t>
            </w:r>
            <w:r>
              <w:rPr>
                <w:rFonts w:ascii="Times New Roman"/>
                <w:vertAlign w:val="superscript"/>
              </w:rPr>
              <w:t>-0.14740</w:t>
            </w:r>
            <w:r>
              <w:rPr>
                <w:rFonts w:ascii="Times New Roman"/>
              </w:rPr>
              <w:t>×height</w:t>
            </w:r>
            <w:r>
              <w:rPr>
                <w:rFonts w:ascii="Times New Roman"/>
                <w:vertAlign w:val="subscript"/>
              </w:rPr>
              <w:t>i</w:t>
            </w:r>
            <w:r>
              <w:rPr>
                <w:rFonts w:ascii="Times New Roman"/>
                <w:vertAlign w:val="superscript"/>
              </w:rPr>
              <w:t>-0.027651</w:t>
            </w:r>
          </w:p>
        </w:tc>
        <w:tc>
          <w:tcPr>
            <w:tcW w:w="1559" w:type="dxa"/>
          </w:tcPr>
          <w:p>
            <w:pPr>
              <w:pStyle w:val="178"/>
              <w:rPr>
                <w:rFonts w:ascii="Times New Roman"/>
              </w:rPr>
            </w:pPr>
            <w:r>
              <w:rPr>
                <w:rFonts w:ascii="Times New Roman"/>
              </w:rPr>
              <w:t>49.42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178"/>
              <w:rPr>
                <w:rFonts w:ascii="Times New Roman"/>
              </w:rPr>
            </w:pPr>
            <w:r>
              <w:rPr>
                <w:rFonts w:ascii="Times New Roman"/>
              </w:rPr>
              <w:t>云杉</w:t>
            </w:r>
          </w:p>
        </w:tc>
        <w:tc>
          <w:tcPr>
            <w:tcW w:w="3685" w:type="dxa"/>
            <w:shd w:val="clear" w:color="auto" w:fill="auto"/>
            <w:vAlign w:val="center"/>
          </w:tcPr>
          <w:p>
            <w:pPr>
              <w:pStyle w:val="178"/>
              <w:rPr>
                <w:rFonts w:ascii="Times New Roman"/>
              </w:rPr>
            </w:pPr>
            <w:r>
              <w:rPr>
                <w:rFonts w:ascii="Times New Roman"/>
              </w:rPr>
              <w:t>Fk=1.930e-01×（dbh</w:t>
            </w:r>
            <w:r>
              <w:rPr>
                <w:rFonts w:ascii="Times New Roman"/>
                <w:vertAlign w:val="subscript"/>
              </w:rPr>
              <w:t>i</w:t>
            </w:r>
            <w:r>
              <w:rPr>
                <w:rFonts w:ascii="Times New Roman"/>
                <w:vertAlign w:val="superscript"/>
              </w:rPr>
              <w:t>2</w:t>
            </w:r>
            <w:r>
              <w:rPr>
                <w:rFonts w:ascii="Times New Roman"/>
              </w:rPr>
              <w:t>×height</w:t>
            </w:r>
            <w:r>
              <w:rPr>
                <w:rFonts w:ascii="Times New Roman"/>
                <w:vertAlign w:val="subscript"/>
              </w:rPr>
              <w:t>i</w:t>
            </w:r>
            <w:r>
              <w:rPr>
                <w:rFonts w:ascii="Times New Roman"/>
              </w:rPr>
              <w:t>）</w:t>
            </w:r>
            <w:r>
              <w:rPr>
                <w:rFonts w:ascii="Times New Roman"/>
                <w:vertAlign w:val="superscript"/>
              </w:rPr>
              <w:t>7.650e-01</w:t>
            </w:r>
          </w:p>
        </w:tc>
        <w:tc>
          <w:tcPr>
            <w:tcW w:w="3261" w:type="dxa"/>
            <w:shd w:val="clear" w:color="auto" w:fill="auto"/>
            <w:vAlign w:val="center"/>
          </w:tcPr>
          <w:p>
            <w:pPr>
              <w:pStyle w:val="178"/>
              <w:rPr>
                <w:rFonts w:ascii="Times New Roman"/>
              </w:rPr>
            </w:pPr>
            <w:r>
              <w:rPr>
                <w:rFonts w:ascii="Times New Roman"/>
              </w:rPr>
              <w:t>0.30570×dbh</w:t>
            </w:r>
            <w:r>
              <w:rPr>
                <w:rFonts w:ascii="Times New Roman"/>
                <w:vertAlign w:val="subscript"/>
              </w:rPr>
              <w:t>i</w:t>
            </w:r>
            <w:r>
              <w:rPr>
                <w:rFonts w:ascii="Times New Roman"/>
                <w:vertAlign w:val="superscript"/>
              </w:rPr>
              <w:t>0.66884</w:t>
            </w:r>
            <w:r>
              <w:rPr>
                <w:rFonts w:ascii="Times New Roman"/>
              </w:rPr>
              <w:t>×height</w:t>
            </w:r>
            <w:r>
              <w:rPr>
                <w:rFonts w:ascii="Times New Roman"/>
                <w:vertAlign w:val="subscript"/>
              </w:rPr>
              <w:t>i</w:t>
            </w:r>
            <w:r>
              <w:rPr>
                <w:rFonts w:ascii="Times New Roman"/>
                <w:vertAlign w:val="superscript"/>
              </w:rPr>
              <w:t>-0.60415</w:t>
            </w:r>
          </w:p>
        </w:tc>
        <w:tc>
          <w:tcPr>
            <w:tcW w:w="1559" w:type="dxa"/>
          </w:tcPr>
          <w:p>
            <w:pPr>
              <w:pStyle w:val="178"/>
              <w:rPr>
                <w:rFonts w:ascii="Times New Roman"/>
              </w:rPr>
            </w:pPr>
            <w:r>
              <w:rPr>
                <w:rFonts w:ascii="Times New Roman"/>
              </w:rPr>
              <w:t>51.47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178"/>
              <w:rPr>
                <w:rFonts w:ascii="Times New Roman"/>
              </w:rPr>
            </w:pPr>
            <w:r>
              <w:rPr>
                <w:rFonts w:ascii="Times New Roman"/>
              </w:rPr>
              <w:t>山杨</w:t>
            </w:r>
          </w:p>
        </w:tc>
        <w:tc>
          <w:tcPr>
            <w:tcW w:w="3685" w:type="dxa"/>
            <w:shd w:val="clear" w:color="auto" w:fill="auto"/>
            <w:vAlign w:val="center"/>
          </w:tcPr>
          <w:p>
            <w:pPr>
              <w:pStyle w:val="178"/>
              <w:rPr>
                <w:rFonts w:ascii="Times New Roman"/>
              </w:rPr>
            </w:pPr>
            <w:r>
              <w:rPr>
                <w:rFonts w:ascii="Times New Roman"/>
              </w:rPr>
              <w:t>Fk=0.063157×（dbh</w:t>
            </w:r>
            <w:r>
              <w:rPr>
                <w:rFonts w:ascii="Times New Roman"/>
                <w:vertAlign w:val="subscript"/>
              </w:rPr>
              <w:t>i</w:t>
            </w:r>
            <w:r>
              <w:rPr>
                <w:rFonts w:ascii="Times New Roman"/>
                <w:vertAlign w:val="superscript"/>
              </w:rPr>
              <w:t>2</w:t>
            </w:r>
            <w:r>
              <w:rPr>
                <w:rFonts w:ascii="Times New Roman"/>
              </w:rPr>
              <w:t>×height</w:t>
            </w:r>
            <w:r>
              <w:rPr>
                <w:rFonts w:ascii="Times New Roman"/>
                <w:vertAlign w:val="subscript"/>
              </w:rPr>
              <w:t>i</w:t>
            </w:r>
            <w:r>
              <w:rPr>
                <w:rFonts w:ascii="Times New Roman"/>
              </w:rPr>
              <w:t>）</w:t>
            </w:r>
            <w:r>
              <w:rPr>
                <w:rFonts w:ascii="Times New Roman"/>
                <w:vertAlign w:val="superscript"/>
              </w:rPr>
              <w:t>0.848265</w:t>
            </w:r>
          </w:p>
        </w:tc>
        <w:tc>
          <w:tcPr>
            <w:tcW w:w="3261" w:type="dxa"/>
            <w:shd w:val="clear" w:color="auto" w:fill="auto"/>
            <w:vAlign w:val="center"/>
          </w:tcPr>
          <w:p>
            <w:pPr>
              <w:pStyle w:val="178"/>
              <w:rPr>
                <w:rFonts w:ascii="Times New Roman"/>
              </w:rPr>
            </w:pPr>
            <w:r>
              <w:rPr>
                <w:rFonts w:ascii="Times New Roman"/>
              </w:rPr>
              <w:t>0.56798×dbh</w:t>
            </w:r>
            <w:r>
              <w:rPr>
                <w:rFonts w:ascii="Times New Roman"/>
                <w:vertAlign w:val="subscript"/>
              </w:rPr>
              <w:t>i</w:t>
            </w:r>
            <w:r>
              <w:rPr>
                <w:rFonts w:ascii="Times New Roman"/>
                <w:vertAlign w:val="superscript"/>
              </w:rPr>
              <w:t>0.18597</w:t>
            </w:r>
            <w:r>
              <w:rPr>
                <w:rFonts w:ascii="Times New Roman"/>
              </w:rPr>
              <w:t>×height</w:t>
            </w:r>
            <w:r>
              <w:rPr>
                <w:rFonts w:ascii="Times New Roman"/>
                <w:vertAlign w:val="subscript"/>
              </w:rPr>
              <w:t>i</w:t>
            </w:r>
            <w:r>
              <w:rPr>
                <w:rFonts w:ascii="Times New Roman"/>
                <w:vertAlign w:val="superscript"/>
              </w:rPr>
              <w:t>-0.50647</w:t>
            </w:r>
          </w:p>
        </w:tc>
        <w:tc>
          <w:tcPr>
            <w:tcW w:w="1559" w:type="dxa"/>
          </w:tcPr>
          <w:p>
            <w:pPr>
              <w:pStyle w:val="178"/>
              <w:rPr>
                <w:rFonts w:ascii="Times New Roman"/>
              </w:rPr>
            </w:pPr>
            <w:r>
              <w:rPr>
                <w:rFonts w:ascii="Times New Roman"/>
              </w:rPr>
              <w:t>45.53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178"/>
              <w:rPr>
                <w:rFonts w:ascii="Times New Roman"/>
              </w:rPr>
            </w:pPr>
            <w:r>
              <w:rPr>
                <w:rFonts w:ascii="Times New Roman"/>
              </w:rPr>
              <w:t>辽东栎</w:t>
            </w:r>
          </w:p>
        </w:tc>
        <w:tc>
          <w:tcPr>
            <w:tcW w:w="3685" w:type="dxa"/>
            <w:shd w:val="clear" w:color="auto" w:fill="auto"/>
            <w:vAlign w:val="center"/>
          </w:tcPr>
          <w:p>
            <w:pPr>
              <w:pStyle w:val="178"/>
              <w:rPr>
                <w:rFonts w:ascii="Times New Roman"/>
              </w:rPr>
            </w:pPr>
            <w:r>
              <w:rPr>
                <w:rFonts w:ascii="Times New Roman"/>
              </w:rPr>
              <w:t>Fk=0.0207876×（dbh</w:t>
            </w:r>
            <w:r>
              <w:rPr>
                <w:rFonts w:ascii="Times New Roman"/>
                <w:vertAlign w:val="subscript"/>
              </w:rPr>
              <w:t>i</w:t>
            </w:r>
            <w:r>
              <w:rPr>
                <w:rFonts w:ascii="Times New Roman"/>
                <w:vertAlign w:val="superscript"/>
              </w:rPr>
              <w:t>2</w:t>
            </w:r>
            <w:r>
              <w:rPr>
                <w:rFonts w:ascii="Times New Roman"/>
              </w:rPr>
              <w:t>×height</w:t>
            </w:r>
            <w:r>
              <w:rPr>
                <w:rFonts w:ascii="Times New Roman"/>
                <w:vertAlign w:val="subscript"/>
              </w:rPr>
              <w:t>i</w:t>
            </w:r>
            <w:r>
              <w:rPr>
                <w:rFonts w:ascii="Times New Roman"/>
              </w:rPr>
              <w:t>）</w:t>
            </w:r>
            <w:r>
              <w:rPr>
                <w:rFonts w:ascii="Times New Roman"/>
                <w:vertAlign w:val="superscript"/>
              </w:rPr>
              <w:t>1.0347809</w:t>
            </w:r>
          </w:p>
        </w:tc>
        <w:tc>
          <w:tcPr>
            <w:tcW w:w="3261" w:type="dxa"/>
            <w:shd w:val="clear" w:color="auto" w:fill="auto"/>
            <w:vAlign w:val="center"/>
          </w:tcPr>
          <w:p>
            <w:pPr>
              <w:pStyle w:val="178"/>
              <w:rPr>
                <w:rFonts w:ascii="Times New Roman"/>
              </w:rPr>
            </w:pPr>
            <w:r>
              <w:rPr>
                <w:rFonts w:ascii="Times New Roman"/>
              </w:rPr>
              <w:t>0.71240×dbh</w:t>
            </w:r>
            <w:r>
              <w:rPr>
                <w:rFonts w:ascii="Times New Roman"/>
                <w:vertAlign w:val="subscript"/>
              </w:rPr>
              <w:t>i</w:t>
            </w:r>
            <w:r>
              <w:rPr>
                <w:rFonts w:ascii="Times New Roman"/>
                <w:vertAlign w:val="superscript"/>
              </w:rPr>
              <w:t>0.26343</w:t>
            </w:r>
            <w:r>
              <w:rPr>
                <w:rFonts w:ascii="Times New Roman"/>
              </w:rPr>
              <w:t>×height</w:t>
            </w:r>
            <w:r>
              <w:rPr>
                <w:rFonts w:ascii="Times New Roman"/>
                <w:vertAlign w:val="subscript"/>
              </w:rPr>
              <w:t>i</w:t>
            </w:r>
            <w:r>
              <w:rPr>
                <w:rFonts w:ascii="Times New Roman"/>
                <w:vertAlign w:val="superscript"/>
              </w:rPr>
              <w:t>-0.76364</w:t>
            </w:r>
          </w:p>
        </w:tc>
        <w:tc>
          <w:tcPr>
            <w:tcW w:w="1559" w:type="dxa"/>
          </w:tcPr>
          <w:p>
            <w:pPr>
              <w:pStyle w:val="178"/>
              <w:rPr>
                <w:rFonts w:ascii="Times New Roman"/>
              </w:rPr>
            </w:pPr>
            <w:r>
              <w:rPr>
                <w:rFonts w:ascii="Times New Roman"/>
              </w:rPr>
              <w:t>48.28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178"/>
              <w:rPr>
                <w:rFonts w:ascii="Times New Roman"/>
              </w:rPr>
            </w:pPr>
            <w:r>
              <w:rPr>
                <w:rFonts w:ascii="Times New Roman"/>
              </w:rPr>
              <w:t>白桦</w:t>
            </w:r>
          </w:p>
        </w:tc>
        <w:tc>
          <w:tcPr>
            <w:tcW w:w="3685" w:type="dxa"/>
            <w:shd w:val="clear" w:color="auto" w:fill="auto"/>
            <w:vAlign w:val="center"/>
          </w:tcPr>
          <w:p>
            <w:pPr>
              <w:pStyle w:val="178"/>
              <w:rPr>
                <w:rFonts w:ascii="Times New Roman"/>
              </w:rPr>
            </w:pPr>
            <w:r>
              <w:rPr>
                <w:rFonts w:ascii="Times New Roman"/>
              </w:rPr>
              <w:t>Fk=1.2670330</w:t>
            </w:r>
            <w:r>
              <w:rPr>
                <w:rFonts w:ascii="Times New Roman"/>
                <w:vertAlign w:val="superscript"/>
              </w:rPr>
              <w:t>2.7221680+dbhi</w:t>
            </w:r>
          </w:p>
        </w:tc>
        <w:tc>
          <w:tcPr>
            <w:tcW w:w="3261" w:type="dxa"/>
            <w:shd w:val="clear" w:color="auto" w:fill="auto"/>
            <w:vAlign w:val="center"/>
          </w:tcPr>
          <w:p>
            <w:pPr>
              <w:pStyle w:val="178"/>
              <w:rPr>
                <w:rFonts w:ascii="Times New Roman"/>
              </w:rPr>
            </w:pPr>
            <w:r>
              <w:rPr>
                <w:rFonts w:ascii="Times New Roman"/>
              </w:rPr>
              <w:t>0.62063×dbh</w:t>
            </w:r>
            <w:r>
              <w:rPr>
                <w:rFonts w:ascii="Times New Roman"/>
                <w:vertAlign w:val="subscript"/>
              </w:rPr>
              <w:t>i</w:t>
            </w:r>
            <w:r>
              <w:rPr>
                <w:rFonts w:ascii="Times New Roman"/>
                <w:vertAlign w:val="superscript"/>
              </w:rPr>
              <w:t>-0.03259</w:t>
            </w:r>
            <w:r>
              <w:rPr>
                <w:rFonts w:ascii="Times New Roman"/>
              </w:rPr>
              <w:t>×height</w:t>
            </w:r>
            <w:r>
              <w:rPr>
                <w:rFonts w:ascii="Times New Roman"/>
                <w:vertAlign w:val="subscript"/>
              </w:rPr>
              <w:t>i</w:t>
            </w:r>
            <w:r>
              <w:rPr>
                <w:rFonts w:ascii="Times New Roman"/>
                <w:vertAlign w:val="superscript"/>
              </w:rPr>
              <w:t>-0.23991</w:t>
            </w:r>
          </w:p>
        </w:tc>
        <w:tc>
          <w:tcPr>
            <w:tcW w:w="1559" w:type="dxa"/>
          </w:tcPr>
          <w:p>
            <w:pPr>
              <w:pStyle w:val="178"/>
              <w:rPr>
                <w:rFonts w:ascii="Times New Roman"/>
              </w:rPr>
            </w:pPr>
            <w:r>
              <w:rPr>
                <w:rFonts w:ascii="Times New Roman"/>
              </w:rPr>
              <w:t>51.75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178"/>
              <w:rPr>
                <w:rFonts w:ascii="Times New Roman"/>
              </w:rPr>
            </w:pPr>
            <w:r>
              <w:rPr>
                <w:rFonts w:ascii="Times New Roman"/>
              </w:rPr>
              <w:t>油松</w:t>
            </w:r>
          </w:p>
        </w:tc>
        <w:tc>
          <w:tcPr>
            <w:tcW w:w="3685" w:type="dxa"/>
            <w:shd w:val="clear" w:color="auto" w:fill="auto"/>
            <w:vAlign w:val="center"/>
          </w:tcPr>
          <w:p>
            <w:pPr>
              <w:pStyle w:val="178"/>
              <w:rPr>
                <w:rFonts w:ascii="Times New Roman"/>
              </w:rPr>
            </w:pPr>
            <w:r>
              <w:rPr>
                <w:rFonts w:ascii="Times New Roman"/>
              </w:rPr>
              <w:t>Fk=0.07437×（dbh</w:t>
            </w:r>
            <w:r>
              <w:rPr>
                <w:rFonts w:ascii="Times New Roman"/>
                <w:vertAlign w:val="subscript"/>
              </w:rPr>
              <w:t>i</w:t>
            </w:r>
            <w:r>
              <w:rPr>
                <w:rFonts w:ascii="Times New Roman"/>
                <w:vertAlign w:val="superscript"/>
              </w:rPr>
              <w:t>2</w:t>
            </w:r>
            <w:r>
              <w:rPr>
                <w:rFonts w:ascii="Times New Roman"/>
              </w:rPr>
              <w:t>×height</w:t>
            </w:r>
            <w:r>
              <w:rPr>
                <w:rFonts w:ascii="Times New Roman"/>
                <w:vertAlign w:val="subscript"/>
              </w:rPr>
              <w:t>i</w:t>
            </w:r>
            <w:r>
              <w:rPr>
                <w:rFonts w:ascii="Times New Roman"/>
              </w:rPr>
              <w:t>）</w:t>
            </w:r>
            <w:r>
              <w:rPr>
                <w:rFonts w:ascii="Times New Roman"/>
                <w:vertAlign w:val="superscript"/>
              </w:rPr>
              <w:t>0.86660</w:t>
            </w:r>
          </w:p>
        </w:tc>
        <w:tc>
          <w:tcPr>
            <w:tcW w:w="3261" w:type="dxa"/>
            <w:shd w:val="clear" w:color="auto" w:fill="auto"/>
            <w:vAlign w:val="center"/>
          </w:tcPr>
          <w:p>
            <w:pPr>
              <w:pStyle w:val="178"/>
              <w:rPr>
                <w:rFonts w:ascii="Times New Roman"/>
              </w:rPr>
            </w:pPr>
            <w:r>
              <w:rPr>
                <w:rFonts w:ascii="Times New Roman"/>
              </w:rPr>
              <w:t>0.16082×dbh</w:t>
            </w:r>
            <w:r>
              <w:rPr>
                <w:rFonts w:ascii="Times New Roman"/>
                <w:vertAlign w:val="subscript"/>
              </w:rPr>
              <w:t>i</w:t>
            </w:r>
            <w:r>
              <w:rPr>
                <w:rFonts w:ascii="Times New Roman"/>
                <w:vertAlign w:val="superscript"/>
              </w:rPr>
              <w:t>0.48134</w:t>
            </w:r>
            <w:r>
              <w:rPr>
                <w:rFonts w:ascii="Times New Roman"/>
              </w:rPr>
              <w:t>×height</w:t>
            </w:r>
            <w:r>
              <w:rPr>
                <w:rFonts w:ascii="Times New Roman"/>
                <w:vertAlign w:val="subscript"/>
              </w:rPr>
              <w:t>i</w:t>
            </w:r>
            <w:r>
              <w:rPr>
                <w:rFonts w:ascii="Times New Roman"/>
                <w:vertAlign w:val="superscript"/>
              </w:rPr>
              <w:t>-0.43154</w:t>
            </w:r>
          </w:p>
        </w:tc>
        <w:tc>
          <w:tcPr>
            <w:tcW w:w="1559" w:type="dxa"/>
          </w:tcPr>
          <w:p>
            <w:pPr>
              <w:pStyle w:val="178"/>
              <w:rPr>
                <w:rFonts w:ascii="Times New Roman"/>
              </w:rPr>
            </w:pPr>
            <w:r>
              <w:rPr>
                <w:rFonts w:ascii="Times New Roman"/>
              </w:rPr>
              <w:t>51.15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178"/>
              <w:rPr>
                <w:rFonts w:ascii="Times New Roman"/>
              </w:rPr>
            </w:pPr>
            <w:r>
              <w:rPr>
                <w:rFonts w:ascii="Times New Roman"/>
              </w:rPr>
              <w:t>杜松</w:t>
            </w:r>
          </w:p>
        </w:tc>
        <w:tc>
          <w:tcPr>
            <w:tcW w:w="3685" w:type="dxa"/>
            <w:shd w:val="clear" w:color="auto" w:fill="auto"/>
            <w:vAlign w:val="center"/>
          </w:tcPr>
          <w:p>
            <w:pPr>
              <w:pStyle w:val="178"/>
              <w:rPr>
                <w:rFonts w:ascii="Times New Roman"/>
              </w:rPr>
            </w:pPr>
            <w:r>
              <w:rPr>
                <w:rFonts w:ascii="Times New Roman"/>
              </w:rPr>
              <w:t>Fk=0.0041482×（dbh</w:t>
            </w:r>
            <w:r>
              <w:rPr>
                <w:rFonts w:ascii="Times New Roman"/>
                <w:vertAlign w:val="subscript"/>
              </w:rPr>
              <w:t>i</w:t>
            </w:r>
            <w:r>
              <w:rPr>
                <w:rFonts w:ascii="Times New Roman"/>
                <w:vertAlign w:val="superscript"/>
              </w:rPr>
              <w:t>2</w:t>
            </w:r>
            <w:r>
              <w:rPr>
                <w:rFonts w:ascii="Times New Roman"/>
              </w:rPr>
              <w:t>×height</w:t>
            </w:r>
            <w:r>
              <w:rPr>
                <w:rFonts w:ascii="Times New Roman"/>
                <w:vertAlign w:val="subscript"/>
              </w:rPr>
              <w:t>i</w:t>
            </w:r>
            <w:r>
              <w:rPr>
                <w:rFonts w:ascii="Times New Roman"/>
              </w:rPr>
              <w:t>）</w:t>
            </w:r>
            <w:r>
              <w:rPr>
                <w:rFonts w:ascii="Times New Roman"/>
                <w:vertAlign w:val="superscript"/>
              </w:rPr>
              <w:t>1.2399156</w:t>
            </w:r>
          </w:p>
        </w:tc>
        <w:tc>
          <w:tcPr>
            <w:tcW w:w="3261" w:type="dxa"/>
            <w:shd w:val="clear" w:color="auto" w:fill="auto"/>
            <w:vAlign w:val="center"/>
          </w:tcPr>
          <w:p>
            <w:pPr>
              <w:pStyle w:val="178"/>
              <w:rPr>
                <w:rFonts w:ascii="Times New Roman"/>
              </w:rPr>
            </w:pPr>
            <w:r>
              <w:rPr>
                <w:rFonts w:ascii="Times New Roman"/>
              </w:rPr>
              <w:t>0.45990×dbh</w:t>
            </w:r>
            <w:r>
              <w:rPr>
                <w:rFonts w:ascii="Times New Roman"/>
                <w:vertAlign w:val="subscript"/>
              </w:rPr>
              <w:t>i</w:t>
            </w:r>
            <w:r>
              <w:rPr>
                <w:rFonts w:ascii="Times New Roman"/>
                <w:vertAlign w:val="superscript"/>
              </w:rPr>
              <w:t>0.38706</w:t>
            </w:r>
            <w:r>
              <w:rPr>
                <w:rFonts w:ascii="Times New Roman"/>
              </w:rPr>
              <w:t>×height</w:t>
            </w:r>
            <w:r>
              <w:rPr>
                <w:rFonts w:ascii="Times New Roman"/>
                <w:vertAlign w:val="subscript"/>
              </w:rPr>
              <w:t>i</w:t>
            </w:r>
            <w:r>
              <w:rPr>
                <w:rFonts w:ascii="Times New Roman"/>
                <w:vertAlign w:val="superscript"/>
              </w:rPr>
              <w:t>-0.64126</w:t>
            </w:r>
          </w:p>
        </w:tc>
        <w:tc>
          <w:tcPr>
            <w:tcW w:w="1559" w:type="dxa"/>
          </w:tcPr>
          <w:p>
            <w:pPr>
              <w:pStyle w:val="178"/>
              <w:rPr>
                <w:rFonts w:ascii="Times New Roman"/>
              </w:rPr>
            </w:pPr>
            <w:r>
              <w:rPr>
                <w:rFonts w:ascii="Times New Roman"/>
              </w:rPr>
              <w:t>47.4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178"/>
              <w:rPr>
                <w:rFonts w:ascii="Times New Roman"/>
              </w:rPr>
            </w:pPr>
            <w:r>
              <w:rPr>
                <w:rFonts w:ascii="Times New Roman"/>
              </w:rPr>
              <w:t>榆树</w:t>
            </w:r>
          </w:p>
        </w:tc>
        <w:tc>
          <w:tcPr>
            <w:tcW w:w="3685" w:type="dxa"/>
            <w:shd w:val="clear" w:color="auto" w:fill="auto"/>
            <w:vAlign w:val="center"/>
          </w:tcPr>
          <w:p>
            <w:pPr>
              <w:pStyle w:val="178"/>
              <w:rPr>
                <w:rFonts w:ascii="Times New Roman"/>
              </w:rPr>
            </w:pPr>
            <w:r>
              <w:rPr>
                <w:rFonts w:ascii="Times New Roman"/>
              </w:rPr>
              <w:t>Fk=4.15094×（dbh</w:t>
            </w:r>
            <w:r>
              <w:rPr>
                <w:rFonts w:ascii="Times New Roman"/>
                <w:vertAlign w:val="subscript"/>
              </w:rPr>
              <w:t>i</w:t>
            </w:r>
            <w:r>
              <w:rPr>
                <w:rFonts w:ascii="Times New Roman"/>
                <w:vertAlign w:val="superscript"/>
              </w:rPr>
              <w:t>2</w:t>
            </w:r>
            <w:r>
              <w:rPr>
                <w:rFonts w:ascii="Times New Roman"/>
              </w:rPr>
              <w:t>×height</w:t>
            </w:r>
            <w:r>
              <w:rPr>
                <w:rFonts w:ascii="Times New Roman"/>
                <w:vertAlign w:val="subscript"/>
              </w:rPr>
              <w:t>i</w:t>
            </w:r>
            <w:r>
              <w:rPr>
                <w:rFonts w:ascii="Times New Roman"/>
              </w:rPr>
              <w:t>）</w:t>
            </w:r>
            <w:r>
              <w:rPr>
                <w:rFonts w:ascii="Times New Roman"/>
                <w:vertAlign w:val="superscript"/>
              </w:rPr>
              <w:t>0.44940</w:t>
            </w:r>
          </w:p>
        </w:tc>
        <w:tc>
          <w:tcPr>
            <w:tcW w:w="3261" w:type="dxa"/>
            <w:shd w:val="clear" w:color="auto" w:fill="auto"/>
            <w:vAlign w:val="center"/>
          </w:tcPr>
          <w:p>
            <w:pPr>
              <w:pStyle w:val="178"/>
              <w:rPr>
                <w:rFonts w:ascii="Times New Roman"/>
              </w:rPr>
            </w:pPr>
            <w:r>
              <w:rPr>
                <w:rFonts w:ascii="Times New Roman"/>
              </w:rPr>
              <w:t>0.42112×dbh</w:t>
            </w:r>
            <w:r>
              <w:rPr>
                <w:rFonts w:ascii="Times New Roman"/>
                <w:vertAlign w:val="subscript"/>
              </w:rPr>
              <w:t>i</w:t>
            </w:r>
            <w:r>
              <w:rPr>
                <w:rFonts w:ascii="Times New Roman"/>
                <w:vertAlign w:val="superscript"/>
              </w:rPr>
              <w:t>0.075352</w:t>
            </w:r>
            <w:r>
              <w:rPr>
                <w:rFonts w:ascii="Times New Roman"/>
              </w:rPr>
              <w:t>×height</w:t>
            </w:r>
            <w:r>
              <w:rPr>
                <w:rFonts w:ascii="Times New Roman"/>
                <w:vertAlign w:val="subscript"/>
              </w:rPr>
              <w:t>i</w:t>
            </w:r>
            <w:r>
              <w:rPr>
                <w:rFonts w:ascii="Times New Roman"/>
                <w:vertAlign w:val="superscript"/>
              </w:rPr>
              <w:t>-0.15356</w:t>
            </w:r>
          </w:p>
        </w:tc>
        <w:tc>
          <w:tcPr>
            <w:tcW w:w="1559" w:type="dxa"/>
          </w:tcPr>
          <w:p>
            <w:pPr>
              <w:pStyle w:val="178"/>
              <w:rPr>
                <w:rFonts w:ascii="Times New Roman"/>
              </w:rPr>
            </w:pPr>
            <w:r>
              <w:rPr>
                <w:rFonts w:ascii="Times New Roman"/>
              </w:rPr>
              <w:t>51.52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178"/>
              <w:rPr>
                <w:rFonts w:ascii="Times New Roman"/>
              </w:rPr>
            </w:pPr>
            <w:r>
              <w:rPr>
                <w:rFonts w:ascii="Times New Roman"/>
              </w:rPr>
              <w:t>圆柏</w:t>
            </w:r>
          </w:p>
        </w:tc>
        <w:tc>
          <w:tcPr>
            <w:tcW w:w="3685" w:type="dxa"/>
            <w:shd w:val="clear" w:color="auto" w:fill="auto"/>
            <w:vAlign w:val="center"/>
          </w:tcPr>
          <w:p>
            <w:pPr>
              <w:pStyle w:val="178"/>
              <w:rPr>
                <w:rFonts w:ascii="Times New Roman"/>
              </w:rPr>
            </w:pPr>
            <w:r>
              <w:rPr>
                <w:rFonts w:ascii="Times New Roman"/>
              </w:rPr>
              <w:t>Fk=1.253e-01×（dbh</w:t>
            </w:r>
            <w:r>
              <w:rPr>
                <w:rFonts w:ascii="Times New Roman"/>
                <w:vertAlign w:val="subscript"/>
              </w:rPr>
              <w:t>i</w:t>
            </w:r>
            <w:r>
              <w:rPr>
                <w:rFonts w:ascii="Times New Roman"/>
                <w:vertAlign w:val="superscript"/>
              </w:rPr>
              <w:t>2</w:t>
            </w:r>
            <w:r>
              <w:rPr>
                <w:rFonts w:ascii="Times New Roman"/>
              </w:rPr>
              <w:t>×height</w:t>
            </w:r>
            <w:r>
              <w:rPr>
                <w:rFonts w:ascii="Times New Roman"/>
                <w:vertAlign w:val="subscript"/>
              </w:rPr>
              <w:t>i</w:t>
            </w:r>
            <w:r>
              <w:rPr>
                <w:rFonts w:ascii="Times New Roman"/>
              </w:rPr>
              <w:t>）</w:t>
            </w:r>
            <w:r>
              <w:rPr>
                <w:rFonts w:ascii="Times New Roman"/>
                <w:vertAlign w:val="superscript"/>
              </w:rPr>
              <w:t>7.330e-01</w:t>
            </w:r>
          </w:p>
        </w:tc>
        <w:tc>
          <w:tcPr>
            <w:tcW w:w="3261" w:type="dxa"/>
            <w:shd w:val="clear" w:color="auto" w:fill="auto"/>
            <w:vAlign w:val="center"/>
          </w:tcPr>
          <w:p>
            <w:pPr>
              <w:pStyle w:val="178"/>
              <w:rPr>
                <w:rFonts w:ascii="Times New Roman"/>
              </w:rPr>
            </w:pPr>
            <w:r>
              <w:rPr>
                <w:rFonts w:ascii="Times New Roman"/>
              </w:rPr>
              <w:t>0.37672×dbh</w:t>
            </w:r>
            <w:r>
              <w:rPr>
                <w:rFonts w:ascii="Times New Roman"/>
                <w:vertAlign w:val="subscript"/>
              </w:rPr>
              <w:t>i</w:t>
            </w:r>
            <w:r>
              <w:rPr>
                <w:rFonts w:ascii="Times New Roman"/>
                <w:vertAlign w:val="superscript"/>
              </w:rPr>
              <w:t>-0.14740</w:t>
            </w:r>
            <w:r>
              <w:rPr>
                <w:rFonts w:ascii="Times New Roman"/>
              </w:rPr>
              <w:t>×height</w:t>
            </w:r>
            <w:r>
              <w:rPr>
                <w:rFonts w:ascii="Times New Roman"/>
                <w:vertAlign w:val="subscript"/>
              </w:rPr>
              <w:t>i</w:t>
            </w:r>
            <w:r>
              <w:rPr>
                <w:rFonts w:ascii="Times New Roman"/>
                <w:vertAlign w:val="superscript"/>
              </w:rPr>
              <w:t>-0.02765</w:t>
            </w:r>
          </w:p>
        </w:tc>
        <w:tc>
          <w:tcPr>
            <w:tcW w:w="1559" w:type="dxa"/>
          </w:tcPr>
          <w:p>
            <w:pPr>
              <w:pStyle w:val="178"/>
              <w:rPr>
                <w:rFonts w:ascii="Times New Roman"/>
              </w:rPr>
            </w:pPr>
            <w:r>
              <w:rPr>
                <w:rFonts w:ascii="Times New Roman"/>
              </w:rPr>
              <w:t>49.99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178"/>
              <w:rPr>
                <w:rFonts w:ascii="Times New Roman"/>
              </w:rPr>
            </w:pPr>
            <w:r>
              <w:rPr>
                <w:rFonts w:ascii="Times New Roman"/>
              </w:rPr>
              <w:t>柳树</w:t>
            </w:r>
          </w:p>
        </w:tc>
        <w:tc>
          <w:tcPr>
            <w:tcW w:w="3685" w:type="dxa"/>
            <w:shd w:val="clear" w:color="auto" w:fill="auto"/>
            <w:vAlign w:val="center"/>
          </w:tcPr>
          <w:p>
            <w:pPr>
              <w:pStyle w:val="178"/>
              <w:rPr>
                <w:rFonts w:ascii="Times New Roman"/>
              </w:rPr>
            </w:pPr>
            <w:r>
              <w:rPr>
                <w:rFonts w:ascii="Times New Roman"/>
              </w:rPr>
              <w:t>Fk=0.251067×（dbh</w:t>
            </w:r>
            <w:r>
              <w:rPr>
                <w:rFonts w:ascii="Times New Roman"/>
                <w:vertAlign w:val="subscript"/>
              </w:rPr>
              <w:t>i</w:t>
            </w:r>
            <w:r>
              <w:rPr>
                <w:rFonts w:ascii="Times New Roman"/>
                <w:vertAlign w:val="superscript"/>
              </w:rPr>
              <w:t>2</w:t>
            </w:r>
            <w:r>
              <w:rPr>
                <w:rFonts w:ascii="Times New Roman"/>
              </w:rPr>
              <w:t>×height</w:t>
            </w:r>
            <w:r>
              <w:rPr>
                <w:rFonts w:ascii="Times New Roman"/>
                <w:vertAlign w:val="subscript"/>
              </w:rPr>
              <w:t>i</w:t>
            </w:r>
            <w:r>
              <w:rPr>
                <w:rFonts w:ascii="Times New Roman"/>
              </w:rPr>
              <w:t>）</w:t>
            </w:r>
            <w:r>
              <w:rPr>
                <w:rFonts w:ascii="Times New Roman"/>
                <w:vertAlign w:val="superscript"/>
              </w:rPr>
              <w:t>0.910644</w:t>
            </w:r>
          </w:p>
        </w:tc>
        <w:tc>
          <w:tcPr>
            <w:tcW w:w="3261" w:type="dxa"/>
            <w:shd w:val="clear" w:color="auto" w:fill="auto"/>
            <w:vAlign w:val="center"/>
          </w:tcPr>
          <w:p>
            <w:pPr>
              <w:pStyle w:val="178"/>
              <w:rPr>
                <w:rFonts w:ascii="Times New Roman"/>
              </w:rPr>
            </w:pPr>
            <w:r>
              <w:rPr>
                <w:rFonts w:ascii="Times New Roman"/>
              </w:rPr>
              <w:t>0.18034×dbh</w:t>
            </w:r>
            <w:r>
              <w:rPr>
                <w:rFonts w:ascii="Times New Roman"/>
                <w:vertAlign w:val="subscript"/>
              </w:rPr>
              <w:t>i</w:t>
            </w:r>
            <w:r>
              <w:rPr>
                <w:rFonts w:ascii="Times New Roman"/>
                <w:vertAlign w:val="superscript"/>
              </w:rPr>
              <w:t>0.88582</w:t>
            </w:r>
            <w:r>
              <w:rPr>
                <w:rFonts w:ascii="Times New Roman"/>
              </w:rPr>
              <w:t>×height</w:t>
            </w:r>
            <w:r>
              <w:rPr>
                <w:rFonts w:ascii="Times New Roman"/>
                <w:vertAlign w:val="subscript"/>
              </w:rPr>
              <w:t>i</w:t>
            </w:r>
            <w:r>
              <w:rPr>
                <w:rFonts w:ascii="Times New Roman"/>
                <w:vertAlign w:val="superscript"/>
              </w:rPr>
              <w:t>-0.81895</w:t>
            </w:r>
          </w:p>
        </w:tc>
        <w:tc>
          <w:tcPr>
            <w:tcW w:w="1559" w:type="dxa"/>
          </w:tcPr>
          <w:p>
            <w:pPr>
              <w:pStyle w:val="178"/>
              <w:rPr>
                <w:rFonts w:ascii="Times New Roman"/>
              </w:rPr>
            </w:pPr>
            <w:r>
              <w:rPr>
                <w:rFonts w:ascii="Times New Roman"/>
              </w:rPr>
              <w:t>47.72</w:t>
            </w:r>
          </w:p>
        </w:tc>
      </w:tr>
    </w:tbl>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r>
        <w:rPr>
          <w:rFonts w:hint="eastAsia"/>
        </w:rPr>
        <w:t>灌木层本地参数见表A</w:t>
      </w:r>
      <w:r>
        <w:t>.2</w:t>
      </w:r>
      <w:r>
        <w:rPr>
          <w:rFonts w:hint="eastAsia"/>
        </w:rPr>
        <w:t>。</w:t>
      </w:r>
    </w:p>
    <w:p>
      <w:pPr>
        <w:pStyle w:val="77"/>
        <w:spacing w:before="156" w:after="156"/>
      </w:pPr>
      <w:r>
        <w:rPr>
          <w:rFonts w:hint="eastAsia"/>
        </w:rPr>
        <w:t>灌木层本地参数</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255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优势树种</w:t>
            </w:r>
          </w:p>
        </w:tc>
        <w:tc>
          <w:tcPr>
            <w:tcW w:w="3112"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灌木层生物量（kg）</w:t>
            </w:r>
          </w:p>
        </w:tc>
        <w:tc>
          <w:tcPr>
            <w:tcW w:w="2557"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灌木含碳率(%)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vAlign w:val="center"/>
          </w:tcPr>
          <w:p>
            <w:pPr>
              <w:pStyle w:val="178"/>
              <w:rPr>
                <w:rFonts w:ascii="Times New Roman"/>
              </w:rPr>
            </w:pPr>
            <w:r>
              <w:rPr>
                <w:rFonts w:ascii="Times New Roman"/>
              </w:rPr>
              <w:t>蒙古扁桃</w:t>
            </w:r>
          </w:p>
        </w:tc>
        <w:tc>
          <w:tcPr>
            <w:tcW w:w="3112" w:type="dxa"/>
            <w:tcBorders>
              <w:top w:val="single" w:color="auto" w:sz="8" w:space="0"/>
            </w:tcBorders>
            <w:shd w:val="clear" w:color="auto" w:fill="auto"/>
            <w:vAlign w:val="center"/>
          </w:tcPr>
          <w:p>
            <w:pPr>
              <w:pStyle w:val="178"/>
              <w:rPr>
                <w:rFonts w:ascii="Times New Roman"/>
              </w:rPr>
            </w:pPr>
            <w:r>
              <w:rPr>
                <w:rFonts w:ascii="Times New Roman"/>
              </w:rPr>
              <w:t>0.748</w:t>
            </w:r>
          </w:p>
        </w:tc>
        <w:tc>
          <w:tcPr>
            <w:tcW w:w="2557" w:type="dxa"/>
            <w:tcBorders>
              <w:top w:val="single" w:color="auto" w:sz="8" w:space="0"/>
            </w:tcBorders>
            <w:shd w:val="clear" w:color="auto" w:fill="auto"/>
          </w:tcPr>
          <w:p>
            <w:pPr>
              <w:pStyle w:val="178"/>
              <w:rPr>
                <w:rFonts w:ascii="Times New Roman"/>
              </w:rPr>
            </w:pPr>
            <w:r>
              <w:rPr>
                <w:rFonts w:ascii="Times New Roman"/>
              </w:rPr>
              <w:t>48.46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黄刺玫</w:t>
            </w:r>
          </w:p>
        </w:tc>
        <w:tc>
          <w:tcPr>
            <w:tcW w:w="3112" w:type="dxa"/>
            <w:shd w:val="clear" w:color="auto" w:fill="auto"/>
            <w:vAlign w:val="center"/>
          </w:tcPr>
          <w:p>
            <w:pPr>
              <w:pStyle w:val="178"/>
              <w:rPr>
                <w:rFonts w:ascii="Times New Roman"/>
              </w:rPr>
            </w:pPr>
            <w:r>
              <w:rPr>
                <w:rFonts w:ascii="Times New Roman"/>
              </w:rPr>
              <w:t>0.347</w:t>
            </w:r>
          </w:p>
        </w:tc>
        <w:tc>
          <w:tcPr>
            <w:tcW w:w="2557" w:type="dxa"/>
            <w:shd w:val="clear" w:color="auto" w:fill="auto"/>
          </w:tcPr>
          <w:p>
            <w:pPr>
              <w:pStyle w:val="178"/>
              <w:rPr>
                <w:rFonts w:ascii="Times New Roman"/>
              </w:rPr>
            </w:pPr>
            <w:r>
              <w:rPr>
                <w:rFonts w:ascii="Times New Roman"/>
              </w:rPr>
              <w:t>46.58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沙棘</w:t>
            </w:r>
          </w:p>
        </w:tc>
        <w:tc>
          <w:tcPr>
            <w:tcW w:w="3112" w:type="dxa"/>
            <w:shd w:val="clear" w:color="auto" w:fill="auto"/>
            <w:vAlign w:val="center"/>
          </w:tcPr>
          <w:p>
            <w:pPr>
              <w:pStyle w:val="178"/>
              <w:rPr>
                <w:rFonts w:ascii="Times New Roman"/>
              </w:rPr>
            </w:pPr>
            <w:r>
              <w:rPr>
                <w:rFonts w:ascii="Times New Roman"/>
              </w:rPr>
              <w:t>0.29</w:t>
            </w:r>
          </w:p>
        </w:tc>
        <w:tc>
          <w:tcPr>
            <w:tcW w:w="2557" w:type="dxa"/>
            <w:shd w:val="clear" w:color="auto" w:fill="auto"/>
          </w:tcPr>
          <w:p>
            <w:pPr>
              <w:pStyle w:val="178"/>
              <w:rPr>
                <w:rFonts w:ascii="Times New Roman"/>
              </w:rPr>
            </w:pPr>
            <w:r>
              <w:rPr>
                <w:rFonts w:ascii="Times New Roman"/>
              </w:rPr>
              <w:t>48.58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叉子圆柏</w:t>
            </w:r>
          </w:p>
        </w:tc>
        <w:tc>
          <w:tcPr>
            <w:tcW w:w="3112" w:type="dxa"/>
            <w:shd w:val="clear" w:color="auto" w:fill="auto"/>
            <w:vAlign w:val="center"/>
          </w:tcPr>
          <w:p>
            <w:pPr>
              <w:pStyle w:val="178"/>
              <w:rPr>
                <w:rFonts w:ascii="Times New Roman"/>
              </w:rPr>
            </w:pPr>
            <w:r>
              <w:rPr>
                <w:rFonts w:ascii="Times New Roman"/>
              </w:rPr>
              <w:t>0.402</w:t>
            </w:r>
          </w:p>
        </w:tc>
        <w:tc>
          <w:tcPr>
            <w:tcW w:w="2557" w:type="dxa"/>
            <w:shd w:val="clear" w:color="auto" w:fill="auto"/>
          </w:tcPr>
          <w:p>
            <w:pPr>
              <w:pStyle w:val="178"/>
              <w:rPr>
                <w:rFonts w:ascii="Times New Roman"/>
              </w:rPr>
            </w:pPr>
            <w:r>
              <w:rPr>
                <w:rFonts w:ascii="Times New Roman"/>
              </w:rPr>
              <w:t>51.55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虎榛子</w:t>
            </w:r>
          </w:p>
        </w:tc>
        <w:tc>
          <w:tcPr>
            <w:tcW w:w="3112" w:type="dxa"/>
            <w:shd w:val="clear" w:color="auto" w:fill="auto"/>
            <w:vAlign w:val="center"/>
          </w:tcPr>
          <w:p>
            <w:pPr>
              <w:pStyle w:val="178"/>
              <w:rPr>
                <w:rFonts w:ascii="Times New Roman"/>
              </w:rPr>
            </w:pPr>
            <w:r>
              <w:rPr>
                <w:rFonts w:ascii="Times New Roman"/>
              </w:rPr>
              <w:t>0.248</w:t>
            </w:r>
          </w:p>
        </w:tc>
        <w:tc>
          <w:tcPr>
            <w:tcW w:w="2557" w:type="dxa"/>
            <w:shd w:val="clear" w:color="auto" w:fill="auto"/>
          </w:tcPr>
          <w:p>
            <w:pPr>
              <w:pStyle w:val="178"/>
              <w:rPr>
                <w:rFonts w:ascii="Times New Roman"/>
              </w:rPr>
            </w:pPr>
            <w:r>
              <w:rPr>
                <w:rFonts w:ascii="Times New Roman"/>
              </w:rPr>
              <w:t>46.74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蒙古莸</w:t>
            </w:r>
          </w:p>
        </w:tc>
        <w:tc>
          <w:tcPr>
            <w:tcW w:w="3112" w:type="dxa"/>
            <w:shd w:val="clear" w:color="auto" w:fill="auto"/>
            <w:vAlign w:val="center"/>
          </w:tcPr>
          <w:p>
            <w:pPr>
              <w:pStyle w:val="178"/>
              <w:rPr>
                <w:rFonts w:ascii="Times New Roman"/>
              </w:rPr>
            </w:pPr>
            <w:r>
              <w:rPr>
                <w:rFonts w:ascii="Times New Roman"/>
              </w:rPr>
              <w:t>0.258</w:t>
            </w:r>
          </w:p>
        </w:tc>
        <w:tc>
          <w:tcPr>
            <w:tcW w:w="2557" w:type="dxa"/>
            <w:shd w:val="clear" w:color="auto" w:fill="auto"/>
          </w:tcPr>
          <w:p>
            <w:pPr>
              <w:pStyle w:val="178"/>
              <w:rPr>
                <w:rFonts w:ascii="Times New Roman"/>
              </w:rPr>
            </w:pPr>
            <w:r>
              <w:rPr>
                <w:rFonts w:ascii="Times New Roman"/>
              </w:rPr>
              <w:t>48.63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土庄绣线菊</w:t>
            </w:r>
          </w:p>
        </w:tc>
        <w:tc>
          <w:tcPr>
            <w:tcW w:w="3112" w:type="dxa"/>
            <w:shd w:val="clear" w:color="auto" w:fill="auto"/>
            <w:vAlign w:val="center"/>
          </w:tcPr>
          <w:p>
            <w:pPr>
              <w:pStyle w:val="178"/>
              <w:rPr>
                <w:rFonts w:ascii="Times New Roman"/>
              </w:rPr>
            </w:pPr>
            <w:r>
              <w:rPr>
                <w:rFonts w:ascii="Times New Roman"/>
              </w:rPr>
              <w:t>0.309</w:t>
            </w:r>
          </w:p>
        </w:tc>
        <w:tc>
          <w:tcPr>
            <w:tcW w:w="2557" w:type="dxa"/>
            <w:shd w:val="clear" w:color="auto" w:fill="auto"/>
          </w:tcPr>
          <w:p>
            <w:pPr>
              <w:pStyle w:val="178"/>
              <w:rPr>
                <w:rFonts w:ascii="Times New Roman"/>
              </w:rPr>
            </w:pPr>
            <w:r>
              <w:rPr>
                <w:rFonts w:ascii="Times New Roman"/>
              </w:rPr>
              <w:t>50.93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柠条</w:t>
            </w:r>
          </w:p>
        </w:tc>
        <w:tc>
          <w:tcPr>
            <w:tcW w:w="3112" w:type="dxa"/>
            <w:shd w:val="clear" w:color="auto" w:fill="auto"/>
            <w:vAlign w:val="center"/>
          </w:tcPr>
          <w:p>
            <w:pPr>
              <w:pStyle w:val="178"/>
              <w:rPr>
                <w:rFonts w:ascii="Times New Roman"/>
              </w:rPr>
            </w:pPr>
            <w:r>
              <w:rPr>
                <w:rFonts w:ascii="Times New Roman"/>
              </w:rPr>
              <w:t>0.37</w:t>
            </w:r>
          </w:p>
        </w:tc>
        <w:tc>
          <w:tcPr>
            <w:tcW w:w="2557" w:type="dxa"/>
            <w:shd w:val="clear" w:color="auto" w:fill="auto"/>
          </w:tcPr>
          <w:p>
            <w:pPr>
              <w:pStyle w:val="178"/>
              <w:rPr>
                <w:rFonts w:ascii="Times New Roman"/>
              </w:rPr>
            </w:pPr>
            <w:r>
              <w:rPr>
                <w:rFonts w:ascii="Times New Roman"/>
              </w:rPr>
              <w:t>46.45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铁线莲</w:t>
            </w:r>
          </w:p>
        </w:tc>
        <w:tc>
          <w:tcPr>
            <w:tcW w:w="3112" w:type="dxa"/>
            <w:shd w:val="clear" w:color="auto" w:fill="auto"/>
            <w:vAlign w:val="center"/>
          </w:tcPr>
          <w:p>
            <w:pPr>
              <w:pStyle w:val="178"/>
              <w:rPr>
                <w:rFonts w:ascii="Times New Roman"/>
              </w:rPr>
            </w:pPr>
            <w:r>
              <w:rPr>
                <w:rFonts w:ascii="Times New Roman"/>
              </w:rPr>
              <w:t>0.352</w:t>
            </w:r>
          </w:p>
        </w:tc>
        <w:tc>
          <w:tcPr>
            <w:tcW w:w="2557" w:type="dxa"/>
            <w:shd w:val="clear" w:color="auto" w:fill="auto"/>
          </w:tcPr>
          <w:p>
            <w:pPr>
              <w:pStyle w:val="178"/>
              <w:rPr>
                <w:rFonts w:ascii="Times New Roman"/>
              </w:rPr>
            </w:pPr>
            <w:r>
              <w:rPr>
                <w:rFonts w:ascii="Times New Roman"/>
              </w:rPr>
              <w:t>46.76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丁香</w:t>
            </w:r>
          </w:p>
        </w:tc>
        <w:tc>
          <w:tcPr>
            <w:tcW w:w="3112" w:type="dxa"/>
            <w:shd w:val="clear" w:color="auto" w:fill="auto"/>
            <w:vAlign w:val="center"/>
          </w:tcPr>
          <w:p>
            <w:pPr>
              <w:pStyle w:val="178"/>
              <w:rPr>
                <w:rFonts w:ascii="Times New Roman"/>
              </w:rPr>
            </w:pPr>
            <w:r>
              <w:rPr>
                <w:rFonts w:ascii="Times New Roman"/>
              </w:rPr>
              <w:t>0.319</w:t>
            </w:r>
          </w:p>
        </w:tc>
        <w:tc>
          <w:tcPr>
            <w:tcW w:w="2557" w:type="dxa"/>
            <w:shd w:val="clear" w:color="auto" w:fill="auto"/>
          </w:tcPr>
          <w:p>
            <w:pPr>
              <w:pStyle w:val="178"/>
              <w:rPr>
                <w:rFonts w:ascii="Times New Roman"/>
              </w:rPr>
            </w:pPr>
            <w:r>
              <w:rPr>
                <w:rFonts w:ascii="Times New Roman"/>
              </w:rPr>
              <w:t>47.16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藏锦鸡儿</w:t>
            </w:r>
          </w:p>
        </w:tc>
        <w:tc>
          <w:tcPr>
            <w:tcW w:w="3112" w:type="dxa"/>
            <w:shd w:val="clear" w:color="auto" w:fill="auto"/>
            <w:vAlign w:val="center"/>
          </w:tcPr>
          <w:p>
            <w:pPr>
              <w:pStyle w:val="178"/>
              <w:rPr>
                <w:rFonts w:ascii="Times New Roman"/>
              </w:rPr>
            </w:pPr>
            <w:r>
              <w:rPr>
                <w:rFonts w:ascii="Times New Roman"/>
              </w:rPr>
              <w:t>0.361</w:t>
            </w:r>
          </w:p>
        </w:tc>
        <w:tc>
          <w:tcPr>
            <w:tcW w:w="2557" w:type="dxa"/>
            <w:shd w:val="clear" w:color="auto" w:fill="auto"/>
          </w:tcPr>
          <w:p>
            <w:pPr>
              <w:pStyle w:val="178"/>
              <w:rPr>
                <w:rFonts w:ascii="Times New Roman"/>
              </w:rPr>
            </w:pPr>
            <w:r>
              <w:rPr>
                <w:rFonts w:ascii="Times New Roman"/>
              </w:rPr>
              <w:t>50.91</w:t>
            </w:r>
          </w:p>
        </w:tc>
      </w:tr>
    </w:tbl>
    <w:p>
      <w:pPr>
        <w:pStyle w:val="56"/>
        <w:ind w:firstLine="420"/>
      </w:pPr>
      <w:r>
        <w:rPr>
          <w:rFonts w:hint="eastAsia"/>
        </w:rPr>
        <w:t>草本层本地参数见表A</w:t>
      </w:r>
      <w:r>
        <w:t>.3</w:t>
      </w:r>
      <w:r>
        <w:rPr>
          <w:rFonts w:hint="eastAsia"/>
        </w:rPr>
        <w:t>。</w:t>
      </w:r>
    </w:p>
    <w:p>
      <w:pPr>
        <w:pStyle w:val="77"/>
        <w:spacing w:before="156" w:after="156"/>
      </w:pPr>
      <w:r>
        <w:rPr>
          <w:rFonts w:hint="eastAsia"/>
        </w:rPr>
        <w:t>草本层本地参数</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255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优势树种</w:t>
            </w:r>
          </w:p>
        </w:tc>
        <w:tc>
          <w:tcPr>
            <w:tcW w:w="3112"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草本层生物量（kg/m</w:t>
            </w:r>
            <w:r>
              <w:rPr>
                <w:rFonts w:ascii="Times New Roman"/>
                <w:vertAlign w:val="superscript"/>
              </w:rPr>
              <w:t>2</w:t>
            </w:r>
            <w:r>
              <w:rPr>
                <w:rFonts w:ascii="Times New Roman"/>
              </w:rPr>
              <w:t>）</w:t>
            </w:r>
          </w:p>
        </w:tc>
        <w:tc>
          <w:tcPr>
            <w:tcW w:w="2557"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草本含碳率(%)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vAlign w:val="center"/>
          </w:tcPr>
          <w:p>
            <w:pPr>
              <w:pStyle w:val="178"/>
              <w:rPr>
                <w:rFonts w:ascii="Times New Roman"/>
              </w:rPr>
            </w:pPr>
            <w:r>
              <w:rPr>
                <w:rFonts w:ascii="Times New Roman"/>
              </w:rPr>
              <w:t>樟子松</w:t>
            </w:r>
          </w:p>
        </w:tc>
        <w:tc>
          <w:tcPr>
            <w:tcW w:w="3112" w:type="dxa"/>
            <w:tcBorders>
              <w:top w:val="single" w:color="auto" w:sz="8" w:space="0"/>
            </w:tcBorders>
            <w:shd w:val="clear" w:color="auto" w:fill="auto"/>
            <w:vAlign w:val="center"/>
          </w:tcPr>
          <w:p>
            <w:pPr>
              <w:pStyle w:val="178"/>
              <w:rPr>
                <w:rFonts w:ascii="Times New Roman"/>
              </w:rPr>
            </w:pPr>
            <w:r>
              <w:rPr>
                <w:rFonts w:ascii="Times New Roman"/>
              </w:rPr>
              <w:t>0.045</w:t>
            </w:r>
          </w:p>
        </w:tc>
        <w:tc>
          <w:tcPr>
            <w:tcW w:w="2557" w:type="dxa"/>
            <w:tcBorders>
              <w:top w:val="single" w:color="auto" w:sz="8" w:space="0"/>
            </w:tcBorders>
            <w:shd w:val="clear" w:color="auto" w:fill="auto"/>
          </w:tcPr>
          <w:p>
            <w:pPr>
              <w:pStyle w:val="178"/>
              <w:rPr>
                <w:rFonts w:ascii="Times New Roman"/>
              </w:rPr>
            </w:pPr>
            <w:r>
              <w:rPr>
                <w:rFonts w:ascii="Times New Roman"/>
              </w:rPr>
              <w:t>45.02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侧柏</w:t>
            </w:r>
          </w:p>
        </w:tc>
        <w:tc>
          <w:tcPr>
            <w:tcW w:w="3112" w:type="dxa"/>
            <w:shd w:val="clear" w:color="auto" w:fill="auto"/>
            <w:vAlign w:val="center"/>
          </w:tcPr>
          <w:p>
            <w:pPr>
              <w:pStyle w:val="178"/>
              <w:rPr>
                <w:rFonts w:ascii="Times New Roman"/>
              </w:rPr>
            </w:pPr>
            <w:r>
              <w:rPr>
                <w:rFonts w:ascii="Times New Roman"/>
              </w:rPr>
              <w:t>0.041</w:t>
            </w:r>
          </w:p>
        </w:tc>
        <w:tc>
          <w:tcPr>
            <w:tcW w:w="2557" w:type="dxa"/>
            <w:shd w:val="clear" w:color="auto" w:fill="auto"/>
          </w:tcPr>
          <w:p>
            <w:pPr>
              <w:pStyle w:val="178"/>
              <w:rPr>
                <w:rFonts w:ascii="Times New Roman"/>
              </w:rPr>
            </w:pPr>
            <w:r>
              <w:rPr>
                <w:rFonts w:ascii="Times New Roman"/>
              </w:rPr>
              <w:t>47.16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山杨</w:t>
            </w:r>
          </w:p>
        </w:tc>
        <w:tc>
          <w:tcPr>
            <w:tcW w:w="3112" w:type="dxa"/>
            <w:shd w:val="clear" w:color="auto" w:fill="auto"/>
            <w:vAlign w:val="center"/>
          </w:tcPr>
          <w:p>
            <w:pPr>
              <w:pStyle w:val="178"/>
              <w:rPr>
                <w:rFonts w:ascii="Times New Roman"/>
              </w:rPr>
            </w:pPr>
            <w:r>
              <w:rPr>
                <w:rFonts w:ascii="Times New Roman"/>
              </w:rPr>
              <w:t>0.045</w:t>
            </w:r>
          </w:p>
        </w:tc>
        <w:tc>
          <w:tcPr>
            <w:tcW w:w="2557" w:type="dxa"/>
            <w:shd w:val="clear" w:color="auto" w:fill="auto"/>
          </w:tcPr>
          <w:p>
            <w:pPr>
              <w:pStyle w:val="178"/>
              <w:rPr>
                <w:rFonts w:ascii="Times New Roman"/>
              </w:rPr>
            </w:pPr>
            <w:r>
              <w:rPr>
                <w:rFonts w:ascii="Times New Roman"/>
              </w:rPr>
              <w:t>45.53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白桦</w:t>
            </w:r>
          </w:p>
        </w:tc>
        <w:tc>
          <w:tcPr>
            <w:tcW w:w="3112" w:type="dxa"/>
            <w:shd w:val="clear" w:color="auto" w:fill="auto"/>
            <w:vAlign w:val="center"/>
          </w:tcPr>
          <w:p>
            <w:pPr>
              <w:pStyle w:val="178"/>
              <w:rPr>
                <w:rFonts w:ascii="Times New Roman"/>
              </w:rPr>
            </w:pPr>
            <w:r>
              <w:rPr>
                <w:rFonts w:ascii="Times New Roman"/>
              </w:rPr>
              <w:t>0.061</w:t>
            </w:r>
          </w:p>
        </w:tc>
        <w:tc>
          <w:tcPr>
            <w:tcW w:w="2557" w:type="dxa"/>
            <w:shd w:val="clear" w:color="auto" w:fill="auto"/>
          </w:tcPr>
          <w:p>
            <w:pPr>
              <w:pStyle w:val="178"/>
              <w:rPr>
                <w:rFonts w:ascii="Times New Roman"/>
              </w:rPr>
            </w:pPr>
            <w:r>
              <w:rPr>
                <w:rFonts w:ascii="Times New Roman"/>
              </w:rPr>
              <w:t>45.64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油松</w:t>
            </w:r>
          </w:p>
        </w:tc>
        <w:tc>
          <w:tcPr>
            <w:tcW w:w="3112" w:type="dxa"/>
            <w:shd w:val="clear" w:color="auto" w:fill="auto"/>
            <w:vAlign w:val="center"/>
          </w:tcPr>
          <w:p>
            <w:pPr>
              <w:pStyle w:val="178"/>
              <w:rPr>
                <w:rFonts w:ascii="Times New Roman"/>
              </w:rPr>
            </w:pPr>
            <w:r>
              <w:rPr>
                <w:rFonts w:ascii="Times New Roman"/>
              </w:rPr>
              <w:t>0.069</w:t>
            </w:r>
          </w:p>
        </w:tc>
        <w:tc>
          <w:tcPr>
            <w:tcW w:w="2557" w:type="dxa"/>
            <w:shd w:val="clear" w:color="auto" w:fill="auto"/>
          </w:tcPr>
          <w:p>
            <w:pPr>
              <w:pStyle w:val="178"/>
              <w:rPr>
                <w:rFonts w:ascii="Times New Roman"/>
              </w:rPr>
            </w:pPr>
            <w:r>
              <w:rPr>
                <w:rFonts w:ascii="Times New Roman"/>
              </w:rPr>
              <w:t>47.69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榆树</w:t>
            </w:r>
          </w:p>
        </w:tc>
        <w:tc>
          <w:tcPr>
            <w:tcW w:w="3112" w:type="dxa"/>
            <w:shd w:val="clear" w:color="auto" w:fill="auto"/>
            <w:vAlign w:val="center"/>
          </w:tcPr>
          <w:p>
            <w:pPr>
              <w:pStyle w:val="178"/>
              <w:rPr>
                <w:rFonts w:ascii="Times New Roman"/>
              </w:rPr>
            </w:pPr>
            <w:r>
              <w:rPr>
                <w:rFonts w:ascii="Times New Roman"/>
              </w:rPr>
              <w:t>0.047</w:t>
            </w:r>
          </w:p>
        </w:tc>
        <w:tc>
          <w:tcPr>
            <w:tcW w:w="2557" w:type="dxa"/>
            <w:shd w:val="clear" w:color="auto" w:fill="auto"/>
          </w:tcPr>
          <w:p>
            <w:pPr>
              <w:pStyle w:val="178"/>
              <w:rPr>
                <w:rFonts w:ascii="Times New Roman"/>
              </w:rPr>
            </w:pPr>
            <w:r>
              <w:rPr>
                <w:rFonts w:ascii="Times New Roman"/>
              </w:rPr>
              <w:t>42.67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圆柏</w:t>
            </w:r>
          </w:p>
        </w:tc>
        <w:tc>
          <w:tcPr>
            <w:tcW w:w="3112" w:type="dxa"/>
            <w:shd w:val="clear" w:color="auto" w:fill="auto"/>
            <w:vAlign w:val="center"/>
          </w:tcPr>
          <w:p>
            <w:pPr>
              <w:pStyle w:val="178"/>
              <w:rPr>
                <w:rFonts w:ascii="Times New Roman"/>
              </w:rPr>
            </w:pPr>
            <w:r>
              <w:rPr>
                <w:rFonts w:ascii="Times New Roman"/>
              </w:rPr>
              <w:t>0.074</w:t>
            </w:r>
          </w:p>
        </w:tc>
        <w:tc>
          <w:tcPr>
            <w:tcW w:w="2557" w:type="dxa"/>
            <w:shd w:val="clear" w:color="auto" w:fill="auto"/>
          </w:tcPr>
          <w:p>
            <w:pPr>
              <w:pStyle w:val="178"/>
              <w:rPr>
                <w:rFonts w:ascii="Times New Roman"/>
              </w:rPr>
            </w:pPr>
            <w:r>
              <w:rPr>
                <w:rFonts w:ascii="Times New Roman"/>
              </w:rPr>
              <w:t>46.83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沙棘</w:t>
            </w:r>
          </w:p>
        </w:tc>
        <w:tc>
          <w:tcPr>
            <w:tcW w:w="3112" w:type="dxa"/>
            <w:shd w:val="clear" w:color="auto" w:fill="auto"/>
            <w:vAlign w:val="center"/>
          </w:tcPr>
          <w:p>
            <w:pPr>
              <w:pStyle w:val="178"/>
              <w:rPr>
                <w:rFonts w:ascii="Times New Roman"/>
              </w:rPr>
            </w:pPr>
            <w:r>
              <w:rPr>
                <w:rFonts w:ascii="Times New Roman"/>
              </w:rPr>
              <w:t>0.049</w:t>
            </w:r>
          </w:p>
        </w:tc>
        <w:tc>
          <w:tcPr>
            <w:tcW w:w="2557" w:type="dxa"/>
            <w:shd w:val="clear" w:color="auto" w:fill="auto"/>
          </w:tcPr>
          <w:p>
            <w:pPr>
              <w:pStyle w:val="178"/>
              <w:rPr>
                <w:rFonts w:ascii="Times New Roman"/>
              </w:rPr>
            </w:pPr>
            <w:r>
              <w:rPr>
                <w:rFonts w:ascii="Times New Roman"/>
              </w:rPr>
              <w:t>44.4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叉子圆柏</w:t>
            </w:r>
          </w:p>
        </w:tc>
        <w:tc>
          <w:tcPr>
            <w:tcW w:w="3112" w:type="dxa"/>
            <w:shd w:val="clear" w:color="auto" w:fill="auto"/>
            <w:vAlign w:val="center"/>
          </w:tcPr>
          <w:p>
            <w:pPr>
              <w:pStyle w:val="178"/>
              <w:rPr>
                <w:rFonts w:ascii="Times New Roman"/>
              </w:rPr>
            </w:pPr>
            <w:r>
              <w:rPr>
                <w:rFonts w:ascii="Times New Roman"/>
              </w:rPr>
              <w:t>0.051</w:t>
            </w:r>
          </w:p>
        </w:tc>
        <w:tc>
          <w:tcPr>
            <w:tcW w:w="2557" w:type="dxa"/>
            <w:shd w:val="clear" w:color="auto" w:fill="auto"/>
          </w:tcPr>
          <w:p>
            <w:pPr>
              <w:pStyle w:val="178"/>
              <w:rPr>
                <w:rFonts w:ascii="Times New Roman"/>
              </w:rPr>
            </w:pPr>
            <w:r>
              <w:rPr>
                <w:rFonts w:ascii="Times New Roman"/>
              </w:rPr>
              <w:t>48.54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虎榛子</w:t>
            </w:r>
          </w:p>
        </w:tc>
        <w:tc>
          <w:tcPr>
            <w:tcW w:w="3112" w:type="dxa"/>
            <w:shd w:val="clear" w:color="auto" w:fill="auto"/>
            <w:vAlign w:val="center"/>
          </w:tcPr>
          <w:p>
            <w:pPr>
              <w:pStyle w:val="178"/>
              <w:rPr>
                <w:rFonts w:ascii="Times New Roman"/>
              </w:rPr>
            </w:pPr>
            <w:r>
              <w:rPr>
                <w:rFonts w:ascii="Times New Roman"/>
              </w:rPr>
              <w:t>0.059</w:t>
            </w:r>
          </w:p>
        </w:tc>
        <w:tc>
          <w:tcPr>
            <w:tcW w:w="2557" w:type="dxa"/>
            <w:shd w:val="clear" w:color="auto" w:fill="auto"/>
          </w:tcPr>
          <w:p>
            <w:pPr>
              <w:pStyle w:val="178"/>
              <w:rPr>
                <w:rFonts w:ascii="Times New Roman"/>
              </w:rPr>
            </w:pPr>
            <w:r>
              <w:rPr>
                <w:rFonts w:ascii="Times New Roman"/>
              </w:rPr>
              <w:t>46.74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蒙古莸</w:t>
            </w:r>
          </w:p>
        </w:tc>
        <w:tc>
          <w:tcPr>
            <w:tcW w:w="3112" w:type="dxa"/>
            <w:shd w:val="clear" w:color="auto" w:fill="auto"/>
            <w:vAlign w:val="center"/>
          </w:tcPr>
          <w:p>
            <w:pPr>
              <w:pStyle w:val="178"/>
              <w:rPr>
                <w:rFonts w:ascii="Times New Roman"/>
              </w:rPr>
            </w:pPr>
            <w:r>
              <w:rPr>
                <w:rFonts w:ascii="Times New Roman"/>
              </w:rPr>
              <w:t>0.021</w:t>
            </w:r>
          </w:p>
        </w:tc>
        <w:tc>
          <w:tcPr>
            <w:tcW w:w="2557" w:type="dxa"/>
            <w:shd w:val="clear" w:color="auto" w:fill="auto"/>
          </w:tcPr>
          <w:p>
            <w:pPr>
              <w:pStyle w:val="178"/>
              <w:rPr>
                <w:rFonts w:ascii="Times New Roman"/>
              </w:rPr>
            </w:pPr>
            <w:r>
              <w:rPr>
                <w:rFonts w:ascii="Times New Roman"/>
              </w:rPr>
              <w:t>46.53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土庄绣线菊</w:t>
            </w:r>
          </w:p>
        </w:tc>
        <w:tc>
          <w:tcPr>
            <w:tcW w:w="3112" w:type="dxa"/>
            <w:shd w:val="clear" w:color="auto" w:fill="auto"/>
            <w:vAlign w:val="center"/>
          </w:tcPr>
          <w:p>
            <w:pPr>
              <w:pStyle w:val="178"/>
              <w:rPr>
                <w:rFonts w:ascii="Times New Roman"/>
              </w:rPr>
            </w:pPr>
            <w:r>
              <w:rPr>
                <w:rFonts w:ascii="Times New Roman"/>
              </w:rPr>
              <w:t>0.048</w:t>
            </w:r>
          </w:p>
        </w:tc>
        <w:tc>
          <w:tcPr>
            <w:tcW w:w="2557" w:type="dxa"/>
            <w:shd w:val="clear" w:color="auto" w:fill="auto"/>
          </w:tcPr>
          <w:p>
            <w:pPr>
              <w:pStyle w:val="178"/>
              <w:rPr>
                <w:rFonts w:ascii="Times New Roman"/>
              </w:rPr>
            </w:pPr>
            <w:r>
              <w:rPr>
                <w:rFonts w:ascii="Times New Roman"/>
              </w:rPr>
              <w:t>47.8</w:t>
            </w:r>
          </w:p>
        </w:tc>
      </w:tr>
    </w:tbl>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r>
        <w:rPr>
          <w:rFonts w:hint="eastAsia"/>
        </w:rPr>
        <w:t>枯落物层本地参数见表A</w:t>
      </w:r>
      <w:r>
        <w:t>.4</w:t>
      </w:r>
      <w:r>
        <w:rPr>
          <w:rFonts w:hint="eastAsia"/>
        </w:rPr>
        <w:t>。</w:t>
      </w:r>
    </w:p>
    <w:p>
      <w:pPr>
        <w:pStyle w:val="77"/>
        <w:spacing w:before="156" w:after="156"/>
      </w:pPr>
      <w:r>
        <w:rPr>
          <w:rFonts w:hint="eastAsia"/>
        </w:rPr>
        <w:t>枯落物层本地参数</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255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优势树种</w:t>
            </w:r>
          </w:p>
        </w:tc>
        <w:tc>
          <w:tcPr>
            <w:tcW w:w="3112"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枯落物层生物量（kg/m</w:t>
            </w:r>
            <w:r>
              <w:rPr>
                <w:rFonts w:ascii="Times New Roman"/>
                <w:vertAlign w:val="superscript"/>
              </w:rPr>
              <w:t>2</w:t>
            </w:r>
            <w:r>
              <w:rPr>
                <w:rFonts w:ascii="Times New Roman"/>
              </w:rPr>
              <w:t>）</w:t>
            </w:r>
          </w:p>
        </w:tc>
        <w:tc>
          <w:tcPr>
            <w:tcW w:w="2557"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枯落物层含碳率(%)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vAlign w:val="center"/>
          </w:tcPr>
          <w:p>
            <w:pPr>
              <w:pStyle w:val="178"/>
              <w:rPr>
                <w:rFonts w:ascii="Times New Roman"/>
              </w:rPr>
            </w:pPr>
            <w:r>
              <w:rPr>
                <w:rFonts w:ascii="Times New Roman"/>
              </w:rPr>
              <w:t>侧柏</w:t>
            </w:r>
          </w:p>
        </w:tc>
        <w:tc>
          <w:tcPr>
            <w:tcW w:w="3112" w:type="dxa"/>
            <w:tcBorders>
              <w:top w:val="single" w:color="auto" w:sz="8" w:space="0"/>
            </w:tcBorders>
            <w:shd w:val="clear" w:color="auto" w:fill="auto"/>
            <w:vAlign w:val="center"/>
          </w:tcPr>
          <w:p>
            <w:pPr>
              <w:pStyle w:val="178"/>
              <w:rPr>
                <w:rFonts w:ascii="Times New Roman"/>
              </w:rPr>
            </w:pPr>
            <w:r>
              <w:rPr>
                <w:rFonts w:ascii="Times New Roman"/>
              </w:rPr>
              <w:t>0.161</w:t>
            </w:r>
          </w:p>
        </w:tc>
        <w:tc>
          <w:tcPr>
            <w:tcW w:w="2557" w:type="dxa"/>
            <w:tcBorders>
              <w:top w:val="single" w:color="auto" w:sz="8" w:space="0"/>
            </w:tcBorders>
            <w:shd w:val="clear" w:color="auto" w:fill="auto"/>
          </w:tcPr>
          <w:p>
            <w:pPr>
              <w:pStyle w:val="178"/>
              <w:rPr>
                <w:rFonts w:ascii="Times New Roman"/>
              </w:rPr>
            </w:pPr>
            <w:r>
              <w:rPr>
                <w:rFonts w:ascii="Times New Roman"/>
              </w:rPr>
              <w:t>49.83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云杉</w:t>
            </w:r>
          </w:p>
        </w:tc>
        <w:tc>
          <w:tcPr>
            <w:tcW w:w="3112" w:type="dxa"/>
            <w:shd w:val="clear" w:color="auto" w:fill="auto"/>
            <w:vAlign w:val="center"/>
          </w:tcPr>
          <w:p>
            <w:pPr>
              <w:pStyle w:val="178"/>
              <w:rPr>
                <w:rFonts w:ascii="Times New Roman"/>
              </w:rPr>
            </w:pPr>
            <w:r>
              <w:rPr>
                <w:rFonts w:ascii="Times New Roman"/>
              </w:rPr>
              <w:t>0.044</w:t>
            </w:r>
          </w:p>
        </w:tc>
        <w:tc>
          <w:tcPr>
            <w:tcW w:w="2557" w:type="dxa"/>
            <w:shd w:val="clear" w:color="auto" w:fill="auto"/>
          </w:tcPr>
          <w:p>
            <w:pPr>
              <w:pStyle w:val="178"/>
              <w:rPr>
                <w:rFonts w:ascii="Times New Roman"/>
              </w:rPr>
            </w:pPr>
            <w:r>
              <w:rPr>
                <w:rFonts w:ascii="Times New Roman"/>
              </w:rPr>
              <w:t>51.47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山杨</w:t>
            </w:r>
          </w:p>
        </w:tc>
        <w:tc>
          <w:tcPr>
            <w:tcW w:w="3112" w:type="dxa"/>
            <w:shd w:val="clear" w:color="auto" w:fill="auto"/>
            <w:vAlign w:val="center"/>
          </w:tcPr>
          <w:p>
            <w:pPr>
              <w:pStyle w:val="178"/>
              <w:rPr>
                <w:rFonts w:ascii="Times New Roman"/>
              </w:rPr>
            </w:pPr>
            <w:r>
              <w:rPr>
                <w:rFonts w:ascii="Times New Roman"/>
              </w:rPr>
              <w:t>0.13</w:t>
            </w:r>
          </w:p>
        </w:tc>
        <w:tc>
          <w:tcPr>
            <w:tcW w:w="2557" w:type="dxa"/>
            <w:shd w:val="clear" w:color="auto" w:fill="auto"/>
          </w:tcPr>
          <w:p>
            <w:pPr>
              <w:pStyle w:val="178"/>
              <w:rPr>
                <w:rFonts w:ascii="Times New Roman"/>
              </w:rPr>
            </w:pPr>
            <w:r>
              <w:rPr>
                <w:rFonts w:ascii="Times New Roman"/>
              </w:rPr>
              <w:t>44.55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白桦</w:t>
            </w:r>
          </w:p>
        </w:tc>
        <w:tc>
          <w:tcPr>
            <w:tcW w:w="3112" w:type="dxa"/>
            <w:shd w:val="clear" w:color="auto" w:fill="auto"/>
            <w:vAlign w:val="center"/>
          </w:tcPr>
          <w:p>
            <w:pPr>
              <w:pStyle w:val="178"/>
              <w:rPr>
                <w:rFonts w:ascii="Times New Roman"/>
              </w:rPr>
            </w:pPr>
            <w:r>
              <w:rPr>
                <w:rFonts w:ascii="Times New Roman"/>
              </w:rPr>
              <w:t>0.134</w:t>
            </w:r>
          </w:p>
        </w:tc>
        <w:tc>
          <w:tcPr>
            <w:tcW w:w="2557" w:type="dxa"/>
            <w:shd w:val="clear" w:color="auto" w:fill="auto"/>
          </w:tcPr>
          <w:p>
            <w:pPr>
              <w:pStyle w:val="178"/>
              <w:rPr>
                <w:rFonts w:ascii="Times New Roman"/>
              </w:rPr>
            </w:pPr>
            <w:r>
              <w:rPr>
                <w:rFonts w:ascii="Times New Roman"/>
              </w:rPr>
              <w:t>48.45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油松</w:t>
            </w:r>
          </w:p>
        </w:tc>
        <w:tc>
          <w:tcPr>
            <w:tcW w:w="3112" w:type="dxa"/>
            <w:shd w:val="clear" w:color="auto" w:fill="auto"/>
            <w:vAlign w:val="center"/>
          </w:tcPr>
          <w:p>
            <w:pPr>
              <w:pStyle w:val="178"/>
              <w:rPr>
                <w:rFonts w:ascii="Times New Roman"/>
              </w:rPr>
            </w:pPr>
            <w:r>
              <w:rPr>
                <w:rFonts w:ascii="Times New Roman"/>
              </w:rPr>
              <w:t>0.239</w:t>
            </w:r>
          </w:p>
        </w:tc>
        <w:tc>
          <w:tcPr>
            <w:tcW w:w="2557" w:type="dxa"/>
            <w:shd w:val="clear" w:color="auto" w:fill="auto"/>
          </w:tcPr>
          <w:p>
            <w:pPr>
              <w:pStyle w:val="178"/>
              <w:rPr>
                <w:rFonts w:ascii="Times New Roman"/>
              </w:rPr>
            </w:pPr>
            <w:r>
              <w:rPr>
                <w:rFonts w:ascii="Times New Roman"/>
              </w:rPr>
              <w:t>46.99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圆柏</w:t>
            </w:r>
          </w:p>
        </w:tc>
        <w:tc>
          <w:tcPr>
            <w:tcW w:w="3112" w:type="dxa"/>
            <w:shd w:val="clear" w:color="auto" w:fill="auto"/>
            <w:vAlign w:val="center"/>
          </w:tcPr>
          <w:p>
            <w:pPr>
              <w:pStyle w:val="178"/>
              <w:rPr>
                <w:rFonts w:ascii="Times New Roman"/>
              </w:rPr>
            </w:pPr>
            <w:r>
              <w:rPr>
                <w:rFonts w:ascii="Times New Roman"/>
              </w:rPr>
              <w:t>0.274</w:t>
            </w:r>
          </w:p>
        </w:tc>
        <w:tc>
          <w:tcPr>
            <w:tcW w:w="2557" w:type="dxa"/>
            <w:shd w:val="clear" w:color="auto" w:fill="auto"/>
          </w:tcPr>
          <w:p>
            <w:pPr>
              <w:pStyle w:val="178"/>
              <w:rPr>
                <w:rFonts w:ascii="Times New Roman"/>
              </w:rPr>
            </w:pPr>
            <w:r>
              <w:rPr>
                <w:rFonts w:ascii="Times New Roman"/>
              </w:rPr>
              <w:t>49.99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柳树</w:t>
            </w:r>
          </w:p>
        </w:tc>
        <w:tc>
          <w:tcPr>
            <w:tcW w:w="3112" w:type="dxa"/>
            <w:shd w:val="clear" w:color="auto" w:fill="auto"/>
            <w:vAlign w:val="center"/>
          </w:tcPr>
          <w:p>
            <w:pPr>
              <w:pStyle w:val="178"/>
              <w:rPr>
                <w:rFonts w:ascii="Times New Roman"/>
              </w:rPr>
            </w:pPr>
            <w:r>
              <w:rPr>
                <w:rFonts w:ascii="Times New Roman"/>
              </w:rPr>
              <w:t>0.091</w:t>
            </w:r>
          </w:p>
        </w:tc>
        <w:tc>
          <w:tcPr>
            <w:tcW w:w="2557" w:type="dxa"/>
            <w:shd w:val="clear" w:color="auto" w:fill="auto"/>
          </w:tcPr>
          <w:p>
            <w:pPr>
              <w:pStyle w:val="178"/>
              <w:rPr>
                <w:rFonts w:ascii="Times New Roman"/>
              </w:rPr>
            </w:pPr>
            <w:r>
              <w:rPr>
                <w:rFonts w:ascii="Times New Roman"/>
              </w:rPr>
              <w:t>47.72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蒙古扁桃</w:t>
            </w:r>
          </w:p>
        </w:tc>
        <w:tc>
          <w:tcPr>
            <w:tcW w:w="3112" w:type="dxa"/>
            <w:shd w:val="clear" w:color="auto" w:fill="auto"/>
            <w:vAlign w:val="center"/>
          </w:tcPr>
          <w:p>
            <w:pPr>
              <w:pStyle w:val="178"/>
              <w:rPr>
                <w:rFonts w:ascii="Times New Roman"/>
              </w:rPr>
            </w:pPr>
            <w:r>
              <w:rPr>
                <w:rFonts w:ascii="Times New Roman"/>
              </w:rPr>
              <w:t>0.061</w:t>
            </w:r>
          </w:p>
        </w:tc>
        <w:tc>
          <w:tcPr>
            <w:tcW w:w="2557" w:type="dxa"/>
            <w:shd w:val="clear" w:color="auto" w:fill="auto"/>
          </w:tcPr>
          <w:p>
            <w:pPr>
              <w:pStyle w:val="178"/>
              <w:rPr>
                <w:rFonts w:ascii="Times New Roman"/>
              </w:rPr>
            </w:pPr>
            <w:r>
              <w:rPr>
                <w:rFonts w:ascii="Times New Roman"/>
              </w:rPr>
              <w:t>47.54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黄刺玫</w:t>
            </w:r>
          </w:p>
        </w:tc>
        <w:tc>
          <w:tcPr>
            <w:tcW w:w="3112" w:type="dxa"/>
            <w:shd w:val="clear" w:color="auto" w:fill="auto"/>
            <w:vAlign w:val="center"/>
          </w:tcPr>
          <w:p>
            <w:pPr>
              <w:pStyle w:val="178"/>
              <w:rPr>
                <w:rFonts w:ascii="Times New Roman"/>
              </w:rPr>
            </w:pPr>
            <w:r>
              <w:rPr>
                <w:rFonts w:ascii="Times New Roman"/>
              </w:rPr>
              <w:t>0.054</w:t>
            </w:r>
          </w:p>
        </w:tc>
        <w:tc>
          <w:tcPr>
            <w:tcW w:w="2557" w:type="dxa"/>
            <w:shd w:val="clear" w:color="auto" w:fill="auto"/>
          </w:tcPr>
          <w:p>
            <w:pPr>
              <w:pStyle w:val="178"/>
              <w:rPr>
                <w:rFonts w:ascii="Times New Roman"/>
              </w:rPr>
            </w:pPr>
            <w:r>
              <w:rPr>
                <w:rFonts w:ascii="Times New Roman"/>
              </w:rPr>
              <w:t>45.29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沙棘</w:t>
            </w:r>
          </w:p>
        </w:tc>
        <w:tc>
          <w:tcPr>
            <w:tcW w:w="3112" w:type="dxa"/>
            <w:shd w:val="clear" w:color="auto" w:fill="auto"/>
            <w:vAlign w:val="center"/>
          </w:tcPr>
          <w:p>
            <w:pPr>
              <w:pStyle w:val="178"/>
              <w:rPr>
                <w:rFonts w:ascii="Times New Roman"/>
              </w:rPr>
            </w:pPr>
            <w:r>
              <w:rPr>
                <w:rFonts w:ascii="Times New Roman"/>
              </w:rPr>
              <w:t>0.069</w:t>
            </w:r>
          </w:p>
        </w:tc>
        <w:tc>
          <w:tcPr>
            <w:tcW w:w="2557" w:type="dxa"/>
            <w:shd w:val="clear" w:color="auto" w:fill="auto"/>
          </w:tcPr>
          <w:p>
            <w:pPr>
              <w:pStyle w:val="178"/>
              <w:rPr>
                <w:rFonts w:ascii="Times New Roman"/>
              </w:rPr>
            </w:pPr>
            <w:r>
              <w:rPr>
                <w:rFonts w:ascii="Times New Roman"/>
              </w:rPr>
              <w:t>47.36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土庄绣线菊</w:t>
            </w:r>
          </w:p>
        </w:tc>
        <w:tc>
          <w:tcPr>
            <w:tcW w:w="3112" w:type="dxa"/>
            <w:shd w:val="clear" w:color="auto" w:fill="auto"/>
            <w:vAlign w:val="center"/>
          </w:tcPr>
          <w:p>
            <w:pPr>
              <w:pStyle w:val="178"/>
              <w:rPr>
                <w:rFonts w:ascii="Times New Roman"/>
              </w:rPr>
            </w:pPr>
            <w:r>
              <w:rPr>
                <w:rFonts w:ascii="Times New Roman"/>
              </w:rPr>
              <w:t>0.061</w:t>
            </w:r>
          </w:p>
        </w:tc>
        <w:tc>
          <w:tcPr>
            <w:tcW w:w="2557" w:type="dxa"/>
            <w:shd w:val="clear" w:color="auto" w:fill="auto"/>
          </w:tcPr>
          <w:p>
            <w:pPr>
              <w:pStyle w:val="178"/>
              <w:rPr>
                <w:rFonts w:ascii="Times New Roman"/>
              </w:rPr>
            </w:pPr>
            <w:r>
              <w:rPr>
                <w:rFonts w:ascii="Times New Roman"/>
              </w:rPr>
              <w:t>46.78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丁香</w:t>
            </w:r>
          </w:p>
        </w:tc>
        <w:tc>
          <w:tcPr>
            <w:tcW w:w="3112" w:type="dxa"/>
            <w:shd w:val="clear" w:color="auto" w:fill="auto"/>
            <w:vAlign w:val="center"/>
          </w:tcPr>
          <w:p>
            <w:pPr>
              <w:pStyle w:val="178"/>
              <w:rPr>
                <w:rFonts w:ascii="Times New Roman"/>
              </w:rPr>
            </w:pPr>
            <w:r>
              <w:rPr>
                <w:rFonts w:ascii="Times New Roman"/>
              </w:rPr>
              <w:t>0.056</w:t>
            </w:r>
          </w:p>
        </w:tc>
        <w:tc>
          <w:tcPr>
            <w:tcW w:w="2557" w:type="dxa"/>
            <w:shd w:val="clear" w:color="auto" w:fill="auto"/>
          </w:tcPr>
          <w:p>
            <w:pPr>
              <w:pStyle w:val="178"/>
              <w:rPr>
                <w:rFonts w:ascii="Times New Roman"/>
              </w:rPr>
            </w:pPr>
            <w:r>
              <w:rPr>
                <w:rFonts w:ascii="Times New Roman"/>
              </w:rPr>
              <w:t>45.44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藏锦鸡儿</w:t>
            </w:r>
          </w:p>
        </w:tc>
        <w:tc>
          <w:tcPr>
            <w:tcW w:w="3112" w:type="dxa"/>
            <w:shd w:val="clear" w:color="auto" w:fill="auto"/>
            <w:vAlign w:val="center"/>
          </w:tcPr>
          <w:p>
            <w:pPr>
              <w:pStyle w:val="178"/>
              <w:rPr>
                <w:rFonts w:ascii="Times New Roman"/>
              </w:rPr>
            </w:pPr>
            <w:r>
              <w:rPr>
                <w:rFonts w:ascii="Times New Roman"/>
              </w:rPr>
              <w:t>0.06</w:t>
            </w:r>
          </w:p>
        </w:tc>
        <w:tc>
          <w:tcPr>
            <w:tcW w:w="2557" w:type="dxa"/>
            <w:shd w:val="clear" w:color="auto" w:fill="auto"/>
          </w:tcPr>
          <w:p>
            <w:pPr>
              <w:pStyle w:val="178"/>
              <w:rPr>
                <w:rFonts w:ascii="Times New Roman"/>
              </w:rPr>
            </w:pPr>
            <w:r>
              <w:rPr>
                <w:rFonts w:ascii="Times New Roman"/>
              </w:rPr>
              <w:t>50.91</w:t>
            </w:r>
          </w:p>
        </w:tc>
      </w:tr>
    </w:tbl>
    <w:p>
      <w:pPr>
        <w:pStyle w:val="56"/>
        <w:ind w:firstLine="420"/>
      </w:pPr>
    </w:p>
    <w:p>
      <w:pPr>
        <w:pStyle w:val="56"/>
        <w:ind w:firstLine="420"/>
      </w:pPr>
      <w:r>
        <w:rPr>
          <w:rFonts w:hint="eastAsia"/>
        </w:rPr>
        <w:t>土壤层本地参数见表A</w:t>
      </w:r>
      <w:r>
        <w:t>.5</w:t>
      </w:r>
      <w:r>
        <w:rPr>
          <w:rFonts w:hint="eastAsia"/>
        </w:rPr>
        <w:t>。</w:t>
      </w:r>
    </w:p>
    <w:p>
      <w:pPr>
        <w:pStyle w:val="77"/>
        <w:spacing w:before="156" w:after="156"/>
      </w:pPr>
      <w:r>
        <w:rPr>
          <w:rFonts w:hint="eastAsia"/>
        </w:rPr>
        <w:t>土壤层本地参数</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75"/>
        <w:gridCol w:w="1984"/>
        <w:gridCol w:w="2143"/>
        <w:gridCol w:w="225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75"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土壤类型</w:t>
            </w:r>
          </w:p>
        </w:tc>
        <w:tc>
          <w:tcPr>
            <w:tcW w:w="1984"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有机碳含量（g/kg）</w:t>
            </w:r>
          </w:p>
        </w:tc>
        <w:tc>
          <w:tcPr>
            <w:tcW w:w="2143" w:type="dxa"/>
            <w:tcBorders>
              <w:top w:val="single" w:color="auto" w:sz="8" w:space="0"/>
              <w:bottom w:val="single" w:color="auto" w:sz="8" w:space="0"/>
            </w:tcBorders>
          </w:tcPr>
          <w:p>
            <w:pPr>
              <w:pStyle w:val="178"/>
              <w:rPr>
                <w:rFonts w:ascii="Times New Roman"/>
              </w:rPr>
            </w:pPr>
            <w:r>
              <w:rPr>
                <w:rFonts w:ascii="Times New Roman"/>
              </w:rPr>
              <w:t>土壤厚度(m)</w:t>
            </w:r>
          </w:p>
        </w:tc>
        <w:tc>
          <w:tcPr>
            <w:tcW w:w="2252" w:type="dxa"/>
            <w:tcBorders>
              <w:top w:val="single" w:color="auto" w:sz="8" w:space="0"/>
              <w:bottom w:val="single" w:color="auto" w:sz="8" w:space="0"/>
            </w:tcBorders>
          </w:tcPr>
          <w:p>
            <w:pPr>
              <w:pStyle w:val="178"/>
              <w:rPr>
                <w:rFonts w:ascii="Times New Roman"/>
              </w:rPr>
            </w:pPr>
            <w:r>
              <w:rPr>
                <w:rFonts w:ascii="Times New Roman"/>
              </w:rPr>
              <w:t>碳密度（g/cm</w:t>
            </w:r>
            <w:r>
              <w:rPr>
                <w:rFonts w:ascii="Times New Roman"/>
                <w:vertAlign w:val="superscript"/>
              </w:rPr>
              <w:t>3</w:t>
            </w:r>
            <w:r>
              <w:rPr>
                <w:rFonts w:ascii="Times New Roma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Borders>
              <w:top w:val="single" w:color="auto" w:sz="8" w:space="0"/>
            </w:tcBorders>
            <w:shd w:val="clear" w:color="auto" w:fill="auto"/>
            <w:vAlign w:val="center"/>
          </w:tcPr>
          <w:p>
            <w:pPr>
              <w:pStyle w:val="178"/>
              <w:rPr>
                <w:rFonts w:ascii="Times New Roman"/>
              </w:rPr>
            </w:pPr>
            <w:r>
              <w:rPr>
                <w:rFonts w:ascii="Times New Roman"/>
              </w:rPr>
              <w:t>栗钙土</w:t>
            </w:r>
          </w:p>
        </w:tc>
        <w:tc>
          <w:tcPr>
            <w:tcW w:w="1984" w:type="dxa"/>
            <w:tcBorders>
              <w:top w:val="single" w:color="auto" w:sz="8" w:space="0"/>
            </w:tcBorders>
            <w:shd w:val="clear" w:color="auto" w:fill="auto"/>
          </w:tcPr>
          <w:p>
            <w:pPr>
              <w:pStyle w:val="178"/>
              <w:rPr>
                <w:rFonts w:ascii="Times New Roman"/>
              </w:rPr>
            </w:pPr>
            <w:r>
              <w:rPr>
                <w:rFonts w:ascii="Times New Roman"/>
              </w:rPr>
              <w:t>65.0508</w:t>
            </w:r>
          </w:p>
        </w:tc>
        <w:tc>
          <w:tcPr>
            <w:tcW w:w="2143" w:type="dxa"/>
            <w:tcBorders>
              <w:top w:val="single" w:color="auto" w:sz="8" w:space="0"/>
            </w:tcBorders>
          </w:tcPr>
          <w:p>
            <w:pPr>
              <w:pStyle w:val="178"/>
              <w:rPr>
                <w:rFonts w:ascii="Times New Roman"/>
              </w:rPr>
            </w:pPr>
            <w:r>
              <w:rPr>
                <w:rFonts w:ascii="Times New Roman"/>
              </w:rPr>
              <w:t>0.4</w:t>
            </w:r>
          </w:p>
        </w:tc>
        <w:tc>
          <w:tcPr>
            <w:tcW w:w="2252" w:type="dxa"/>
            <w:tcBorders>
              <w:top w:val="single" w:color="auto" w:sz="8" w:space="0"/>
            </w:tcBorders>
          </w:tcPr>
          <w:p>
            <w:pPr>
              <w:pStyle w:val="178"/>
              <w:rPr>
                <w:rFonts w:ascii="Times New Roman"/>
              </w:rPr>
            </w:pPr>
            <w:r>
              <w:rPr>
                <w:rFonts w:ascii="Times New Roman"/>
              </w:rPr>
              <w:t>26.02032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shd w:val="clear" w:color="auto" w:fill="auto"/>
            <w:vAlign w:val="center"/>
          </w:tcPr>
          <w:p>
            <w:pPr>
              <w:pStyle w:val="178"/>
              <w:rPr>
                <w:rFonts w:ascii="Times New Roman"/>
              </w:rPr>
            </w:pPr>
            <w:r>
              <w:rPr>
                <w:rFonts w:ascii="Times New Roman"/>
              </w:rPr>
              <w:t>棕钙土</w:t>
            </w:r>
          </w:p>
        </w:tc>
        <w:tc>
          <w:tcPr>
            <w:tcW w:w="1984" w:type="dxa"/>
            <w:shd w:val="clear" w:color="auto" w:fill="auto"/>
          </w:tcPr>
          <w:p>
            <w:pPr>
              <w:pStyle w:val="178"/>
              <w:rPr>
                <w:rFonts w:ascii="Times New Roman"/>
              </w:rPr>
            </w:pPr>
            <w:r>
              <w:rPr>
                <w:rFonts w:ascii="Times New Roman"/>
              </w:rPr>
              <w:t>38.2075</w:t>
            </w:r>
          </w:p>
        </w:tc>
        <w:tc>
          <w:tcPr>
            <w:tcW w:w="2143" w:type="dxa"/>
          </w:tcPr>
          <w:p>
            <w:pPr>
              <w:pStyle w:val="178"/>
              <w:rPr>
                <w:rFonts w:ascii="Times New Roman"/>
              </w:rPr>
            </w:pPr>
            <w:r>
              <w:rPr>
                <w:rFonts w:ascii="Times New Roman"/>
              </w:rPr>
              <w:t>0.4</w:t>
            </w:r>
          </w:p>
        </w:tc>
        <w:tc>
          <w:tcPr>
            <w:tcW w:w="2252" w:type="dxa"/>
          </w:tcPr>
          <w:p>
            <w:pPr>
              <w:pStyle w:val="178"/>
              <w:rPr>
                <w:rFonts w:ascii="Times New Roman"/>
              </w:rPr>
            </w:pPr>
            <w:r>
              <w:rPr>
                <w:rFonts w:ascii="Times New Roman"/>
              </w:rPr>
              <w:t>15.283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shd w:val="clear" w:color="auto" w:fill="auto"/>
            <w:vAlign w:val="center"/>
          </w:tcPr>
          <w:p>
            <w:pPr>
              <w:pStyle w:val="178"/>
              <w:rPr>
                <w:rFonts w:ascii="Times New Roman"/>
              </w:rPr>
            </w:pPr>
            <w:r>
              <w:rPr>
                <w:rFonts w:ascii="Times New Roman"/>
              </w:rPr>
              <w:t>灰褐土</w:t>
            </w:r>
          </w:p>
        </w:tc>
        <w:tc>
          <w:tcPr>
            <w:tcW w:w="1984" w:type="dxa"/>
            <w:shd w:val="clear" w:color="auto" w:fill="auto"/>
          </w:tcPr>
          <w:p>
            <w:pPr>
              <w:pStyle w:val="178"/>
              <w:rPr>
                <w:rFonts w:ascii="Times New Roman"/>
              </w:rPr>
            </w:pPr>
            <w:r>
              <w:rPr>
                <w:rFonts w:ascii="Times New Roman"/>
              </w:rPr>
              <w:t>63.0475</w:t>
            </w:r>
          </w:p>
        </w:tc>
        <w:tc>
          <w:tcPr>
            <w:tcW w:w="2143" w:type="dxa"/>
          </w:tcPr>
          <w:p>
            <w:pPr>
              <w:pStyle w:val="178"/>
              <w:rPr>
                <w:rFonts w:ascii="Times New Roman"/>
              </w:rPr>
            </w:pPr>
            <w:r>
              <w:rPr>
                <w:rFonts w:ascii="Times New Roman"/>
              </w:rPr>
              <w:t>0.4</w:t>
            </w:r>
          </w:p>
        </w:tc>
        <w:tc>
          <w:tcPr>
            <w:tcW w:w="2252" w:type="dxa"/>
          </w:tcPr>
          <w:p>
            <w:pPr>
              <w:pStyle w:val="178"/>
              <w:rPr>
                <w:rFonts w:ascii="Times New Roman"/>
              </w:rPr>
            </w:pPr>
            <w:r>
              <w:rPr>
                <w:rFonts w:ascii="Times New Roman"/>
              </w:rPr>
              <w:t>25.219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shd w:val="clear" w:color="auto" w:fill="auto"/>
            <w:vAlign w:val="center"/>
          </w:tcPr>
          <w:p>
            <w:pPr>
              <w:pStyle w:val="178"/>
              <w:rPr>
                <w:rFonts w:ascii="Times New Roman"/>
              </w:rPr>
            </w:pPr>
            <w:r>
              <w:rPr>
                <w:rFonts w:ascii="Times New Roman"/>
              </w:rPr>
              <w:t>草甸土</w:t>
            </w:r>
          </w:p>
        </w:tc>
        <w:tc>
          <w:tcPr>
            <w:tcW w:w="1984" w:type="dxa"/>
            <w:shd w:val="clear" w:color="auto" w:fill="auto"/>
          </w:tcPr>
          <w:p>
            <w:pPr>
              <w:pStyle w:val="178"/>
              <w:rPr>
                <w:rFonts w:ascii="Times New Roman"/>
              </w:rPr>
            </w:pPr>
            <w:r>
              <w:rPr>
                <w:rFonts w:ascii="Times New Roman"/>
              </w:rPr>
              <w:t>61.9625</w:t>
            </w:r>
          </w:p>
        </w:tc>
        <w:tc>
          <w:tcPr>
            <w:tcW w:w="2143" w:type="dxa"/>
          </w:tcPr>
          <w:p>
            <w:pPr>
              <w:pStyle w:val="178"/>
              <w:rPr>
                <w:rFonts w:ascii="Times New Roman"/>
              </w:rPr>
            </w:pPr>
            <w:r>
              <w:rPr>
                <w:rFonts w:ascii="Times New Roman"/>
              </w:rPr>
              <w:t>0.3</w:t>
            </w:r>
          </w:p>
        </w:tc>
        <w:tc>
          <w:tcPr>
            <w:tcW w:w="2252" w:type="dxa"/>
          </w:tcPr>
          <w:p>
            <w:pPr>
              <w:pStyle w:val="178"/>
              <w:rPr>
                <w:rFonts w:ascii="Times New Roman"/>
              </w:rPr>
            </w:pPr>
            <w:r>
              <w:rPr>
                <w:rFonts w:ascii="Times New Roman"/>
              </w:rPr>
              <w:t>18.58875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shd w:val="clear" w:color="auto" w:fill="auto"/>
            <w:vAlign w:val="center"/>
          </w:tcPr>
          <w:p>
            <w:pPr>
              <w:pStyle w:val="178"/>
              <w:rPr>
                <w:rFonts w:ascii="Times New Roman"/>
              </w:rPr>
            </w:pPr>
            <w:r>
              <w:rPr>
                <w:rFonts w:ascii="Times New Roman"/>
              </w:rPr>
              <w:t>盐土</w:t>
            </w:r>
          </w:p>
        </w:tc>
        <w:tc>
          <w:tcPr>
            <w:tcW w:w="1984" w:type="dxa"/>
            <w:shd w:val="clear" w:color="auto" w:fill="auto"/>
          </w:tcPr>
          <w:p>
            <w:pPr>
              <w:pStyle w:val="178"/>
              <w:rPr>
                <w:rFonts w:ascii="Times New Roman"/>
              </w:rPr>
            </w:pPr>
            <w:r>
              <w:rPr>
                <w:rFonts w:ascii="Times New Roman"/>
              </w:rPr>
              <w:t>24.48</w:t>
            </w:r>
          </w:p>
        </w:tc>
        <w:tc>
          <w:tcPr>
            <w:tcW w:w="2143" w:type="dxa"/>
          </w:tcPr>
          <w:p>
            <w:pPr>
              <w:pStyle w:val="178"/>
              <w:rPr>
                <w:rFonts w:ascii="Times New Roman"/>
              </w:rPr>
            </w:pPr>
            <w:r>
              <w:rPr>
                <w:rFonts w:ascii="Times New Roman"/>
              </w:rPr>
              <w:t>0.4</w:t>
            </w:r>
          </w:p>
        </w:tc>
        <w:tc>
          <w:tcPr>
            <w:tcW w:w="2252" w:type="dxa"/>
          </w:tcPr>
          <w:p>
            <w:pPr>
              <w:pStyle w:val="178"/>
              <w:rPr>
                <w:rFonts w:ascii="Times New Roman"/>
              </w:rPr>
            </w:pPr>
            <w:r>
              <w:rPr>
                <w:rFonts w:ascii="Times New Roman"/>
              </w:rPr>
              <w:t>9.792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shd w:val="clear" w:color="auto" w:fill="auto"/>
            <w:vAlign w:val="center"/>
          </w:tcPr>
          <w:p>
            <w:pPr>
              <w:pStyle w:val="178"/>
              <w:rPr>
                <w:rFonts w:ascii="Times New Roman"/>
              </w:rPr>
            </w:pPr>
            <w:r>
              <w:rPr>
                <w:rFonts w:ascii="Times New Roman"/>
              </w:rPr>
              <w:t>风沙土</w:t>
            </w:r>
          </w:p>
        </w:tc>
        <w:tc>
          <w:tcPr>
            <w:tcW w:w="1984" w:type="dxa"/>
            <w:shd w:val="clear" w:color="auto" w:fill="auto"/>
          </w:tcPr>
          <w:p>
            <w:pPr>
              <w:pStyle w:val="178"/>
              <w:rPr>
                <w:rFonts w:ascii="Times New Roman"/>
              </w:rPr>
            </w:pPr>
            <w:r>
              <w:rPr>
                <w:rFonts w:ascii="Times New Roman"/>
              </w:rPr>
              <w:t>14.1732</w:t>
            </w:r>
          </w:p>
        </w:tc>
        <w:tc>
          <w:tcPr>
            <w:tcW w:w="2143" w:type="dxa"/>
          </w:tcPr>
          <w:p>
            <w:pPr>
              <w:pStyle w:val="178"/>
              <w:rPr>
                <w:rFonts w:ascii="Times New Roman"/>
              </w:rPr>
            </w:pPr>
            <w:r>
              <w:rPr>
                <w:rFonts w:ascii="Times New Roman"/>
              </w:rPr>
              <w:t>0.4</w:t>
            </w:r>
          </w:p>
        </w:tc>
        <w:tc>
          <w:tcPr>
            <w:tcW w:w="2252" w:type="dxa"/>
          </w:tcPr>
          <w:p>
            <w:pPr>
              <w:pStyle w:val="178"/>
              <w:rPr>
                <w:rFonts w:ascii="Times New Roman"/>
              </w:rPr>
            </w:pPr>
            <w:r>
              <w:rPr>
                <w:rFonts w:ascii="Times New Roman"/>
              </w:rPr>
              <w:t>5.66928</w:t>
            </w:r>
          </w:p>
        </w:tc>
      </w:tr>
      <w:bookmarkEnd w:id="96"/>
    </w:tbl>
    <w:p>
      <w:pPr>
        <w:pStyle w:val="56"/>
        <w:ind w:firstLine="0" w:firstLineChars="0"/>
        <w:jc w:val="center"/>
      </w:pPr>
      <w:bookmarkStart w:id="100"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0"/>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1502/T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1502/T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C5nr0Qwk60wLXlJenoQG4onVeZFaWi+9xPt4n3Ok42At7yNEuPA/+z4c2fMcNPSnmPwN+hXaQvqgXiFrOvuMXg==" w:salt="lK2dJGC/gxqeURUSMmIH7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MwOTFiNjkwNmZkZGViMDMxZGEyNTM1ZWZjMjRlZmIifQ=="/>
  </w:docVars>
  <w:rsids>
    <w:rsidRoot w:val="003A7E3E"/>
    <w:rsid w:val="0000040A"/>
    <w:rsid w:val="00000A94"/>
    <w:rsid w:val="00001972"/>
    <w:rsid w:val="00001D9A"/>
    <w:rsid w:val="00003D3A"/>
    <w:rsid w:val="00007B3A"/>
    <w:rsid w:val="000107E0"/>
    <w:rsid w:val="00011FDE"/>
    <w:rsid w:val="00012FFD"/>
    <w:rsid w:val="00014162"/>
    <w:rsid w:val="00014340"/>
    <w:rsid w:val="0001620B"/>
    <w:rsid w:val="00016A9C"/>
    <w:rsid w:val="00020DC5"/>
    <w:rsid w:val="00022184"/>
    <w:rsid w:val="00022762"/>
    <w:rsid w:val="000238E0"/>
    <w:rsid w:val="000249DB"/>
    <w:rsid w:val="0002595E"/>
    <w:rsid w:val="000303C3"/>
    <w:rsid w:val="00032434"/>
    <w:rsid w:val="000331D3"/>
    <w:rsid w:val="000346A5"/>
    <w:rsid w:val="000359C3"/>
    <w:rsid w:val="00035A7D"/>
    <w:rsid w:val="000365ED"/>
    <w:rsid w:val="0004249A"/>
    <w:rsid w:val="00043282"/>
    <w:rsid w:val="00044286"/>
    <w:rsid w:val="00047F28"/>
    <w:rsid w:val="000503AA"/>
    <w:rsid w:val="000506A1"/>
    <w:rsid w:val="000515DD"/>
    <w:rsid w:val="000515ED"/>
    <w:rsid w:val="0005265A"/>
    <w:rsid w:val="00053036"/>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2A1"/>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655"/>
    <w:rsid w:val="000A7311"/>
    <w:rsid w:val="000B060F"/>
    <w:rsid w:val="000B1592"/>
    <w:rsid w:val="000B1FF2"/>
    <w:rsid w:val="000B3CDA"/>
    <w:rsid w:val="000B6A0B"/>
    <w:rsid w:val="000C0F6C"/>
    <w:rsid w:val="000C11DB"/>
    <w:rsid w:val="000C1492"/>
    <w:rsid w:val="000C2FBD"/>
    <w:rsid w:val="000C4B41"/>
    <w:rsid w:val="000C57D6"/>
    <w:rsid w:val="000C58D8"/>
    <w:rsid w:val="000C6362"/>
    <w:rsid w:val="000C7666"/>
    <w:rsid w:val="000D0A9C"/>
    <w:rsid w:val="000D1795"/>
    <w:rsid w:val="000D329A"/>
    <w:rsid w:val="000D4B9C"/>
    <w:rsid w:val="000D4EB6"/>
    <w:rsid w:val="000D753B"/>
    <w:rsid w:val="000E4C9E"/>
    <w:rsid w:val="000E6FD7"/>
    <w:rsid w:val="000F06E1"/>
    <w:rsid w:val="000F0E3C"/>
    <w:rsid w:val="000F19D5"/>
    <w:rsid w:val="000F442E"/>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6F84"/>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40F"/>
    <w:rsid w:val="001E1B6A"/>
    <w:rsid w:val="001E2484"/>
    <w:rsid w:val="001E3CC4"/>
    <w:rsid w:val="001E45F7"/>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A58"/>
    <w:rsid w:val="00205F2C"/>
    <w:rsid w:val="00210B15"/>
    <w:rsid w:val="002115AE"/>
    <w:rsid w:val="00211ED0"/>
    <w:rsid w:val="002142EA"/>
    <w:rsid w:val="002204BB"/>
    <w:rsid w:val="00221B79"/>
    <w:rsid w:val="00221C6B"/>
    <w:rsid w:val="002253A1"/>
    <w:rsid w:val="00225CF8"/>
    <w:rsid w:val="002278D4"/>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6C1"/>
    <w:rsid w:val="002771AC"/>
    <w:rsid w:val="002800B7"/>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1D7D"/>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09B8"/>
    <w:rsid w:val="002E4D5A"/>
    <w:rsid w:val="002E6326"/>
    <w:rsid w:val="002F30E0"/>
    <w:rsid w:val="002F35E4"/>
    <w:rsid w:val="002F3730"/>
    <w:rsid w:val="002F38E1"/>
    <w:rsid w:val="002F7AF6"/>
    <w:rsid w:val="00300E63"/>
    <w:rsid w:val="00302F5F"/>
    <w:rsid w:val="0030441D"/>
    <w:rsid w:val="00306063"/>
    <w:rsid w:val="00313B85"/>
    <w:rsid w:val="00315D53"/>
    <w:rsid w:val="00317988"/>
    <w:rsid w:val="00322044"/>
    <w:rsid w:val="003221B4"/>
    <w:rsid w:val="0032258D"/>
    <w:rsid w:val="00322E62"/>
    <w:rsid w:val="00324D13"/>
    <w:rsid w:val="00324D2A"/>
    <w:rsid w:val="00324EDD"/>
    <w:rsid w:val="003331E4"/>
    <w:rsid w:val="00333594"/>
    <w:rsid w:val="00336C64"/>
    <w:rsid w:val="00337162"/>
    <w:rsid w:val="0034194F"/>
    <w:rsid w:val="00344605"/>
    <w:rsid w:val="00346735"/>
    <w:rsid w:val="003474AA"/>
    <w:rsid w:val="00350D1D"/>
    <w:rsid w:val="00352C83"/>
    <w:rsid w:val="003615D2"/>
    <w:rsid w:val="0036429C"/>
    <w:rsid w:val="00364A53"/>
    <w:rsid w:val="003654CB"/>
    <w:rsid w:val="00365AA9"/>
    <w:rsid w:val="00365F86"/>
    <w:rsid w:val="00365F87"/>
    <w:rsid w:val="00366E89"/>
    <w:rsid w:val="00367C85"/>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7E3E"/>
    <w:rsid w:val="003B09AD"/>
    <w:rsid w:val="003B19D7"/>
    <w:rsid w:val="003B1F18"/>
    <w:rsid w:val="003B493C"/>
    <w:rsid w:val="003B5BF0"/>
    <w:rsid w:val="003B60BF"/>
    <w:rsid w:val="003B6BE3"/>
    <w:rsid w:val="003C010C"/>
    <w:rsid w:val="003C0A6C"/>
    <w:rsid w:val="003C14F8"/>
    <w:rsid w:val="003C5442"/>
    <w:rsid w:val="003C5A43"/>
    <w:rsid w:val="003C7606"/>
    <w:rsid w:val="003D0519"/>
    <w:rsid w:val="003D0FF6"/>
    <w:rsid w:val="003D262C"/>
    <w:rsid w:val="003D6D61"/>
    <w:rsid w:val="003D79C6"/>
    <w:rsid w:val="003E091D"/>
    <w:rsid w:val="003E1A78"/>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7855"/>
    <w:rsid w:val="00432DAA"/>
    <w:rsid w:val="00434305"/>
    <w:rsid w:val="00435DF7"/>
    <w:rsid w:val="0044083F"/>
    <w:rsid w:val="00441AE7"/>
    <w:rsid w:val="00443681"/>
    <w:rsid w:val="00445574"/>
    <w:rsid w:val="004467FB"/>
    <w:rsid w:val="00452D6B"/>
    <w:rsid w:val="00454484"/>
    <w:rsid w:val="0045517B"/>
    <w:rsid w:val="00460803"/>
    <w:rsid w:val="0046157A"/>
    <w:rsid w:val="00463B77"/>
    <w:rsid w:val="00463C7B"/>
    <w:rsid w:val="004644A6"/>
    <w:rsid w:val="004659BD"/>
    <w:rsid w:val="00470775"/>
    <w:rsid w:val="004746B1"/>
    <w:rsid w:val="0047583F"/>
    <w:rsid w:val="00475DE8"/>
    <w:rsid w:val="00481C44"/>
    <w:rsid w:val="00484936"/>
    <w:rsid w:val="00485C89"/>
    <w:rsid w:val="0048689A"/>
    <w:rsid w:val="00486BE3"/>
    <w:rsid w:val="004905E4"/>
    <w:rsid w:val="00490A89"/>
    <w:rsid w:val="00490AB4"/>
    <w:rsid w:val="00492F02"/>
    <w:rsid w:val="004939AE"/>
    <w:rsid w:val="004A12DF"/>
    <w:rsid w:val="004A17E6"/>
    <w:rsid w:val="004A1BA8"/>
    <w:rsid w:val="004A1F90"/>
    <w:rsid w:val="004A4B57"/>
    <w:rsid w:val="004A63FA"/>
    <w:rsid w:val="004B0272"/>
    <w:rsid w:val="004B2701"/>
    <w:rsid w:val="004B2E1B"/>
    <w:rsid w:val="004B3AA8"/>
    <w:rsid w:val="004B3E93"/>
    <w:rsid w:val="004C1E78"/>
    <w:rsid w:val="004C1FBC"/>
    <w:rsid w:val="004C30FF"/>
    <w:rsid w:val="004C3F1D"/>
    <w:rsid w:val="004C458D"/>
    <w:rsid w:val="004C7556"/>
    <w:rsid w:val="004C7E8B"/>
    <w:rsid w:val="004C7E9D"/>
    <w:rsid w:val="004C7F67"/>
    <w:rsid w:val="004D0769"/>
    <w:rsid w:val="004D076D"/>
    <w:rsid w:val="004D0EF1"/>
    <w:rsid w:val="004D2253"/>
    <w:rsid w:val="004D4406"/>
    <w:rsid w:val="004D7C42"/>
    <w:rsid w:val="004E0465"/>
    <w:rsid w:val="004E127B"/>
    <w:rsid w:val="004E193B"/>
    <w:rsid w:val="004E1C0A"/>
    <w:rsid w:val="004E2B06"/>
    <w:rsid w:val="004E30C5"/>
    <w:rsid w:val="004E4AA5"/>
    <w:rsid w:val="004E4AEE"/>
    <w:rsid w:val="004E59E3"/>
    <w:rsid w:val="004E67C0"/>
    <w:rsid w:val="004F1080"/>
    <w:rsid w:val="004F391A"/>
    <w:rsid w:val="004F3CFB"/>
    <w:rsid w:val="004F6456"/>
    <w:rsid w:val="004F696E"/>
    <w:rsid w:val="004F6C71"/>
    <w:rsid w:val="00501139"/>
    <w:rsid w:val="0050363E"/>
    <w:rsid w:val="005039BC"/>
    <w:rsid w:val="005043BB"/>
    <w:rsid w:val="00504A3D"/>
    <w:rsid w:val="00505767"/>
    <w:rsid w:val="005073F0"/>
    <w:rsid w:val="00510A7B"/>
    <w:rsid w:val="00510D53"/>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31F3"/>
    <w:rsid w:val="0056487B"/>
    <w:rsid w:val="00564FB9"/>
    <w:rsid w:val="00567558"/>
    <w:rsid w:val="00573D9E"/>
    <w:rsid w:val="005801E3"/>
    <w:rsid w:val="00580490"/>
    <w:rsid w:val="00581802"/>
    <w:rsid w:val="005836A8"/>
    <w:rsid w:val="0058409C"/>
    <w:rsid w:val="00584262"/>
    <w:rsid w:val="00586630"/>
    <w:rsid w:val="00587ADD"/>
    <w:rsid w:val="00591E27"/>
    <w:rsid w:val="005957E3"/>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F92"/>
    <w:rsid w:val="005D4171"/>
    <w:rsid w:val="005D50FF"/>
    <w:rsid w:val="005D6A95"/>
    <w:rsid w:val="005D6B2C"/>
    <w:rsid w:val="005D6D9C"/>
    <w:rsid w:val="005E2335"/>
    <w:rsid w:val="005E34CA"/>
    <w:rsid w:val="005E3C18"/>
    <w:rsid w:val="005E6812"/>
    <w:rsid w:val="005E7881"/>
    <w:rsid w:val="005E78E0"/>
    <w:rsid w:val="005F0D9C"/>
    <w:rsid w:val="005F284E"/>
    <w:rsid w:val="005F4712"/>
    <w:rsid w:val="006015CE"/>
    <w:rsid w:val="00601EBA"/>
    <w:rsid w:val="00604784"/>
    <w:rsid w:val="00606419"/>
    <w:rsid w:val="00607D29"/>
    <w:rsid w:val="00612952"/>
    <w:rsid w:val="00614CC1"/>
    <w:rsid w:val="00615A9D"/>
    <w:rsid w:val="00617387"/>
    <w:rsid w:val="006174B6"/>
    <w:rsid w:val="00617621"/>
    <w:rsid w:val="006205D6"/>
    <w:rsid w:val="00623D59"/>
    <w:rsid w:val="006249D9"/>
    <w:rsid w:val="006252D8"/>
    <w:rsid w:val="006259BC"/>
    <w:rsid w:val="0062636B"/>
    <w:rsid w:val="00632182"/>
    <w:rsid w:val="00632AE0"/>
    <w:rsid w:val="00633289"/>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988"/>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455C"/>
    <w:rsid w:val="006F03A8"/>
    <w:rsid w:val="006F2ACA"/>
    <w:rsid w:val="006F2ADC"/>
    <w:rsid w:val="006F2BFE"/>
    <w:rsid w:val="006F31E9"/>
    <w:rsid w:val="006F6284"/>
    <w:rsid w:val="007002C5"/>
    <w:rsid w:val="00700744"/>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7"/>
    <w:rsid w:val="007501A8"/>
    <w:rsid w:val="00750D61"/>
    <w:rsid w:val="00750EE1"/>
    <w:rsid w:val="00752B4D"/>
    <w:rsid w:val="00755070"/>
    <w:rsid w:val="00755402"/>
    <w:rsid w:val="00756B26"/>
    <w:rsid w:val="00756EDF"/>
    <w:rsid w:val="007600E3"/>
    <w:rsid w:val="00765C43"/>
    <w:rsid w:val="00765EFB"/>
    <w:rsid w:val="007671CA"/>
    <w:rsid w:val="00767B01"/>
    <w:rsid w:val="00767C61"/>
    <w:rsid w:val="0077008A"/>
    <w:rsid w:val="00773C1F"/>
    <w:rsid w:val="00774DA4"/>
    <w:rsid w:val="00776599"/>
    <w:rsid w:val="007805F9"/>
    <w:rsid w:val="0078114B"/>
    <w:rsid w:val="00781DD2"/>
    <w:rsid w:val="00783ECF"/>
    <w:rsid w:val="0078413A"/>
    <w:rsid w:val="00793CA7"/>
    <w:rsid w:val="007959E8"/>
    <w:rsid w:val="00795E9C"/>
    <w:rsid w:val="007A0521"/>
    <w:rsid w:val="007A2E12"/>
    <w:rsid w:val="007A3475"/>
    <w:rsid w:val="007A41C8"/>
    <w:rsid w:val="007A54CE"/>
    <w:rsid w:val="007A5CD6"/>
    <w:rsid w:val="007A6FD9"/>
    <w:rsid w:val="007A7FFA"/>
    <w:rsid w:val="007B0416"/>
    <w:rsid w:val="007B04EB"/>
    <w:rsid w:val="007B0D4F"/>
    <w:rsid w:val="007B1099"/>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5E67"/>
    <w:rsid w:val="007E6FB6"/>
    <w:rsid w:val="007F0ED8"/>
    <w:rsid w:val="007F0F63"/>
    <w:rsid w:val="007F75CE"/>
    <w:rsid w:val="008013A4"/>
    <w:rsid w:val="008027CE"/>
    <w:rsid w:val="00802F42"/>
    <w:rsid w:val="00803889"/>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74B5"/>
    <w:rsid w:val="00830621"/>
    <w:rsid w:val="0083348C"/>
    <w:rsid w:val="008363BC"/>
    <w:rsid w:val="008373D3"/>
    <w:rsid w:val="00840617"/>
    <w:rsid w:val="00840F84"/>
    <w:rsid w:val="00842A47"/>
    <w:rsid w:val="00843C13"/>
    <w:rsid w:val="008454F8"/>
    <w:rsid w:val="0085173A"/>
    <w:rsid w:val="00853355"/>
    <w:rsid w:val="00856316"/>
    <w:rsid w:val="008603CE"/>
    <w:rsid w:val="008620FC"/>
    <w:rsid w:val="008627A5"/>
    <w:rsid w:val="00863E05"/>
    <w:rsid w:val="00865201"/>
    <w:rsid w:val="00865ACA"/>
    <w:rsid w:val="00865D28"/>
    <w:rsid w:val="00865F85"/>
    <w:rsid w:val="00867C10"/>
    <w:rsid w:val="00870439"/>
    <w:rsid w:val="00870DA1"/>
    <w:rsid w:val="00883F93"/>
    <w:rsid w:val="00884820"/>
    <w:rsid w:val="00884DB3"/>
    <w:rsid w:val="00885A9D"/>
    <w:rsid w:val="008864F6"/>
    <w:rsid w:val="0089049D"/>
    <w:rsid w:val="00891737"/>
    <w:rsid w:val="008928C9"/>
    <w:rsid w:val="008930CB"/>
    <w:rsid w:val="008938DC"/>
    <w:rsid w:val="00893FD1"/>
    <w:rsid w:val="00894836"/>
    <w:rsid w:val="00895172"/>
    <w:rsid w:val="00895680"/>
    <w:rsid w:val="00896DFF"/>
    <w:rsid w:val="0089762C"/>
    <w:rsid w:val="008A1893"/>
    <w:rsid w:val="008A3215"/>
    <w:rsid w:val="008A512B"/>
    <w:rsid w:val="008A57E6"/>
    <w:rsid w:val="008A6F81"/>
    <w:rsid w:val="008A769A"/>
    <w:rsid w:val="008B0199"/>
    <w:rsid w:val="008B0C9C"/>
    <w:rsid w:val="008B1164"/>
    <w:rsid w:val="008B166D"/>
    <w:rsid w:val="008B17F4"/>
    <w:rsid w:val="008B3615"/>
    <w:rsid w:val="008B4AC4"/>
    <w:rsid w:val="008B50C8"/>
    <w:rsid w:val="008B5281"/>
    <w:rsid w:val="008B7E05"/>
    <w:rsid w:val="008C1797"/>
    <w:rsid w:val="008C219C"/>
    <w:rsid w:val="008C475E"/>
    <w:rsid w:val="008C557F"/>
    <w:rsid w:val="008C619A"/>
    <w:rsid w:val="008D0CE8"/>
    <w:rsid w:val="008D156E"/>
    <w:rsid w:val="008D2C20"/>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025F"/>
    <w:rsid w:val="00902722"/>
    <w:rsid w:val="009027BC"/>
    <w:rsid w:val="00905B9E"/>
    <w:rsid w:val="009062E6"/>
    <w:rsid w:val="00911BE5"/>
    <w:rsid w:val="00913CA9"/>
    <w:rsid w:val="009145AE"/>
    <w:rsid w:val="009146CE"/>
    <w:rsid w:val="00914CA7"/>
    <w:rsid w:val="00915C3E"/>
    <w:rsid w:val="009161A8"/>
    <w:rsid w:val="009245F5"/>
    <w:rsid w:val="009249EC"/>
    <w:rsid w:val="009273B3"/>
    <w:rsid w:val="00930251"/>
    <w:rsid w:val="009305B5"/>
    <w:rsid w:val="009429D5"/>
    <w:rsid w:val="00942BF1"/>
    <w:rsid w:val="00945180"/>
    <w:rsid w:val="00945428"/>
    <w:rsid w:val="0094607B"/>
    <w:rsid w:val="00953604"/>
    <w:rsid w:val="009539A1"/>
    <w:rsid w:val="0095496B"/>
    <w:rsid w:val="0095669E"/>
    <w:rsid w:val="00957E3C"/>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AF0"/>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8B3"/>
    <w:rsid w:val="00A062A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282A"/>
    <w:rsid w:val="00A76BCC"/>
    <w:rsid w:val="00A77CCB"/>
    <w:rsid w:val="00A83D8D"/>
    <w:rsid w:val="00A8446B"/>
    <w:rsid w:val="00A8473F"/>
    <w:rsid w:val="00A862D6"/>
    <w:rsid w:val="00A8715E"/>
    <w:rsid w:val="00A87226"/>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50F"/>
    <w:rsid w:val="00AC4C7D"/>
    <w:rsid w:val="00AC4D95"/>
    <w:rsid w:val="00AC5DF4"/>
    <w:rsid w:val="00AD0AEF"/>
    <w:rsid w:val="00AD11B7"/>
    <w:rsid w:val="00AD1700"/>
    <w:rsid w:val="00AD1A94"/>
    <w:rsid w:val="00AD1C05"/>
    <w:rsid w:val="00AD2F69"/>
    <w:rsid w:val="00AD30B0"/>
    <w:rsid w:val="00AD4126"/>
    <w:rsid w:val="00AD421C"/>
    <w:rsid w:val="00AD44FA"/>
    <w:rsid w:val="00AE070A"/>
    <w:rsid w:val="00AE101C"/>
    <w:rsid w:val="00AE37E5"/>
    <w:rsid w:val="00AE5EB4"/>
    <w:rsid w:val="00AE719D"/>
    <w:rsid w:val="00AF0C18"/>
    <w:rsid w:val="00AF1017"/>
    <w:rsid w:val="00AF47C5"/>
    <w:rsid w:val="00AF5398"/>
    <w:rsid w:val="00B044AA"/>
    <w:rsid w:val="00B049AF"/>
    <w:rsid w:val="00B07242"/>
    <w:rsid w:val="00B10534"/>
    <w:rsid w:val="00B113DB"/>
    <w:rsid w:val="00B11D8A"/>
    <w:rsid w:val="00B12981"/>
    <w:rsid w:val="00B147DD"/>
    <w:rsid w:val="00B156FD"/>
    <w:rsid w:val="00B16DF8"/>
    <w:rsid w:val="00B21F61"/>
    <w:rsid w:val="00B261F1"/>
    <w:rsid w:val="00B265BC"/>
    <w:rsid w:val="00B31FB1"/>
    <w:rsid w:val="00B33952"/>
    <w:rsid w:val="00B33C5E"/>
    <w:rsid w:val="00B342F4"/>
    <w:rsid w:val="00B34369"/>
    <w:rsid w:val="00B34DC2"/>
    <w:rsid w:val="00B378E5"/>
    <w:rsid w:val="00B427D7"/>
    <w:rsid w:val="00B4346D"/>
    <w:rsid w:val="00B440F4"/>
    <w:rsid w:val="00B447A5"/>
    <w:rsid w:val="00B4654C"/>
    <w:rsid w:val="00B46AF0"/>
    <w:rsid w:val="00B47293"/>
    <w:rsid w:val="00B50E50"/>
    <w:rsid w:val="00B52120"/>
    <w:rsid w:val="00B54ABC"/>
    <w:rsid w:val="00B54DDE"/>
    <w:rsid w:val="00B54FED"/>
    <w:rsid w:val="00B56FBE"/>
    <w:rsid w:val="00B60ACF"/>
    <w:rsid w:val="00B62B58"/>
    <w:rsid w:val="00B65149"/>
    <w:rsid w:val="00B66567"/>
    <w:rsid w:val="00B66F52"/>
    <w:rsid w:val="00B66FE5"/>
    <w:rsid w:val="00B72880"/>
    <w:rsid w:val="00B7408D"/>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2745"/>
    <w:rsid w:val="00BC4790"/>
    <w:rsid w:val="00BC5DC7"/>
    <w:rsid w:val="00BC6999"/>
    <w:rsid w:val="00BC6B8B"/>
    <w:rsid w:val="00BC73D8"/>
    <w:rsid w:val="00BD52D7"/>
    <w:rsid w:val="00BD5AD2"/>
    <w:rsid w:val="00BE1050"/>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1A5"/>
    <w:rsid w:val="00C21540"/>
    <w:rsid w:val="00C21906"/>
    <w:rsid w:val="00C21BFA"/>
    <w:rsid w:val="00C22148"/>
    <w:rsid w:val="00C24C8D"/>
    <w:rsid w:val="00C25EC5"/>
    <w:rsid w:val="00C25FE2"/>
    <w:rsid w:val="00C26B53"/>
    <w:rsid w:val="00C279B2"/>
    <w:rsid w:val="00C27AF6"/>
    <w:rsid w:val="00C33E50"/>
    <w:rsid w:val="00C34C20"/>
    <w:rsid w:val="00C35A3E"/>
    <w:rsid w:val="00C37EAA"/>
    <w:rsid w:val="00C42130"/>
    <w:rsid w:val="00C423A4"/>
    <w:rsid w:val="00C445CD"/>
    <w:rsid w:val="00C44BF5"/>
    <w:rsid w:val="00C45646"/>
    <w:rsid w:val="00C521D6"/>
    <w:rsid w:val="00C55232"/>
    <w:rsid w:val="00C553A4"/>
    <w:rsid w:val="00C55A06"/>
    <w:rsid w:val="00C55D03"/>
    <w:rsid w:val="00C56FC4"/>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6B9"/>
    <w:rsid w:val="00C96741"/>
    <w:rsid w:val="00CA2D1B"/>
    <w:rsid w:val="00CA2D3D"/>
    <w:rsid w:val="00CA375D"/>
    <w:rsid w:val="00CA3ECC"/>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120C"/>
    <w:rsid w:val="00CE30EA"/>
    <w:rsid w:val="00CF048A"/>
    <w:rsid w:val="00CF155A"/>
    <w:rsid w:val="00CF2947"/>
    <w:rsid w:val="00CF686F"/>
    <w:rsid w:val="00CF6E60"/>
    <w:rsid w:val="00CF7BCA"/>
    <w:rsid w:val="00D008FD"/>
    <w:rsid w:val="00D0321C"/>
    <w:rsid w:val="00D035EC"/>
    <w:rsid w:val="00D043CF"/>
    <w:rsid w:val="00D06AB1"/>
    <w:rsid w:val="00D06C27"/>
    <w:rsid w:val="00D072ED"/>
    <w:rsid w:val="00D07A16"/>
    <w:rsid w:val="00D1067E"/>
    <w:rsid w:val="00D10F50"/>
    <w:rsid w:val="00D11272"/>
    <w:rsid w:val="00D126F5"/>
    <w:rsid w:val="00D1489E"/>
    <w:rsid w:val="00D2031F"/>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2A30"/>
    <w:rsid w:val="00D66846"/>
    <w:rsid w:val="00D675FB"/>
    <w:rsid w:val="00D71F25"/>
    <w:rsid w:val="00D72A9C"/>
    <w:rsid w:val="00D77031"/>
    <w:rsid w:val="00D802EE"/>
    <w:rsid w:val="00D830D3"/>
    <w:rsid w:val="00D84941"/>
    <w:rsid w:val="00D84DD8"/>
    <w:rsid w:val="00D84FA1"/>
    <w:rsid w:val="00D851F0"/>
    <w:rsid w:val="00D86DB7"/>
    <w:rsid w:val="00D926D0"/>
    <w:rsid w:val="00D92995"/>
    <w:rsid w:val="00D93030"/>
    <w:rsid w:val="00D950E1"/>
    <w:rsid w:val="00D952A6"/>
    <w:rsid w:val="00D97F99"/>
    <w:rsid w:val="00DA1E08"/>
    <w:rsid w:val="00DA24F8"/>
    <w:rsid w:val="00DA28E8"/>
    <w:rsid w:val="00DA38D3"/>
    <w:rsid w:val="00DA3932"/>
    <w:rsid w:val="00DA3AFC"/>
    <w:rsid w:val="00DA5191"/>
    <w:rsid w:val="00DA6444"/>
    <w:rsid w:val="00DA64F8"/>
    <w:rsid w:val="00DA6C15"/>
    <w:rsid w:val="00DB0258"/>
    <w:rsid w:val="00DB124F"/>
    <w:rsid w:val="00DB38EE"/>
    <w:rsid w:val="00DB498B"/>
    <w:rsid w:val="00DB66CA"/>
    <w:rsid w:val="00DB6BCA"/>
    <w:rsid w:val="00DB73F7"/>
    <w:rsid w:val="00DC0321"/>
    <w:rsid w:val="00DC3067"/>
    <w:rsid w:val="00DC370B"/>
    <w:rsid w:val="00DC5B90"/>
    <w:rsid w:val="00DC6C6A"/>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38EC"/>
    <w:rsid w:val="00E0571E"/>
    <w:rsid w:val="00E06404"/>
    <w:rsid w:val="00E065D2"/>
    <w:rsid w:val="00E11A85"/>
    <w:rsid w:val="00E12495"/>
    <w:rsid w:val="00E12D3A"/>
    <w:rsid w:val="00E15CCD"/>
    <w:rsid w:val="00E1794C"/>
    <w:rsid w:val="00E202EF"/>
    <w:rsid w:val="00E210B5"/>
    <w:rsid w:val="00E23D99"/>
    <w:rsid w:val="00E2552F"/>
    <w:rsid w:val="00E26ABD"/>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11D"/>
    <w:rsid w:val="00E5408A"/>
    <w:rsid w:val="00E56800"/>
    <w:rsid w:val="00E60C63"/>
    <w:rsid w:val="00E62FF9"/>
    <w:rsid w:val="00E635D6"/>
    <w:rsid w:val="00E639BC"/>
    <w:rsid w:val="00E664CC"/>
    <w:rsid w:val="00E70388"/>
    <w:rsid w:val="00E70F92"/>
    <w:rsid w:val="00E74520"/>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FE1"/>
    <w:rsid w:val="00EB17DE"/>
    <w:rsid w:val="00EB1E69"/>
    <w:rsid w:val="00EB2086"/>
    <w:rsid w:val="00EB5EDF"/>
    <w:rsid w:val="00EB60FE"/>
    <w:rsid w:val="00EB74DB"/>
    <w:rsid w:val="00EC01E0"/>
    <w:rsid w:val="00EC193D"/>
    <w:rsid w:val="00EC241D"/>
    <w:rsid w:val="00EC4330"/>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3B92"/>
    <w:rsid w:val="00F1409D"/>
    <w:rsid w:val="00F14214"/>
    <w:rsid w:val="00F157A9"/>
    <w:rsid w:val="00F25BB6"/>
    <w:rsid w:val="00F26B7E"/>
    <w:rsid w:val="00F27A3B"/>
    <w:rsid w:val="00F33817"/>
    <w:rsid w:val="00F405A0"/>
    <w:rsid w:val="00F420D5"/>
    <w:rsid w:val="00F451EA"/>
    <w:rsid w:val="00F45447"/>
    <w:rsid w:val="00F456C6"/>
    <w:rsid w:val="00F4577B"/>
    <w:rsid w:val="00F46496"/>
    <w:rsid w:val="00F474D0"/>
    <w:rsid w:val="00F50179"/>
    <w:rsid w:val="00F515EE"/>
    <w:rsid w:val="00F56511"/>
    <w:rsid w:val="00F6194E"/>
    <w:rsid w:val="00F623AC"/>
    <w:rsid w:val="00F627A9"/>
    <w:rsid w:val="00F6412A"/>
    <w:rsid w:val="00F65893"/>
    <w:rsid w:val="00F66A4A"/>
    <w:rsid w:val="00F71E22"/>
    <w:rsid w:val="00F72142"/>
    <w:rsid w:val="00F72AE7"/>
    <w:rsid w:val="00F81141"/>
    <w:rsid w:val="00F833BA"/>
    <w:rsid w:val="00F83ADD"/>
    <w:rsid w:val="00F84FD0"/>
    <w:rsid w:val="00F859A8"/>
    <w:rsid w:val="00F86D87"/>
    <w:rsid w:val="00F9108B"/>
    <w:rsid w:val="00F91349"/>
    <w:rsid w:val="00F93A8A"/>
    <w:rsid w:val="00F95248"/>
    <w:rsid w:val="00F956A9"/>
    <w:rsid w:val="00F963ED"/>
    <w:rsid w:val="00F966CF"/>
    <w:rsid w:val="00F96CAE"/>
    <w:rsid w:val="00F97C99"/>
    <w:rsid w:val="00FA1E37"/>
    <w:rsid w:val="00FA4DAC"/>
    <w:rsid w:val="00FA662D"/>
    <w:rsid w:val="00FA69BD"/>
    <w:rsid w:val="00FA73B1"/>
    <w:rsid w:val="00FA7A88"/>
    <w:rsid w:val="00FB0CB9"/>
    <w:rsid w:val="00FB231D"/>
    <w:rsid w:val="00FB343A"/>
    <w:rsid w:val="00FB45F1"/>
    <w:rsid w:val="00FB4A72"/>
    <w:rsid w:val="00FB54E8"/>
    <w:rsid w:val="00FB7054"/>
    <w:rsid w:val="00FC17B7"/>
    <w:rsid w:val="00FC2CB7"/>
    <w:rsid w:val="00FC4090"/>
    <w:rsid w:val="00FC55B4"/>
    <w:rsid w:val="00FC71A4"/>
    <w:rsid w:val="00FD00E6"/>
    <w:rsid w:val="00FD09A1"/>
    <w:rsid w:val="00FD2A7C"/>
    <w:rsid w:val="00FD394F"/>
    <w:rsid w:val="00FD428B"/>
    <w:rsid w:val="00FD59EB"/>
    <w:rsid w:val="00FD5FCE"/>
    <w:rsid w:val="00FD7299"/>
    <w:rsid w:val="00FE1FBE"/>
    <w:rsid w:val="00FE3901"/>
    <w:rsid w:val="00FE39D3"/>
    <w:rsid w:val="00FE4BCE"/>
    <w:rsid w:val="00FE54AE"/>
    <w:rsid w:val="00FE576A"/>
    <w:rsid w:val="00FE6B22"/>
    <w:rsid w:val="00FE7E79"/>
    <w:rsid w:val="00FF3BDD"/>
    <w:rsid w:val="00FF3E7D"/>
    <w:rsid w:val="00FF5B99"/>
    <w:rsid w:val="00FF730C"/>
    <w:rsid w:val="00FF73F4"/>
    <w:rsid w:val="00FF74AC"/>
    <w:rsid w:val="00FF7CE4"/>
    <w:rsid w:val="00FF7E39"/>
    <w:rsid w:val="1CF7717A"/>
    <w:rsid w:val="2E0B6831"/>
    <w:rsid w:val="444857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5E2FA65F6EE4E8A942778FCFAB3691D"/>
        <w:style w:val=""/>
        <w:category>
          <w:name w:val="常规"/>
          <w:gallery w:val="placeholder"/>
        </w:category>
        <w:types>
          <w:type w:val="bbPlcHdr"/>
        </w:types>
        <w:behaviors>
          <w:behavior w:val="content"/>
        </w:behaviors>
        <w:description w:val=""/>
        <w:guid w:val="{18B6BC36-09F3-4AFE-BD26-4880353BAA86}"/>
      </w:docPartPr>
      <w:docPartBody>
        <w:p>
          <w:pPr>
            <w:pStyle w:val="5"/>
          </w:pPr>
          <w:r>
            <w:rPr>
              <w:rStyle w:val="4"/>
              <w:rFonts w:hint="eastAsia"/>
            </w:rPr>
            <w:t>单击或点击此处输入文字。</w:t>
          </w:r>
        </w:p>
      </w:docPartBody>
    </w:docPart>
    <w:docPart>
      <w:docPartPr>
        <w:name w:val="C626C5BA1350452B96FF5CCA0F81AB65"/>
        <w:style w:val=""/>
        <w:category>
          <w:name w:val="常规"/>
          <w:gallery w:val="placeholder"/>
        </w:category>
        <w:types>
          <w:type w:val="bbPlcHdr"/>
        </w:types>
        <w:behaviors>
          <w:behavior w:val="content"/>
        </w:behaviors>
        <w:description w:val=""/>
        <w:guid w:val="{D53B689E-9387-4E96-97CF-25FDBE2361BA}"/>
      </w:docPartPr>
      <w:docPartBody>
        <w:p>
          <w:pPr>
            <w:pStyle w:val="6"/>
          </w:pPr>
          <w:r>
            <w:rPr>
              <w:rStyle w:val="4"/>
              <w:rFonts w:hint="eastAsia"/>
            </w:rPr>
            <w:t>选择一项。</w:t>
          </w:r>
        </w:p>
      </w:docPartBody>
    </w:docPart>
    <w:docPart>
      <w:docPartPr>
        <w:name w:val="F9DC43C29C8B4BD1851E348D43898303"/>
        <w:style w:val=""/>
        <w:category>
          <w:name w:val="常规"/>
          <w:gallery w:val="placeholder"/>
        </w:category>
        <w:types>
          <w:type w:val="bbPlcHdr"/>
        </w:types>
        <w:behaviors>
          <w:behavior w:val="content"/>
        </w:behaviors>
        <w:description w:val=""/>
        <w:guid w:val="{6F62BD42-2908-4296-A079-9C336750FDC5}"/>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B9D"/>
    <w:rsid w:val="00033493"/>
    <w:rsid w:val="000A0F1C"/>
    <w:rsid w:val="003B3BDF"/>
    <w:rsid w:val="003C4981"/>
    <w:rsid w:val="006D1FA1"/>
    <w:rsid w:val="00713B9D"/>
    <w:rsid w:val="00841772"/>
    <w:rsid w:val="008F1364"/>
    <w:rsid w:val="00AF3AB8"/>
    <w:rsid w:val="00B45B45"/>
    <w:rsid w:val="00B842C0"/>
    <w:rsid w:val="00C23FEA"/>
    <w:rsid w:val="00C5430E"/>
    <w:rsid w:val="00CD05A3"/>
    <w:rsid w:val="00CE0D63"/>
    <w:rsid w:val="00D04AD9"/>
    <w:rsid w:val="00D17534"/>
    <w:rsid w:val="00EC2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5E2FA65F6EE4E8A942778FCFAB3691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C626C5BA1350452B96FF5CCA0F81AB6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F9DC43C29C8B4BD1851E348D4389830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0577DF-8E93-4E32-B862-79D3F5307CFF}">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10</Pages>
  <Words>3015</Words>
  <Characters>4653</Characters>
  <Lines>49</Lines>
  <Paragraphs>13</Paragraphs>
  <TotalTime>1096</TotalTime>
  <ScaleCrop>false</ScaleCrop>
  <LinksUpToDate>false</LinksUpToDate>
  <CharactersWithSpaces>4963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2024-04-02T13:58:00Z</dcterms:created>
  <dc:creator>吴乐</dc:creator>
  <dc:description>&lt;config cover="true" show_menu="true" version="1.0.0" doctype="SDKXY"&gt;_x000d_
&lt;/config&gt;</dc:description>
  <cp:lastModifiedBy>YY</cp:lastModifiedBy>
  <cp:lastPrinted>2020-08-30T10:00:00Z</cp:lastPrinted>
  <dcterms:modified xsi:type="dcterms:W3CDTF">2024-06-24T08:16:35Z</dcterms:modified>
  <dc:title>地方标准</dc:title>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C2F0BA6AB79B4C2AB2A11C51C807258D_12</vt:lpwstr>
  </property>
</Properties>
</file>