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hint="eastAsia" w:ascii="黑体" w:hAnsi="黑体" w:eastAsia="黑体"/>
                <w:sz w:val="21"/>
                <w:szCs w:val="21"/>
                <w:lang w:val="en-US" w:eastAsia="zh-CN"/>
              </w:rPr>
              <w:t>01</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lang w:val="en-US" w:eastAsia="zh-CN"/>
              </w:rPr>
              <w:t xml:space="preserve">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包头地区湿地增汇技术规程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 </w:t>
      </w:r>
      <w:r>
        <w:rPr>
          <w:rFonts w:hint="eastAsia" w:ascii="黑体" w:hAnsi="黑体" w:eastAsia="黑体"/>
          <w:szCs w:val="28"/>
        </w:rPr>
        <w:t>of</w:t>
      </w:r>
      <w:r>
        <w:rPr>
          <w:rFonts w:ascii="黑体" w:hAnsi="黑体" w:eastAsia="黑体"/>
          <w:szCs w:val="28"/>
        </w:rPr>
        <w:t xml:space="preserve"> wetland sequestration increase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141" w:name="_GoBack"/>
      <w:bookmarkEnd w:id="141"/>
      <w:bookmarkStart w:id="21" w:name="BookMark1"/>
      <w:bookmarkStart w:id="22" w:name="_Toc148966082"/>
      <w:bookmarkStart w:id="23" w:name="_Toc168602138"/>
      <w:bookmarkStart w:id="24" w:name="_Toc168564861"/>
      <w:bookmarkStart w:id="25" w:name="_Toc153447899"/>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"_Toc169707052" </w:instrText>
      </w:r>
      <w:r>
        <w:fldChar w:fldCharType="separate"/>
      </w:r>
      <w:r>
        <w:rPr>
          <w:rStyle w:val="32"/>
        </w:rPr>
        <w:t>前言</w:t>
      </w:r>
      <w:r>
        <w:tab/>
      </w:r>
      <w:r>
        <w:fldChar w:fldCharType="begin"/>
      </w:r>
      <w:r>
        <w:instrText xml:space="preserve"> PAGEREF _Toc169707052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"_Toc169707053" </w:instrText>
      </w:r>
      <w:r>
        <w:fldChar w:fldCharType="separate"/>
      </w:r>
      <w:r>
        <w:rPr>
          <w:rStyle w:val="32"/>
        </w:rPr>
        <w:t>1  范围</w:t>
      </w:r>
      <w:r>
        <w:tab/>
      </w:r>
      <w:r>
        <w:fldChar w:fldCharType="begin"/>
      </w:r>
      <w:r>
        <w:instrText xml:space="preserve"> PAGEREF _Toc169707053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"_Toc169707054" </w:instrText>
      </w:r>
      <w:r>
        <w:fldChar w:fldCharType="separate"/>
      </w:r>
      <w:r>
        <w:rPr>
          <w:rStyle w:val="32"/>
        </w:rPr>
        <w:t>2  规范性引用文件</w:t>
      </w:r>
      <w:r>
        <w:tab/>
      </w:r>
      <w:r>
        <w:fldChar w:fldCharType="begin"/>
      </w:r>
      <w:r>
        <w:instrText xml:space="preserve"> PAGEREF _Toc169707054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"_Toc169707055" </w:instrText>
      </w:r>
      <w:r>
        <w:fldChar w:fldCharType="separate"/>
      </w:r>
      <w:r>
        <w:rPr>
          <w:rStyle w:val="32"/>
        </w:rPr>
        <w:t>3  术语和定义</w:t>
      </w:r>
      <w:r>
        <w:tab/>
      </w:r>
      <w:r>
        <w:fldChar w:fldCharType="begin"/>
      </w:r>
      <w:r>
        <w:instrText xml:space="preserve"> PAGEREF _Toc169707055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"_Toc169707056" </w:instrText>
      </w:r>
      <w:r>
        <w:fldChar w:fldCharType="separate"/>
      </w:r>
      <w:r>
        <w:rPr>
          <w:rStyle w:val="32"/>
        </w:rPr>
        <w:t>4  湿地增汇的原则</w:t>
      </w:r>
      <w:r>
        <w:tab/>
      </w:r>
      <w:r>
        <w:fldChar w:fldCharType="begin"/>
      </w:r>
      <w:r>
        <w:instrText xml:space="preserve"> PAGEREF _Toc169707056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"_Toc169707057" </w:instrText>
      </w:r>
      <w:r>
        <w:fldChar w:fldCharType="separate"/>
      </w:r>
      <w:r>
        <w:rPr>
          <w:rStyle w:val="32"/>
          <w14:scene3d>
            <w14:lightRig w14:rig="threePt" w14:dir="t">
              <w14:rot w14:lat="0" w14:lon="0" w14:rev="0"/>
            </w14:lightRig>
          </w14:scene3d>
        </w:rPr>
        <w:t xml:space="preserve">4.1 </w:t>
      </w:r>
      <w:r>
        <w:rPr>
          <w:rStyle w:val="32"/>
        </w:rPr>
        <w:t xml:space="preserve"> 可行性原则</w:t>
      </w:r>
      <w:r>
        <w:tab/>
      </w:r>
      <w:r>
        <w:fldChar w:fldCharType="begin"/>
      </w:r>
      <w:r>
        <w:instrText xml:space="preserve"> PAGEREF _Toc169707057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"_Toc169707058" </w:instrText>
      </w:r>
      <w:r>
        <w:fldChar w:fldCharType="separate"/>
      </w:r>
      <w:r>
        <w:rPr>
          <w:rStyle w:val="32"/>
          <w14:scene3d>
            <w14:lightRig w14:rig="threePt" w14:dir="t">
              <w14:rot w14:lat="0" w14:lon="0" w14:rev="0"/>
            </w14:lightRig>
          </w14:scene3d>
        </w:rPr>
        <w:t xml:space="preserve">4.2 </w:t>
      </w:r>
      <w:r>
        <w:rPr>
          <w:rStyle w:val="32"/>
        </w:rPr>
        <w:t xml:space="preserve"> 恢复湿地的生态完整性、自然结构和自然功能原则</w:t>
      </w:r>
      <w:r>
        <w:tab/>
      </w:r>
      <w:r>
        <w:fldChar w:fldCharType="begin"/>
      </w:r>
      <w:r>
        <w:instrText xml:space="preserve"> PAGEREF _Toc169707058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"_Toc169707059" </w:instrText>
      </w:r>
      <w:r>
        <w:fldChar w:fldCharType="separate"/>
      </w:r>
      <w:r>
        <w:rPr>
          <w:rStyle w:val="32"/>
          <w14:scene3d>
            <w14:lightRig w14:rig="threePt" w14:dir="t">
              <w14:rot w14:lat="0" w14:lon="0" w14:rev="0"/>
            </w14:lightRig>
          </w14:scene3d>
        </w:rPr>
        <w:t xml:space="preserve">4.3 </w:t>
      </w:r>
      <w:r>
        <w:rPr>
          <w:rStyle w:val="32"/>
        </w:rPr>
        <w:t xml:space="preserve"> 流域管理原则</w:t>
      </w:r>
      <w:r>
        <w:tab/>
      </w:r>
      <w:r>
        <w:fldChar w:fldCharType="begin"/>
      </w:r>
      <w:r>
        <w:instrText xml:space="preserve"> PAGEREF _Toc169707059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"_Toc169707060" </w:instrText>
      </w:r>
      <w:r>
        <w:fldChar w:fldCharType="separate"/>
      </w:r>
      <w:r>
        <w:rPr>
          <w:rStyle w:val="32"/>
          <w14:scene3d>
            <w14:lightRig w14:rig="threePt" w14:dir="t">
              <w14:rot w14:lat="0" w14:lon="0" w14:rev="0"/>
            </w14:lightRig>
          </w14:scene3d>
        </w:rPr>
        <w:t xml:space="preserve">4.4 </w:t>
      </w:r>
      <w:r>
        <w:rPr>
          <w:rStyle w:val="32"/>
        </w:rPr>
        <w:t xml:space="preserve"> 自我维持设计和自然恢复原则</w:t>
      </w:r>
      <w:r>
        <w:tab/>
      </w:r>
      <w:r>
        <w:fldChar w:fldCharType="begin"/>
      </w:r>
      <w:r>
        <w:instrText xml:space="preserve"> PAGEREF _Toc169707060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"_Toc169707061" </w:instrText>
      </w:r>
      <w:r>
        <w:fldChar w:fldCharType="separate"/>
      </w:r>
      <w:r>
        <w:rPr>
          <w:rStyle w:val="32"/>
        </w:rPr>
        <w:t>5  湿地增汇的方法</w:t>
      </w:r>
      <w:r>
        <w:tab/>
      </w:r>
      <w:r>
        <w:fldChar w:fldCharType="begin"/>
      </w:r>
      <w:r>
        <w:instrText xml:space="preserve"> PAGEREF _Toc169707061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"_Toc169707062" </w:instrText>
      </w:r>
      <w:r>
        <w:fldChar w:fldCharType="separate"/>
      </w:r>
      <w:r>
        <w:rPr>
          <w:rStyle w:val="32"/>
          <w14:scene3d>
            <w14:lightRig w14:rig="threePt" w14:dir="t">
              <w14:rot w14:lat="0" w14:lon="0" w14:rev="0"/>
            </w14:lightRig>
          </w14:scene3d>
        </w:rPr>
        <w:t xml:space="preserve">5.1 </w:t>
      </w:r>
      <w:r>
        <w:rPr>
          <w:rStyle w:val="32"/>
        </w:rPr>
        <w:t xml:space="preserve"> 自然增汇方法</w:t>
      </w:r>
      <w:r>
        <w:tab/>
      </w:r>
      <w:r>
        <w:fldChar w:fldCharType="begin"/>
      </w:r>
      <w:r>
        <w:instrText xml:space="preserve"> PAGEREF _Toc169707062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"_Toc169707063" </w:instrText>
      </w:r>
      <w:r>
        <w:fldChar w:fldCharType="separate"/>
      </w:r>
      <w:r>
        <w:rPr>
          <w:rStyle w:val="32"/>
          <w14:scene3d>
            <w14:lightRig w14:rig="threePt" w14:dir="t">
              <w14:rot w14:lat="0" w14:lon="0" w14:rev="0"/>
            </w14:lightRig>
          </w14:scene3d>
        </w:rPr>
        <w:t xml:space="preserve">5.2 </w:t>
      </w:r>
      <w:r>
        <w:rPr>
          <w:rStyle w:val="32"/>
        </w:rPr>
        <w:t xml:space="preserve"> 人工促进增汇方法</w:t>
      </w:r>
      <w:r>
        <w:tab/>
      </w:r>
      <w:r>
        <w:fldChar w:fldCharType="begin"/>
      </w:r>
      <w:r>
        <w:instrText xml:space="preserve"> PAGEREF _Toc169707063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"_Toc169707064" </w:instrText>
      </w:r>
      <w:r>
        <w:fldChar w:fldCharType="separate"/>
      </w:r>
      <w:r>
        <w:rPr>
          <w:rStyle w:val="32"/>
        </w:rPr>
        <w:t>6  湿地增汇流程</w:t>
      </w:r>
      <w:r>
        <w:tab/>
      </w:r>
      <w:r>
        <w:fldChar w:fldCharType="begin"/>
      </w:r>
      <w:r>
        <w:instrText xml:space="preserve"> PAGEREF _Toc169707064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"_Toc169707065" </w:instrText>
      </w:r>
      <w:r>
        <w:fldChar w:fldCharType="separate"/>
      </w:r>
      <w:r>
        <w:rPr>
          <w:rStyle w:val="32"/>
          <w14:scene3d>
            <w14:lightRig w14:rig="threePt" w14:dir="t">
              <w14:rot w14:lat="0" w14:lon="0" w14:rev="0"/>
            </w14:lightRig>
          </w14:scene3d>
        </w:rPr>
        <w:t xml:space="preserve">6.1 </w:t>
      </w:r>
      <w:r>
        <w:rPr>
          <w:rStyle w:val="32"/>
        </w:rPr>
        <w:t xml:space="preserve"> 对湿地碳汇能力退化状况的调查及评价</w:t>
      </w:r>
      <w:r>
        <w:tab/>
      </w:r>
      <w:r>
        <w:fldChar w:fldCharType="begin"/>
      </w:r>
      <w:r>
        <w:instrText xml:space="preserve"> PAGEREF _Toc169707065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"_Toc169707066" </w:instrText>
      </w:r>
      <w:r>
        <w:fldChar w:fldCharType="separate"/>
      </w:r>
      <w:r>
        <w:rPr>
          <w:rStyle w:val="32"/>
          <w14:scene3d>
            <w14:lightRig w14:rig="threePt" w14:dir="t">
              <w14:rot w14:lat="0" w14:lon="0" w14:rev="0"/>
            </w14:lightRig>
          </w14:scene3d>
        </w:rPr>
        <w:t xml:space="preserve">6.2 </w:t>
      </w:r>
      <w:r>
        <w:rPr>
          <w:rStyle w:val="32"/>
        </w:rPr>
        <w:t xml:space="preserve"> 确定湿地增汇区域</w:t>
      </w:r>
      <w:r>
        <w:tab/>
      </w:r>
      <w:r>
        <w:fldChar w:fldCharType="begin"/>
      </w:r>
      <w:r>
        <w:instrText xml:space="preserve"> PAGEREF _Toc169707066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"_Toc169707067" </w:instrText>
      </w:r>
      <w:r>
        <w:fldChar w:fldCharType="separate"/>
      </w:r>
      <w:r>
        <w:rPr>
          <w:rStyle w:val="32"/>
          <w14:scene3d>
            <w14:lightRig w14:rig="threePt" w14:dir="t">
              <w14:rot w14:lat="0" w14:lon="0" w14:rev="0"/>
            </w14:lightRig>
          </w14:scene3d>
        </w:rPr>
        <w:t xml:space="preserve">6.3 </w:t>
      </w:r>
      <w:r>
        <w:rPr>
          <w:rStyle w:val="32"/>
        </w:rPr>
        <w:t xml:space="preserve"> 湿地增汇区域的本底调查</w:t>
      </w:r>
      <w:r>
        <w:tab/>
      </w:r>
      <w:r>
        <w:fldChar w:fldCharType="begin"/>
      </w:r>
      <w:r>
        <w:instrText xml:space="preserve"> PAGEREF _Toc169707067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"_Toc169707068" </w:instrText>
      </w:r>
      <w:r>
        <w:fldChar w:fldCharType="separate"/>
      </w:r>
      <w:r>
        <w:rPr>
          <w:rStyle w:val="32"/>
          <w14:scene3d>
            <w14:lightRig w14:rig="threePt" w14:dir="t">
              <w14:rot w14:lat="0" w14:lon="0" w14:rev="0"/>
            </w14:lightRig>
          </w14:scene3d>
        </w:rPr>
        <w:t xml:space="preserve">6.4 </w:t>
      </w:r>
      <w:r>
        <w:rPr>
          <w:rStyle w:val="32"/>
        </w:rPr>
        <w:t xml:space="preserve"> 确定湿地增汇的目标</w:t>
      </w:r>
      <w:r>
        <w:tab/>
      </w:r>
      <w:r>
        <w:fldChar w:fldCharType="begin"/>
      </w:r>
      <w:r>
        <w:instrText xml:space="preserve"> PAGEREF _Toc169707068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"_Toc169707069" </w:instrText>
      </w:r>
      <w:r>
        <w:fldChar w:fldCharType="separate"/>
      </w:r>
      <w:r>
        <w:rPr>
          <w:rStyle w:val="32"/>
          <w14:scene3d>
            <w14:lightRig w14:rig="threePt" w14:dir="t">
              <w14:rot w14:lat="0" w14:lon="0" w14:rev="0"/>
            </w14:lightRig>
          </w14:scene3d>
        </w:rPr>
        <w:t xml:space="preserve">6.5 </w:t>
      </w:r>
      <w:r>
        <w:rPr>
          <w:rStyle w:val="32"/>
        </w:rPr>
        <w:t xml:space="preserve"> 湿地增汇的监测</w:t>
      </w:r>
      <w:r>
        <w:tab/>
      </w:r>
      <w:r>
        <w:fldChar w:fldCharType="begin"/>
      </w:r>
      <w:r>
        <w:instrText xml:space="preserve"> PAGEREF _Toc169707069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"_Toc169707070" </w:instrText>
      </w:r>
      <w:r>
        <w:fldChar w:fldCharType="separate"/>
      </w:r>
      <w:r>
        <w:rPr>
          <w:rStyle w:val="32"/>
          <w14:scene3d>
            <w14:lightRig w14:rig="threePt" w14:dir="t">
              <w14:rot w14:lat="0" w14:lon="0" w14:rev="0"/>
            </w14:lightRig>
          </w14:scene3d>
        </w:rPr>
        <w:t xml:space="preserve">6.6 </w:t>
      </w:r>
      <w:r>
        <w:rPr>
          <w:rStyle w:val="32"/>
        </w:rPr>
        <w:t xml:space="preserve"> 湿地增汇的长期管理</w:t>
      </w:r>
      <w:r>
        <w:tab/>
      </w:r>
      <w:r>
        <w:fldChar w:fldCharType="begin"/>
      </w:r>
      <w:r>
        <w:instrText xml:space="preserve"> PAGEREF _Toc169707070 \h </w:instrText>
      </w:r>
      <w:r>
        <w:fldChar w:fldCharType="separate"/>
      </w:r>
      <w:r>
        <w:t>3</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6" w:name="_Toc169707052"/>
      <w:bookmarkStart w:id="27" w:name="BookMark2"/>
      <w:r>
        <w:rPr>
          <w:spacing w:val="320"/>
        </w:rPr>
        <w:t>前</w:t>
      </w:r>
      <w:r>
        <w:t>言</w:t>
      </w:r>
      <w:bookmarkEnd w:id="22"/>
      <w:bookmarkEnd w:id="23"/>
      <w:bookmarkEnd w:id="24"/>
      <w:bookmarkEnd w:id="25"/>
      <w:bookmarkEnd w:id="26"/>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rPr>
          <w:rFonts w:hint="eastAsia"/>
        </w:rPr>
      </w:pPr>
      <w:r>
        <w:rPr>
          <w:rFonts w:hint="eastAsia"/>
        </w:rPr>
        <w:t>本文件起草单位：包头市林业和草原工作站、内蒙古农业大学、内蒙古自治区林业和草原工作总站、包头市检验检测中心、包头市林业和草原局、包头市湿地保护中心。</w:t>
      </w:r>
    </w:p>
    <w:p>
      <w:pPr>
        <w:pStyle w:val="56"/>
        <w:ind w:firstLine="420"/>
      </w:pPr>
      <w:r>
        <w:rPr>
          <w:rFonts w:hint="eastAsia"/>
        </w:rPr>
        <w:t>本文件主要起草人：</w:t>
      </w:r>
      <w:r>
        <w:t xml:space="preserve"> </w:t>
      </w:r>
      <w:r>
        <w:rPr>
          <w:rFonts w:hint="eastAsia"/>
        </w:rPr>
        <w:t>张文英、高润红、翁靖韬、李永滔、刘瑞龙、郝静颐、李茂森、冀鹏浩、韩淑敏、吴乐、张瑞、冯小东、吕整荣、姚瑶、赵光远、贺其英贵。</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806249C7227344B2AE891653ED824A6B"/>
        </w:placeholder>
      </w:sdtPr>
      <w:sdtContent>
        <w:p>
          <w:pPr>
            <w:pStyle w:val="177"/>
            <w:spacing w:before="3" w:beforeLines="1" w:after="686" w:afterLines="220"/>
          </w:pPr>
          <w:bookmarkStart w:id="29" w:name="NEW_STAND_NAME"/>
          <w:r>
            <w:rPr>
              <w:rFonts w:hint="eastAsia"/>
            </w:rPr>
            <w:t>包头地区湿地增汇技术规程</w:t>
          </w:r>
        </w:p>
      </w:sdtContent>
    </w:sdt>
    <w:bookmarkEnd w:id="29"/>
    <w:p>
      <w:pPr>
        <w:pStyle w:val="104"/>
        <w:spacing w:before="312" w:after="312"/>
      </w:pPr>
      <w:bookmarkStart w:id="30" w:name="_Toc17233333"/>
      <w:bookmarkStart w:id="31" w:name="_Toc24884218"/>
      <w:bookmarkStart w:id="32" w:name="_Toc26648465"/>
      <w:bookmarkStart w:id="33" w:name="_Toc26718930"/>
      <w:bookmarkStart w:id="34" w:name="_Toc24884211"/>
      <w:bookmarkStart w:id="35" w:name="_Toc26986530"/>
      <w:bookmarkStart w:id="36" w:name="_Toc153447900"/>
      <w:bookmarkStart w:id="37" w:name="_Toc26986771"/>
      <w:bookmarkStart w:id="38" w:name="_Toc148966083"/>
      <w:bookmarkStart w:id="39" w:name="_Toc168602139"/>
      <w:bookmarkStart w:id="40" w:name="_Toc17233325"/>
      <w:bookmarkStart w:id="41" w:name="_Toc97191423"/>
      <w:bookmarkStart w:id="42" w:name="_Toc168564862"/>
      <w:bookmarkStart w:id="43" w:name="_Toc169707053"/>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6"/>
        <w:ind w:firstLine="420"/>
      </w:pPr>
      <w:bookmarkStart w:id="44" w:name="_Toc26648466"/>
      <w:bookmarkStart w:id="45" w:name="_Toc17233334"/>
      <w:bookmarkStart w:id="46" w:name="_Toc17233326"/>
      <w:bookmarkStart w:id="47" w:name="_Toc24884212"/>
      <w:bookmarkStart w:id="48" w:name="_Toc24884219"/>
      <w:r>
        <w:rPr>
          <w:rFonts w:hint="eastAsia"/>
        </w:rPr>
        <w:t>本标准规定了包头地区湿地增汇的湿地固碳增汇技术等。</w:t>
      </w:r>
    </w:p>
    <w:p>
      <w:pPr>
        <w:pStyle w:val="56"/>
        <w:ind w:firstLine="420"/>
      </w:pPr>
      <w:r>
        <w:rPr>
          <w:rFonts w:hint="eastAsia"/>
        </w:rPr>
        <w:t>本标准适用于开展包头地区湿地的固碳增汇工作。</w:t>
      </w:r>
    </w:p>
    <w:p>
      <w:pPr>
        <w:pStyle w:val="104"/>
        <w:spacing w:before="312" w:after="312"/>
      </w:pPr>
      <w:bookmarkStart w:id="49" w:name="_Toc169707054"/>
      <w:bookmarkStart w:id="50" w:name="_Toc26986531"/>
      <w:bookmarkStart w:id="51" w:name="_Toc148966084"/>
      <w:bookmarkStart w:id="52" w:name="_Toc153447901"/>
      <w:bookmarkStart w:id="53" w:name="_Toc168564863"/>
      <w:bookmarkStart w:id="54" w:name="_Toc97191424"/>
      <w:bookmarkStart w:id="55" w:name="_Toc26986772"/>
      <w:bookmarkStart w:id="56" w:name="_Toc168602140"/>
      <w:bookmarkStart w:id="57" w:name="_Toc267189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8D14C4D62C2D4ACA81EA24D89F0C1F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pPr>
      <w:r>
        <w:rPr>
          <w:rFonts w:hint="eastAsia"/>
        </w:rPr>
        <w:t>GB/T 27647 湿地生态风险评估技术规范</w:t>
      </w:r>
    </w:p>
    <w:p>
      <w:pPr>
        <w:pStyle w:val="230"/>
        <w:rPr>
          <w:rFonts w:ascii="宋体" w:hAnsi="宋体"/>
        </w:rPr>
      </w:pPr>
      <w:r>
        <w:rPr>
          <w:rFonts w:hint="eastAsia"/>
        </w:rPr>
        <w:t xml:space="preserve">LY/T 2899 </w:t>
      </w:r>
      <w:r>
        <w:rPr>
          <w:rFonts w:hint="eastAsia" w:ascii="宋体" w:hAnsi="宋体"/>
        </w:rPr>
        <w:t>湿地生态系统服务评估规范</w:t>
      </w:r>
    </w:p>
    <w:p>
      <w:pPr>
        <w:pStyle w:val="230"/>
        <w:rPr>
          <w:rFonts w:hint="eastAsia"/>
        </w:rPr>
      </w:pPr>
      <w:r>
        <w:t xml:space="preserve">DB 1502/T 024 </w:t>
      </w:r>
      <w:r>
        <w:rPr>
          <w:rFonts w:hint="eastAsia"/>
        </w:rPr>
        <w:t>湿地植被碳汇调查与监测技术规程</w:t>
      </w:r>
    </w:p>
    <w:p>
      <w:pPr>
        <w:pStyle w:val="104"/>
        <w:spacing w:before="312" w:after="312"/>
      </w:pPr>
      <w:bookmarkStart w:id="58" w:name="_Toc168564864"/>
      <w:bookmarkStart w:id="59" w:name="_Toc97191425"/>
      <w:bookmarkStart w:id="60" w:name="_Toc148966085"/>
      <w:bookmarkStart w:id="61" w:name="_Toc169707055"/>
      <w:bookmarkStart w:id="62" w:name="_Toc168602141"/>
      <w:bookmarkStart w:id="63" w:name="_Toc153447902"/>
      <w:r>
        <w:rPr>
          <w:rFonts w:hint="eastAsia"/>
          <w:szCs w:val="21"/>
        </w:rPr>
        <w:t>术语和定义</w:t>
      </w:r>
      <w:bookmarkEnd w:id="58"/>
      <w:bookmarkEnd w:id="59"/>
      <w:bookmarkEnd w:id="60"/>
      <w:bookmarkEnd w:id="61"/>
      <w:bookmarkEnd w:id="62"/>
      <w:bookmarkEnd w:id="63"/>
    </w:p>
    <w:sdt>
      <w:sdtPr>
        <w:id w:val="-1909835108"/>
        <w:placeholder>
          <w:docPart w:val="E6F5799DBB344ACE9EE12A1A41EF7C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4" w:name="_Toc26986532"/>
          <w:bookmarkEnd w:id="64"/>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湿地 </w:t>
      </w:r>
      <w:r>
        <w:rPr>
          <w:rFonts w:ascii="黑体" w:hAnsi="黑体" w:eastAsia="黑体"/>
        </w:rPr>
        <w:t>wetland</w:t>
      </w:r>
    </w:p>
    <w:p>
      <w:pPr>
        <w:pStyle w:val="56"/>
        <w:ind w:firstLine="420"/>
      </w:pPr>
      <w:r>
        <w:rPr>
          <w:rFonts w:hint="eastAsia"/>
        </w:rPr>
        <w:t>是指具有显著生态功能的自然或者人工的、常年或者季节性积水地带、水域，包括低潮时水深不超过六米的海域，但是水田以及用于养殖的人工的水域和滩涂除外。国家对湿地实行分级管理及名录制度。</w:t>
      </w:r>
    </w:p>
    <w:p>
      <w:pPr>
        <w:pStyle w:val="223"/>
        <w:ind w:left="0"/>
        <w:rPr>
          <w:rFonts w:ascii="黑体" w:hAnsi="黑体" w:eastAsia="黑体"/>
        </w:rPr>
      </w:pPr>
    </w:p>
    <w:p>
      <w:pPr>
        <w:pStyle w:val="223"/>
        <w:numPr>
          <w:ilvl w:val="0"/>
          <w:numId w:val="0"/>
        </w:numPr>
        <w:ind w:firstLine="420" w:firstLineChars="200"/>
        <w:rPr>
          <w:rFonts w:ascii="黑体" w:hAnsi="黑体" w:eastAsia="黑体"/>
        </w:rPr>
      </w:pPr>
      <w:r>
        <w:rPr>
          <w:rFonts w:hint="eastAsia" w:ascii="黑体" w:hAnsi="黑体" w:eastAsia="黑体"/>
        </w:rPr>
        <w:t>湿地退化 w</w:t>
      </w:r>
      <w:r>
        <w:rPr>
          <w:rFonts w:ascii="黑体" w:hAnsi="黑体" w:eastAsia="黑体"/>
        </w:rPr>
        <w:t>etland degradation</w:t>
      </w:r>
    </w:p>
    <w:p>
      <w:pPr>
        <w:pStyle w:val="56"/>
        <w:ind w:firstLine="420"/>
      </w:pPr>
      <w:r>
        <w:rPr>
          <w:rFonts w:hint="eastAsia"/>
        </w:rPr>
        <w:t>指由于自然环境的变化或人类对湿地自然资源过度以及不合理的利用，造成的湿地生态系统结构破坏、生态功能衰退、生物多样性减小、生产力下降、湿地生产潜力衰退以及湿地资源逐渐丧失等。</w:t>
      </w:r>
    </w:p>
    <w:p>
      <w:pPr>
        <w:pStyle w:val="223"/>
        <w:ind w:left="0"/>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湿地恢复 w</w:t>
      </w:r>
      <w:r>
        <w:rPr>
          <w:rFonts w:ascii="黑体" w:hAnsi="黑体" w:eastAsia="黑体"/>
        </w:rPr>
        <w:t>etland restoration</w:t>
      </w:r>
    </w:p>
    <w:p>
      <w:pPr>
        <w:pStyle w:val="56"/>
        <w:ind w:firstLine="420"/>
      </w:pPr>
      <w:r>
        <w:rPr>
          <w:rFonts w:hint="eastAsia"/>
        </w:rPr>
        <w:t>指通过生态工程技术措施，对退化或消失的湿地进行恢复或重建，再现干扰前的湿地结构和功能，以及相关的物理、化学和生物学特性，依靠湿地生态系统的自我修复能力，尽可能使湿地恢复到自然状态，能够自我维持其稳定性，并发挥应有的生态系统服务功能。</w:t>
      </w:r>
    </w:p>
    <w:p>
      <w:pPr>
        <w:pStyle w:val="223"/>
        <w:ind w:left="0"/>
      </w:pPr>
      <w:r>
        <w:rPr>
          <w:rFonts w:ascii="黑体" w:hAnsi="黑体" w:eastAsia="黑体"/>
        </w:rPr>
        <w:br w:type="textWrapping"/>
      </w:r>
      <w:r>
        <w:rPr>
          <w:rFonts w:hint="eastAsia"/>
        </w:rPr>
        <w:t xml:space="preserve"> </w:t>
      </w:r>
      <w:r>
        <w:t xml:space="preserve">  </w:t>
      </w:r>
      <w:r>
        <w:rPr>
          <w:rFonts w:ascii="黑体" w:hAnsi="黑体" w:eastAsia="黑体"/>
        </w:rPr>
        <w:t xml:space="preserve"> </w:t>
      </w:r>
      <w:r>
        <w:rPr>
          <w:rFonts w:hint="eastAsia" w:ascii="黑体" w:hAnsi="黑体" w:eastAsia="黑体"/>
        </w:rPr>
        <w:t>固碳增汇 c</w:t>
      </w:r>
      <w:r>
        <w:rPr>
          <w:rFonts w:ascii="黑体" w:hAnsi="黑体" w:eastAsia="黑体"/>
        </w:rPr>
        <w:t>arbon sequestration and enhancement</w:t>
      </w:r>
    </w:p>
    <w:p>
      <w:pPr>
        <w:pStyle w:val="56"/>
        <w:ind w:firstLine="420"/>
      </w:pPr>
      <w:r>
        <w:rPr>
          <w:rFonts w:hint="eastAsia"/>
        </w:rPr>
        <w:t>固碳，即碳封存是指增加除大气之外的碳库碳含量的措施，固碳能够将多余的碳封存起来，不排放到大气中。增汇指增强对二氧化碳的储量和汇量。</w:t>
      </w:r>
    </w:p>
    <w:p>
      <w:pPr>
        <w:pStyle w:val="104"/>
        <w:spacing w:before="312" w:after="312"/>
        <w:rPr>
          <w:szCs w:val="21"/>
        </w:rPr>
      </w:pPr>
      <w:bookmarkStart w:id="65" w:name="_Toc168602142"/>
      <w:bookmarkStart w:id="66" w:name="_Toc153447904"/>
      <w:bookmarkStart w:id="67" w:name="_Toc148966087"/>
      <w:bookmarkStart w:id="68" w:name="_Toc168564866"/>
      <w:bookmarkStart w:id="69" w:name="_Toc169707056"/>
      <w:r>
        <w:rPr>
          <w:rFonts w:hint="eastAsia"/>
        </w:rPr>
        <w:t>湿地增汇的原则</w:t>
      </w:r>
      <w:bookmarkEnd w:id="65"/>
      <w:bookmarkEnd w:id="66"/>
      <w:bookmarkEnd w:id="67"/>
      <w:bookmarkEnd w:id="68"/>
      <w:bookmarkEnd w:id="69"/>
    </w:p>
    <w:p>
      <w:pPr>
        <w:pStyle w:val="105"/>
        <w:spacing w:before="156" w:after="156"/>
        <w:rPr>
          <w:rFonts w:ascii="宋体" w:eastAsia="宋体"/>
        </w:rPr>
      </w:pPr>
      <w:bookmarkStart w:id="70" w:name="_Toc168564867"/>
      <w:bookmarkStart w:id="71" w:name="_Toc168602143"/>
      <w:bookmarkStart w:id="72" w:name="_Toc148966088"/>
      <w:bookmarkStart w:id="73" w:name="_Toc153447905"/>
      <w:bookmarkStart w:id="74" w:name="_Toc169707057"/>
      <w:r>
        <w:rPr>
          <w:rFonts w:hint="eastAsia"/>
        </w:rPr>
        <w:t>可行性原则</w:t>
      </w:r>
      <w:bookmarkEnd w:id="70"/>
      <w:bookmarkEnd w:id="71"/>
      <w:bookmarkEnd w:id="72"/>
      <w:bookmarkEnd w:id="73"/>
      <w:bookmarkEnd w:id="74"/>
    </w:p>
    <w:p>
      <w:pPr>
        <w:pStyle w:val="56"/>
        <w:ind w:firstLine="420"/>
      </w:pPr>
      <w:r>
        <w:rPr>
          <w:rFonts w:hint="eastAsia"/>
        </w:rPr>
        <w:t>湿地增汇项目实施时首先必须考虑湿地增汇的可行性。它主要包括两个方面，即环境的可行性和技术的可操作性。</w:t>
      </w:r>
    </w:p>
    <w:p>
      <w:pPr>
        <w:pStyle w:val="105"/>
        <w:spacing w:before="156" w:after="156"/>
      </w:pPr>
      <w:bookmarkStart w:id="75" w:name="_Toc169707058"/>
      <w:bookmarkStart w:id="76" w:name="_Toc153447907"/>
      <w:bookmarkStart w:id="77" w:name="_Toc168564869"/>
      <w:bookmarkStart w:id="78" w:name="_Toc168602145"/>
      <w:bookmarkStart w:id="79" w:name="_Toc148966090"/>
      <w:r>
        <w:rPr>
          <w:rFonts w:hint="eastAsia"/>
        </w:rPr>
        <w:t>恢复湿地的生态完整性、自然结构和自然功能原则</w:t>
      </w:r>
      <w:bookmarkEnd w:id="75"/>
      <w:bookmarkEnd w:id="76"/>
      <w:bookmarkEnd w:id="77"/>
      <w:bookmarkEnd w:id="78"/>
      <w:bookmarkEnd w:id="79"/>
    </w:p>
    <w:p>
      <w:pPr>
        <w:pStyle w:val="56"/>
        <w:ind w:firstLine="420"/>
      </w:pPr>
      <w:r>
        <w:rPr>
          <w:rFonts w:hint="eastAsia"/>
        </w:rPr>
        <w:t>湿地增汇是恢复退化湿地生态系统的生物群落及其组成、结构、功能与自然生态的过程，保证其主要生态状况在一定的自然变化范围内运转正常。</w:t>
      </w:r>
    </w:p>
    <w:p>
      <w:pPr>
        <w:pStyle w:val="105"/>
        <w:spacing w:before="156" w:after="156"/>
      </w:pPr>
      <w:bookmarkStart w:id="80" w:name="_Toc169707059"/>
      <w:bookmarkStart w:id="81" w:name="_Toc168602146"/>
      <w:bookmarkStart w:id="82" w:name="_Toc153447908"/>
      <w:bookmarkStart w:id="83" w:name="_Toc148966091"/>
      <w:bookmarkStart w:id="84" w:name="_Toc168564870"/>
      <w:r>
        <w:rPr>
          <w:rFonts w:hint="eastAsia"/>
        </w:rPr>
        <w:t>流域管理原则</w:t>
      </w:r>
      <w:bookmarkEnd w:id="80"/>
      <w:bookmarkEnd w:id="81"/>
      <w:bookmarkEnd w:id="82"/>
      <w:bookmarkEnd w:id="83"/>
      <w:bookmarkEnd w:id="84"/>
    </w:p>
    <w:p>
      <w:pPr>
        <w:pStyle w:val="56"/>
        <w:ind w:firstLine="420"/>
      </w:pPr>
      <w:r>
        <w:rPr>
          <w:rFonts w:hint="eastAsia"/>
        </w:rPr>
        <w:t>湿地增汇设计要考虑整个湿地区域，甚至整个流域，而非仅仅退化区域。从流域管理的原则，充分考虑集水区或流域内影响工程项目区湿地生态系统的因子，系统规划设计湿地恢复工程项目的建设目标和建设内容。</w:t>
      </w:r>
    </w:p>
    <w:p>
      <w:pPr>
        <w:pStyle w:val="105"/>
        <w:spacing w:before="156" w:after="156"/>
      </w:pPr>
      <w:bookmarkStart w:id="85" w:name="_Toc168564872"/>
      <w:bookmarkStart w:id="86" w:name="_Toc153447910"/>
      <w:bookmarkStart w:id="87" w:name="_Toc168602148"/>
      <w:bookmarkStart w:id="88" w:name="_Toc169707060"/>
      <w:bookmarkStart w:id="89" w:name="_Toc148966093"/>
      <w:r>
        <w:rPr>
          <w:rFonts w:hint="eastAsia"/>
        </w:rPr>
        <w:t>自我维持设计和自然恢复原则</w:t>
      </w:r>
      <w:bookmarkEnd w:id="85"/>
      <w:bookmarkEnd w:id="86"/>
      <w:bookmarkEnd w:id="87"/>
      <w:bookmarkEnd w:id="88"/>
      <w:bookmarkEnd w:id="89"/>
    </w:p>
    <w:p>
      <w:pPr>
        <w:pStyle w:val="56"/>
        <w:ind w:firstLine="420"/>
      </w:pPr>
      <w:r>
        <w:rPr>
          <w:rFonts w:hint="eastAsia"/>
        </w:rPr>
        <w:t>保持湿地增汇的永久活力是将人为维护活动降到最低水平，采用自然增汇的方法。</w:t>
      </w:r>
    </w:p>
    <w:p>
      <w:pPr>
        <w:pStyle w:val="104"/>
        <w:spacing w:before="312" w:after="312"/>
      </w:pPr>
      <w:bookmarkStart w:id="90" w:name="_Toc169707061"/>
      <w:bookmarkStart w:id="91" w:name="_Toc168602149"/>
      <w:bookmarkStart w:id="92" w:name="_Toc148966094"/>
      <w:bookmarkStart w:id="93" w:name="_Toc153447911"/>
      <w:bookmarkStart w:id="94" w:name="_Toc168564873"/>
      <w:r>
        <w:rPr>
          <w:rFonts w:hint="eastAsia"/>
        </w:rPr>
        <w:t>湿地增汇的方法</w:t>
      </w:r>
      <w:bookmarkEnd w:id="90"/>
      <w:bookmarkEnd w:id="91"/>
      <w:bookmarkEnd w:id="92"/>
      <w:bookmarkEnd w:id="93"/>
      <w:bookmarkEnd w:id="94"/>
    </w:p>
    <w:p>
      <w:pPr>
        <w:pStyle w:val="105"/>
        <w:spacing w:before="156" w:after="156"/>
      </w:pPr>
      <w:bookmarkStart w:id="95" w:name="_Toc153447912"/>
      <w:bookmarkStart w:id="96" w:name="_Toc168602150"/>
      <w:bookmarkStart w:id="97" w:name="_Toc169707062"/>
      <w:bookmarkStart w:id="98" w:name="_Toc148966095"/>
      <w:bookmarkStart w:id="99" w:name="_Toc168564874"/>
      <w:r>
        <w:rPr>
          <w:rFonts w:hint="eastAsia"/>
        </w:rPr>
        <w:t>自然增汇方法</w:t>
      </w:r>
      <w:bookmarkEnd w:id="95"/>
      <w:bookmarkEnd w:id="96"/>
      <w:bookmarkEnd w:id="97"/>
      <w:bookmarkEnd w:id="98"/>
      <w:bookmarkEnd w:id="99"/>
    </w:p>
    <w:p>
      <w:pPr>
        <w:pStyle w:val="56"/>
        <w:ind w:firstLine="420"/>
      </w:pPr>
      <w:r>
        <w:rPr>
          <w:rFonts w:hint="eastAsia"/>
        </w:rPr>
        <w:t>通常自然增汇方法是稳定的获取水源、最大限度地接近湿地动植物种源地。</w:t>
      </w:r>
    </w:p>
    <w:p>
      <w:pPr>
        <w:pStyle w:val="105"/>
        <w:spacing w:before="156" w:after="156"/>
      </w:pPr>
      <w:bookmarkStart w:id="100" w:name="_Toc153447913"/>
      <w:bookmarkStart w:id="101" w:name="_Toc148966096"/>
      <w:bookmarkStart w:id="102" w:name="_Toc168602151"/>
      <w:bookmarkStart w:id="103" w:name="_Toc168564875"/>
      <w:bookmarkStart w:id="104" w:name="_Toc169707063"/>
      <w:r>
        <w:rPr>
          <w:rFonts w:hint="eastAsia"/>
        </w:rPr>
        <w:t>人工促进增汇方法</w:t>
      </w:r>
      <w:bookmarkEnd w:id="100"/>
      <w:bookmarkEnd w:id="101"/>
      <w:bookmarkEnd w:id="102"/>
      <w:bookmarkEnd w:id="103"/>
      <w:bookmarkEnd w:id="104"/>
    </w:p>
    <w:p>
      <w:pPr>
        <w:pStyle w:val="56"/>
        <w:ind w:firstLine="420"/>
      </w:pPr>
      <w:r>
        <w:rPr>
          <w:rFonts w:hint="eastAsia"/>
        </w:rPr>
        <w:t>人工促进自然增汇涉及到自然干预，即人类直接控制湿地增汇的过程，以恢复、新建或改进湿地生态系统。当一个湿地严重退化，或者只有通过湿地建造和最大程度的改进才能完成预定的目标时，人工促进增汇方法是一个最佳的恢复模式。采用科学准确人工促进增汇方法的设计、监督、建设。</w:t>
      </w:r>
    </w:p>
    <w:p>
      <w:pPr>
        <w:pStyle w:val="104"/>
        <w:spacing w:before="312" w:after="312"/>
      </w:pPr>
      <w:bookmarkStart w:id="105" w:name="_Toc153447914"/>
      <w:bookmarkStart w:id="106" w:name="_Toc169707064"/>
      <w:bookmarkStart w:id="107" w:name="_Toc168564876"/>
      <w:bookmarkStart w:id="108" w:name="_Toc168602152"/>
      <w:bookmarkStart w:id="109" w:name="_Toc148966097"/>
      <w:r>
        <w:rPr>
          <w:rFonts w:hint="eastAsia"/>
        </w:rPr>
        <w:t>湿地增汇流程</w:t>
      </w:r>
      <w:bookmarkEnd w:id="105"/>
      <w:bookmarkEnd w:id="106"/>
      <w:bookmarkEnd w:id="107"/>
      <w:bookmarkEnd w:id="108"/>
      <w:bookmarkEnd w:id="109"/>
    </w:p>
    <w:p>
      <w:pPr>
        <w:pStyle w:val="105"/>
        <w:spacing w:before="156" w:after="156"/>
      </w:pPr>
      <w:bookmarkStart w:id="110" w:name="_Toc169707065"/>
      <w:bookmarkStart w:id="111" w:name="_Toc168602153"/>
      <w:bookmarkStart w:id="112" w:name="_Toc153447915"/>
      <w:bookmarkStart w:id="113" w:name="_Toc148966098"/>
      <w:bookmarkStart w:id="114" w:name="_Toc168564877"/>
      <w:r>
        <w:rPr>
          <w:rFonts w:hint="eastAsia"/>
        </w:rPr>
        <w:t>对湿地碳汇能力退化状况的调查及评价</w:t>
      </w:r>
      <w:bookmarkEnd w:id="110"/>
      <w:bookmarkEnd w:id="111"/>
      <w:bookmarkEnd w:id="112"/>
      <w:bookmarkEnd w:id="113"/>
      <w:bookmarkEnd w:id="114"/>
    </w:p>
    <w:p>
      <w:pPr>
        <w:pStyle w:val="56"/>
        <w:ind w:firstLine="420"/>
      </w:pPr>
      <w:r>
        <w:rPr>
          <w:rFonts w:hint="eastAsia"/>
        </w:rPr>
        <w:t>按照GB/T 27647 对湿地的退化状况进行调查和评价，以明确造成该湿地碳汇能力退化的原因、恢复潜力等。</w:t>
      </w:r>
    </w:p>
    <w:p>
      <w:pPr>
        <w:pStyle w:val="105"/>
        <w:spacing w:before="156" w:after="156"/>
      </w:pPr>
      <w:bookmarkStart w:id="115" w:name="_Toc169707066"/>
      <w:bookmarkStart w:id="116" w:name="_Toc168602154"/>
      <w:bookmarkStart w:id="117" w:name="_Toc168564878"/>
      <w:bookmarkStart w:id="118" w:name="_Toc148966099"/>
      <w:bookmarkStart w:id="119" w:name="_Toc153447916"/>
      <w:r>
        <w:rPr>
          <w:rFonts w:hint="eastAsia"/>
        </w:rPr>
        <w:t>确定湿地增汇区域</w:t>
      </w:r>
      <w:bookmarkEnd w:id="115"/>
      <w:bookmarkEnd w:id="116"/>
      <w:bookmarkEnd w:id="117"/>
      <w:bookmarkEnd w:id="118"/>
      <w:bookmarkEnd w:id="119"/>
    </w:p>
    <w:p>
      <w:pPr>
        <w:pStyle w:val="56"/>
        <w:ind w:firstLine="420"/>
      </w:pPr>
      <w:r>
        <w:rPr>
          <w:rFonts w:hint="eastAsia"/>
        </w:rPr>
        <w:t>要选择一个增汇区域，首先确定该增汇区是否属于地方优先增汇区域。要在一系列的增汇地点中选择最佳的增汇区域，需要考虑以下四个因素：水文条件、地形地貌条件、土壤条件、生物因素。</w:t>
      </w:r>
    </w:p>
    <w:p>
      <w:pPr>
        <w:pStyle w:val="105"/>
        <w:spacing w:before="156" w:after="156"/>
      </w:pPr>
      <w:bookmarkStart w:id="120" w:name="_Toc153447917"/>
      <w:bookmarkStart w:id="121" w:name="_Toc168602155"/>
      <w:bookmarkStart w:id="122" w:name="_Toc169707067"/>
      <w:bookmarkStart w:id="123" w:name="_Toc168564879"/>
      <w:bookmarkStart w:id="124" w:name="_Toc148966100"/>
      <w:r>
        <w:rPr>
          <w:rFonts w:hint="eastAsia"/>
        </w:rPr>
        <w:t>湿地增汇区域的本底调查</w:t>
      </w:r>
      <w:bookmarkEnd w:id="120"/>
      <w:bookmarkEnd w:id="121"/>
      <w:bookmarkEnd w:id="122"/>
      <w:bookmarkEnd w:id="123"/>
      <w:bookmarkEnd w:id="124"/>
    </w:p>
    <w:p>
      <w:pPr>
        <w:pStyle w:val="56"/>
        <w:ind w:firstLine="420"/>
      </w:pPr>
      <w:r>
        <w:rPr>
          <w:rFonts w:hint="eastAsia"/>
        </w:rPr>
        <w:t>按照DB 1502/T 024 对增汇区域进行本底调查和评估，了解该区域过去和现在的状况，增汇区域在过去是否属于湿地范畴，增汇区域过去的水文要素、植被的分布格局、地形地貌、物种对栖息地的需求等，增汇区域现在的状况。</w:t>
      </w:r>
    </w:p>
    <w:p>
      <w:pPr>
        <w:pStyle w:val="105"/>
        <w:spacing w:before="156" w:after="156"/>
      </w:pPr>
      <w:bookmarkStart w:id="125" w:name="_Toc168564880"/>
      <w:bookmarkStart w:id="126" w:name="_Toc153447918"/>
      <w:bookmarkStart w:id="127" w:name="_Toc168602156"/>
      <w:bookmarkStart w:id="128" w:name="_Toc148966101"/>
      <w:bookmarkStart w:id="129" w:name="_Toc169707068"/>
      <w:r>
        <w:rPr>
          <w:rFonts w:hint="eastAsia"/>
        </w:rPr>
        <w:t>确定湿地增汇的目标</w:t>
      </w:r>
      <w:bookmarkEnd w:id="125"/>
      <w:bookmarkEnd w:id="126"/>
      <w:bookmarkEnd w:id="127"/>
      <w:bookmarkEnd w:id="128"/>
      <w:bookmarkEnd w:id="129"/>
    </w:p>
    <w:p>
      <w:pPr>
        <w:pStyle w:val="56"/>
        <w:ind w:firstLine="420"/>
      </w:pPr>
      <w:r>
        <w:rPr>
          <w:rFonts w:hint="eastAsia"/>
        </w:rPr>
        <w:t>按照LY/T 2899 根据不同的地域条件，确定湿地增汇的目标。</w:t>
      </w:r>
    </w:p>
    <w:p>
      <w:pPr>
        <w:pStyle w:val="105"/>
        <w:spacing w:before="156" w:after="156"/>
      </w:pPr>
      <w:bookmarkStart w:id="130" w:name="_Toc153447922"/>
      <w:bookmarkStart w:id="131" w:name="_Toc168564884"/>
      <w:bookmarkStart w:id="132" w:name="_Toc168602160"/>
      <w:bookmarkStart w:id="133" w:name="_Toc169707069"/>
      <w:bookmarkStart w:id="134" w:name="_Toc148966105"/>
      <w:r>
        <w:rPr>
          <w:rFonts w:hint="eastAsia"/>
        </w:rPr>
        <w:t>湿地增汇的监测</w:t>
      </w:r>
      <w:bookmarkEnd w:id="130"/>
      <w:bookmarkEnd w:id="131"/>
      <w:bookmarkEnd w:id="132"/>
      <w:bookmarkEnd w:id="133"/>
      <w:bookmarkEnd w:id="134"/>
    </w:p>
    <w:p>
      <w:pPr>
        <w:pStyle w:val="56"/>
        <w:ind w:firstLine="420"/>
      </w:pPr>
      <w:r>
        <w:rPr>
          <w:rFonts w:hint="eastAsia"/>
        </w:rPr>
        <w:t>按照DB 1502/T 024</w:t>
      </w:r>
      <w:r>
        <w:t xml:space="preserve"> </w:t>
      </w:r>
      <w:r>
        <w:rPr>
          <w:rFonts w:hint="eastAsia"/>
        </w:rPr>
        <w:t>完成湿地增汇监测方案，包括监测方法、监测指标、实施路线、采样频率和强度等。满足湿地增汇前和增汇后的监测。</w:t>
      </w:r>
    </w:p>
    <w:p>
      <w:pPr>
        <w:pStyle w:val="105"/>
        <w:spacing w:before="156" w:after="156"/>
      </w:pPr>
      <w:bookmarkStart w:id="135" w:name="_Toc168564885"/>
      <w:bookmarkStart w:id="136" w:name="_Toc153447923"/>
      <w:bookmarkStart w:id="137" w:name="_Toc148966106"/>
      <w:bookmarkStart w:id="138" w:name="_Toc168602161"/>
      <w:bookmarkStart w:id="139" w:name="_Toc169707070"/>
      <w:r>
        <w:rPr>
          <w:rFonts w:hint="eastAsia"/>
        </w:rPr>
        <w:t>湿地增汇的长期管理</w:t>
      </w:r>
      <w:bookmarkEnd w:id="135"/>
      <w:bookmarkEnd w:id="136"/>
      <w:bookmarkEnd w:id="137"/>
      <w:bookmarkEnd w:id="138"/>
      <w:bookmarkEnd w:id="139"/>
    </w:p>
    <w:p>
      <w:pPr>
        <w:pStyle w:val="56"/>
        <w:ind w:firstLine="420"/>
      </w:pPr>
      <w:r>
        <w:rPr>
          <w:rFonts w:hint="eastAsia"/>
        </w:rPr>
        <w:t>湿地增汇措施完成后，需对湿地增汇进行长期管理，使其发挥预期的生态功能，使人为影响达到最小化。长期管理需要维护现有的各种设施和设备。</w:t>
      </w:r>
    </w:p>
    <w:bookmarkEnd w:id="28"/>
    <w:p>
      <w:pPr>
        <w:pStyle w:val="56"/>
        <w:ind w:firstLine="0" w:firstLineChars="0"/>
        <w:jc w:val="center"/>
      </w:pPr>
      <w:bookmarkStart w:id="140" w:name="BookMark8"/>
      <w:r>
        <w:rPr>
          <w:rFonts w:hint="eastAsia"/>
        </w:rPr>
        <w:drawing>
          <wp:inline distT="0" distB="0" distL="0" distR="0">
            <wp:extent cx="1485900" cy="317500"/>
            <wp:effectExtent l="0" t="0" r="0" b="6350"/>
            <wp:docPr id="900460523" name="图片 1"/>
            <wp:cNvGraphicFramePr/>
            <a:graphic xmlns:a="http://schemas.openxmlformats.org/drawingml/2006/main">
              <a:graphicData uri="http://schemas.openxmlformats.org/drawingml/2006/picture">
                <pic:pic xmlns:pic="http://schemas.openxmlformats.org/drawingml/2006/picture">
                  <pic:nvPicPr>
                    <pic:cNvPr id="90046052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56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567"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fGILebf7ESyJVfZXDIW/iSrXPInttPnQYJWSRUUmw9p6eGfNAnqqYf1SWDXq38THhSmSLbiDyuqPytsOKkA7jg==" w:salt="yzjq36TGN6qfS3TwFF3Ss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00A345B6"/>
    <w:rsid w:val="0000040A"/>
    <w:rsid w:val="00000A94"/>
    <w:rsid w:val="00001972"/>
    <w:rsid w:val="00001D9A"/>
    <w:rsid w:val="00007B3A"/>
    <w:rsid w:val="0001015E"/>
    <w:rsid w:val="000107E0"/>
    <w:rsid w:val="00010B8B"/>
    <w:rsid w:val="00011FDE"/>
    <w:rsid w:val="00012B60"/>
    <w:rsid w:val="00012FFD"/>
    <w:rsid w:val="00014162"/>
    <w:rsid w:val="00014340"/>
    <w:rsid w:val="00016A9C"/>
    <w:rsid w:val="00021370"/>
    <w:rsid w:val="0002141E"/>
    <w:rsid w:val="00022184"/>
    <w:rsid w:val="00022762"/>
    <w:rsid w:val="000238E0"/>
    <w:rsid w:val="000249DB"/>
    <w:rsid w:val="0002595E"/>
    <w:rsid w:val="000303C3"/>
    <w:rsid w:val="000331D3"/>
    <w:rsid w:val="000346A5"/>
    <w:rsid w:val="000359C3"/>
    <w:rsid w:val="00035A7D"/>
    <w:rsid w:val="000365ED"/>
    <w:rsid w:val="00036AFC"/>
    <w:rsid w:val="0004249A"/>
    <w:rsid w:val="00043282"/>
    <w:rsid w:val="00044286"/>
    <w:rsid w:val="00047F28"/>
    <w:rsid w:val="000503AA"/>
    <w:rsid w:val="000506A1"/>
    <w:rsid w:val="000515DD"/>
    <w:rsid w:val="0005265A"/>
    <w:rsid w:val="000539DD"/>
    <w:rsid w:val="00053BD3"/>
    <w:rsid w:val="00054BD7"/>
    <w:rsid w:val="000556ED"/>
    <w:rsid w:val="00055FE2"/>
    <w:rsid w:val="0005616F"/>
    <w:rsid w:val="000579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4F"/>
    <w:rsid w:val="00096D63"/>
    <w:rsid w:val="000A0B60"/>
    <w:rsid w:val="000A0EB8"/>
    <w:rsid w:val="000A19FC"/>
    <w:rsid w:val="000A296B"/>
    <w:rsid w:val="000A3604"/>
    <w:rsid w:val="000A7311"/>
    <w:rsid w:val="000B060F"/>
    <w:rsid w:val="000B1592"/>
    <w:rsid w:val="000B1FF2"/>
    <w:rsid w:val="000B3CDA"/>
    <w:rsid w:val="000B6A0B"/>
    <w:rsid w:val="000C0F6C"/>
    <w:rsid w:val="000C11DB"/>
    <w:rsid w:val="000C1492"/>
    <w:rsid w:val="000C2D2D"/>
    <w:rsid w:val="000C2FBD"/>
    <w:rsid w:val="000C4B41"/>
    <w:rsid w:val="000C57D6"/>
    <w:rsid w:val="000C6362"/>
    <w:rsid w:val="000C6EFF"/>
    <w:rsid w:val="000C7666"/>
    <w:rsid w:val="000D0A9C"/>
    <w:rsid w:val="000D1795"/>
    <w:rsid w:val="000D329A"/>
    <w:rsid w:val="000D4B9C"/>
    <w:rsid w:val="000D4EB6"/>
    <w:rsid w:val="000D6F1E"/>
    <w:rsid w:val="000D753B"/>
    <w:rsid w:val="000E195D"/>
    <w:rsid w:val="000E4C9E"/>
    <w:rsid w:val="000E6FD7"/>
    <w:rsid w:val="000F00F2"/>
    <w:rsid w:val="000F06E1"/>
    <w:rsid w:val="000F0E3C"/>
    <w:rsid w:val="000F19D5"/>
    <w:rsid w:val="000F4AEA"/>
    <w:rsid w:val="000F633F"/>
    <w:rsid w:val="000F67E9"/>
    <w:rsid w:val="00104926"/>
    <w:rsid w:val="00111085"/>
    <w:rsid w:val="00111C82"/>
    <w:rsid w:val="00113B1E"/>
    <w:rsid w:val="0011711C"/>
    <w:rsid w:val="0012059C"/>
    <w:rsid w:val="00124E4F"/>
    <w:rsid w:val="001260B7"/>
    <w:rsid w:val="001265CB"/>
    <w:rsid w:val="0013112A"/>
    <w:rsid w:val="001321C6"/>
    <w:rsid w:val="001325C4"/>
    <w:rsid w:val="00133010"/>
    <w:rsid w:val="001338EE"/>
    <w:rsid w:val="00133AAE"/>
    <w:rsid w:val="00135323"/>
    <w:rsid w:val="001356C4"/>
    <w:rsid w:val="00141114"/>
    <w:rsid w:val="00142969"/>
    <w:rsid w:val="001446C2"/>
    <w:rsid w:val="001457E7"/>
    <w:rsid w:val="00145D9D"/>
    <w:rsid w:val="00146388"/>
    <w:rsid w:val="00147206"/>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6A2"/>
    <w:rsid w:val="001F4816"/>
    <w:rsid w:val="001F4EE9"/>
    <w:rsid w:val="001F69B4"/>
    <w:rsid w:val="001F77C7"/>
    <w:rsid w:val="00200183"/>
    <w:rsid w:val="00200333"/>
    <w:rsid w:val="0020107D"/>
    <w:rsid w:val="00202AA4"/>
    <w:rsid w:val="002031F7"/>
    <w:rsid w:val="002040E6"/>
    <w:rsid w:val="0020527B"/>
    <w:rsid w:val="00205F2C"/>
    <w:rsid w:val="00210B15"/>
    <w:rsid w:val="00211DBE"/>
    <w:rsid w:val="002142EA"/>
    <w:rsid w:val="00215E46"/>
    <w:rsid w:val="002204BB"/>
    <w:rsid w:val="00221B79"/>
    <w:rsid w:val="00221C6B"/>
    <w:rsid w:val="002253A1"/>
    <w:rsid w:val="00225CF8"/>
    <w:rsid w:val="0022794E"/>
    <w:rsid w:val="00233D64"/>
    <w:rsid w:val="0023482A"/>
    <w:rsid w:val="002359CB"/>
    <w:rsid w:val="00243540"/>
    <w:rsid w:val="0024497B"/>
    <w:rsid w:val="0024515B"/>
    <w:rsid w:val="002453F3"/>
    <w:rsid w:val="00246021"/>
    <w:rsid w:val="0024666E"/>
    <w:rsid w:val="00247DA7"/>
    <w:rsid w:val="00247F52"/>
    <w:rsid w:val="00250B25"/>
    <w:rsid w:val="00250BBE"/>
    <w:rsid w:val="002515C2"/>
    <w:rsid w:val="0025194F"/>
    <w:rsid w:val="00257F68"/>
    <w:rsid w:val="0026148A"/>
    <w:rsid w:val="00262696"/>
    <w:rsid w:val="00263D25"/>
    <w:rsid w:val="002643C3"/>
    <w:rsid w:val="00264A0C"/>
    <w:rsid w:val="00266EEB"/>
    <w:rsid w:val="00267EF4"/>
    <w:rsid w:val="00270CB8"/>
    <w:rsid w:val="00272B08"/>
    <w:rsid w:val="002771AC"/>
    <w:rsid w:val="00277CD1"/>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C70"/>
    <w:rsid w:val="002C3F07"/>
    <w:rsid w:val="002C5278"/>
    <w:rsid w:val="002C7EBB"/>
    <w:rsid w:val="002D06C1"/>
    <w:rsid w:val="002D42B5"/>
    <w:rsid w:val="002D4F1A"/>
    <w:rsid w:val="002D6EC6"/>
    <w:rsid w:val="002D79AC"/>
    <w:rsid w:val="002E039D"/>
    <w:rsid w:val="002E4D5A"/>
    <w:rsid w:val="002E6326"/>
    <w:rsid w:val="002F21EB"/>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21E"/>
    <w:rsid w:val="00336C64"/>
    <w:rsid w:val="00337162"/>
    <w:rsid w:val="0034194F"/>
    <w:rsid w:val="00344605"/>
    <w:rsid w:val="003474AA"/>
    <w:rsid w:val="00350D1D"/>
    <w:rsid w:val="00352C83"/>
    <w:rsid w:val="00352E36"/>
    <w:rsid w:val="003615D2"/>
    <w:rsid w:val="0036429C"/>
    <w:rsid w:val="00364A53"/>
    <w:rsid w:val="003654CB"/>
    <w:rsid w:val="00365AA9"/>
    <w:rsid w:val="00365F86"/>
    <w:rsid w:val="00365F87"/>
    <w:rsid w:val="00366E89"/>
    <w:rsid w:val="003705F4"/>
    <w:rsid w:val="00370D58"/>
    <w:rsid w:val="00371316"/>
    <w:rsid w:val="0037432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2D6"/>
    <w:rsid w:val="00426E69"/>
    <w:rsid w:val="00432DAA"/>
    <w:rsid w:val="00434305"/>
    <w:rsid w:val="00435DF7"/>
    <w:rsid w:val="0044083F"/>
    <w:rsid w:val="00441AE7"/>
    <w:rsid w:val="00443993"/>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4A1"/>
    <w:rsid w:val="004B2701"/>
    <w:rsid w:val="004B2E1B"/>
    <w:rsid w:val="004B3AA8"/>
    <w:rsid w:val="004B3E93"/>
    <w:rsid w:val="004C1EA4"/>
    <w:rsid w:val="004C1FBC"/>
    <w:rsid w:val="004C2FFD"/>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E2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73B"/>
    <w:rsid w:val="00555044"/>
    <w:rsid w:val="00561475"/>
    <w:rsid w:val="0056487B"/>
    <w:rsid w:val="00564FB9"/>
    <w:rsid w:val="005737F1"/>
    <w:rsid w:val="00573D9E"/>
    <w:rsid w:val="005801E3"/>
    <w:rsid w:val="00581432"/>
    <w:rsid w:val="00581802"/>
    <w:rsid w:val="005836A8"/>
    <w:rsid w:val="0058409C"/>
    <w:rsid w:val="00584262"/>
    <w:rsid w:val="00586630"/>
    <w:rsid w:val="00587ADD"/>
    <w:rsid w:val="0059084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076"/>
    <w:rsid w:val="00604784"/>
    <w:rsid w:val="00606419"/>
    <w:rsid w:val="00607D29"/>
    <w:rsid w:val="00612952"/>
    <w:rsid w:val="00614CC1"/>
    <w:rsid w:val="0061545D"/>
    <w:rsid w:val="00615A9D"/>
    <w:rsid w:val="00616EA2"/>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E5E"/>
    <w:rsid w:val="0065047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644"/>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093"/>
    <w:rsid w:val="006F03A8"/>
    <w:rsid w:val="006F2ACA"/>
    <w:rsid w:val="006F2ADC"/>
    <w:rsid w:val="006F2BFE"/>
    <w:rsid w:val="006F31E9"/>
    <w:rsid w:val="006F6284"/>
    <w:rsid w:val="007002C5"/>
    <w:rsid w:val="00704387"/>
    <w:rsid w:val="0070738B"/>
    <w:rsid w:val="00707669"/>
    <w:rsid w:val="00711CBA"/>
    <w:rsid w:val="00711FB5"/>
    <w:rsid w:val="00712A01"/>
    <w:rsid w:val="00714F58"/>
    <w:rsid w:val="00715F83"/>
    <w:rsid w:val="00722FBF"/>
    <w:rsid w:val="00722FC2"/>
    <w:rsid w:val="00724879"/>
    <w:rsid w:val="00724E1B"/>
    <w:rsid w:val="00725949"/>
    <w:rsid w:val="00726440"/>
    <w:rsid w:val="00727FA2"/>
    <w:rsid w:val="007301C3"/>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25"/>
    <w:rsid w:val="00756EDF"/>
    <w:rsid w:val="007600E3"/>
    <w:rsid w:val="00763965"/>
    <w:rsid w:val="00765C43"/>
    <w:rsid w:val="00765EFB"/>
    <w:rsid w:val="007671CA"/>
    <w:rsid w:val="00767C61"/>
    <w:rsid w:val="0077008A"/>
    <w:rsid w:val="00773C1F"/>
    <w:rsid w:val="00774DA4"/>
    <w:rsid w:val="00776599"/>
    <w:rsid w:val="0077793D"/>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7B4"/>
    <w:rsid w:val="007C1E8B"/>
    <w:rsid w:val="007C2D89"/>
    <w:rsid w:val="007C4593"/>
    <w:rsid w:val="007C5309"/>
    <w:rsid w:val="007C6069"/>
    <w:rsid w:val="007D06C4"/>
    <w:rsid w:val="007D101B"/>
    <w:rsid w:val="007D103A"/>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8C6"/>
    <w:rsid w:val="0085173A"/>
    <w:rsid w:val="00856316"/>
    <w:rsid w:val="008603CE"/>
    <w:rsid w:val="008620FC"/>
    <w:rsid w:val="008627A5"/>
    <w:rsid w:val="00863E05"/>
    <w:rsid w:val="00865ACA"/>
    <w:rsid w:val="00865D28"/>
    <w:rsid w:val="00865F85"/>
    <w:rsid w:val="00867C10"/>
    <w:rsid w:val="00870439"/>
    <w:rsid w:val="00870DA1"/>
    <w:rsid w:val="00880E1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12E"/>
    <w:rsid w:val="008B32EC"/>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180"/>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B7B"/>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824"/>
    <w:rsid w:val="009E2204"/>
    <w:rsid w:val="009E4A58"/>
    <w:rsid w:val="009E5A2D"/>
    <w:rsid w:val="009E5AB2"/>
    <w:rsid w:val="009E6219"/>
    <w:rsid w:val="009F03B3"/>
    <w:rsid w:val="00A0096C"/>
    <w:rsid w:val="00A01757"/>
    <w:rsid w:val="00A028C0"/>
    <w:rsid w:val="00A02BAE"/>
    <w:rsid w:val="00A06A6B"/>
    <w:rsid w:val="00A07E47"/>
    <w:rsid w:val="00A12204"/>
    <w:rsid w:val="00A129D0"/>
    <w:rsid w:val="00A12C33"/>
    <w:rsid w:val="00A138BA"/>
    <w:rsid w:val="00A14C8E"/>
    <w:rsid w:val="00A153D9"/>
    <w:rsid w:val="00A15F09"/>
    <w:rsid w:val="00A169B6"/>
    <w:rsid w:val="00A2271D"/>
    <w:rsid w:val="00A237D5"/>
    <w:rsid w:val="00A30EFC"/>
    <w:rsid w:val="00A31984"/>
    <w:rsid w:val="00A32D73"/>
    <w:rsid w:val="00A3367B"/>
    <w:rsid w:val="00A345B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07"/>
    <w:rsid w:val="00A83D8D"/>
    <w:rsid w:val="00A8446B"/>
    <w:rsid w:val="00A8473F"/>
    <w:rsid w:val="00A862D6"/>
    <w:rsid w:val="00A8715E"/>
    <w:rsid w:val="00A9295B"/>
    <w:rsid w:val="00A93B09"/>
    <w:rsid w:val="00A94247"/>
    <w:rsid w:val="00A952D7"/>
    <w:rsid w:val="00A963F7"/>
    <w:rsid w:val="00A9699A"/>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4FD"/>
    <w:rsid w:val="00AE5EB4"/>
    <w:rsid w:val="00AF0C18"/>
    <w:rsid w:val="00AF22C5"/>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7FF"/>
    <w:rsid w:val="00B72880"/>
    <w:rsid w:val="00B758BF"/>
    <w:rsid w:val="00B77EC8"/>
    <w:rsid w:val="00B827A6"/>
    <w:rsid w:val="00B831CE"/>
    <w:rsid w:val="00B86677"/>
    <w:rsid w:val="00B87131"/>
    <w:rsid w:val="00B939B1"/>
    <w:rsid w:val="00B9513A"/>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72C"/>
    <w:rsid w:val="00BD52D7"/>
    <w:rsid w:val="00BD5AD2"/>
    <w:rsid w:val="00BE22F3"/>
    <w:rsid w:val="00BE5B52"/>
    <w:rsid w:val="00BE7B8D"/>
    <w:rsid w:val="00BF0993"/>
    <w:rsid w:val="00BF10A9"/>
    <w:rsid w:val="00BF1703"/>
    <w:rsid w:val="00BF231C"/>
    <w:rsid w:val="00BF51E5"/>
    <w:rsid w:val="00BF66F9"/>
    <w:rsid w:val="00BF74A6"/>
    <w:rsid w:val="00C013AD"/>
    <w:rsid w:val="00C040EF"/>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C4A"/>
    <w:rsid w:val="00C6329F"/>
    <w:rsid w:val="00C63340"/>
    <w:rsid w:val="00C633C8"/>
    <w:rsid w:val="00C643F9"/>
    <w:rsid w:val="00C64E95"/>
    <w:rsid w:val="00C71372"/>
    <w:rsid w:val="00C72410"/>
    <w:rsid w:val="00C7287F"/>
    <w:rsid w:val="00C80982"/>
    <w:rsid w:val="00C80CB8"/>
    <w:rsid w:val="00C819F8"/>
    <w:rsid w:val="00C8248C"/>
    <w:rsid w:val="00C84E33"/>
    <w:rsid w:val="00C86D6F"/>
    <w:rsid w:val="00C905FC"/>
    <w:rsid w:val="00C91CA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F3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075"/>
    <w:rsid w:val="00CE0C4F"/>
    <w:rsid w:val="00CE30EA"/>
    <w:rsid w:val="00CF048A"/>
    <w:rsid w:val="00CF155A"/>
    <w:rsid w:val="00CF2947"/>
    <w:rsid w:val="00CF686F"/>
    <w:rsid w:val="00CF6E60"/>
    <w:rsid w:val="00CF7BCA"/>
    <w:rsid w:val="00D008FD"/>
    <w:rsid w:val="00D0321C"/>
    <w:rsid w:val="00D035EC"/>
    <w:rsid w:val="00D05156"/>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6DFA"/>
    <w:rsid w:val="00D4734F"/>
    <w:rsid w:val="00D51BF3"/>
    <w:rsid w:val="00D66846"/>
    <w:rsid w:val="00D675FB"/>
    <w:rsid w:val="00D71F25"/>
    <w:rsid w:val="00D72A9C"/>
    <w:rsid w:val="00D76AA1"/>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A20"/>
    <w:rsid w:val="00DD00FF"/>
    <w:rsid w:val="00DD0619"/>
    <w:rsid w:val="00DD07FB"/>
    <w:rsid w:val="00DD25C6"/>
    <w:rsid w:val="00DD4FE5"/>
    <w:rsid w:val="00DD54B0"/>
    <w:rsid w:val="00DD57EE"/>
    <w:rsid w:val="00DD6BCC"/>
    <w:rsid w:val="00DE09D8"/>
    <w:rsid w:val="00DE0A4B"/>
    <w:rsid w:val="00DE18D3"/>
    <w:rsid w:val="00DE1963"/>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F3D"/>
    <w:rsid w:val="00E44A83"/>
    <w:rsid w:val="00E502C1"/>
    <w:rsid w:val="00E502DD"/>
    <w:rsid w:val="00E50D3A"/>
    <w:rsid w:val="00E51387"/>
    <w:rsid w:val="00E51E68"/>
    <w:rsid w:val="00E52EFD"/>
    <w:rsid w:val="00E5408A"/>
    <w:rsid w:val="00E54EDE"/>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794"/>
    <w:rsid w:val="00F26B7E"/>
    <w:rsid w:val="00F27A3B"/>
    <w:rsid w:val="00F27E4B"/>
    <w:rsid w:val="00F3346C"/>
    <w:rsid w:val="00F33817"/>
    <w:rsid w:val="00F4036C"/>
    <w:rsid w:val="00F420D5"/>
    <w:rsid w:val="00F43F4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76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C72"/>
    <w:rsid w:val="00FA662D"/>
    <w:rsid w:val="00FA73B1"/>
    <w:rsid w:val="00FB0CB9"/>
    <w:rsid w:val="00FB231D"/>
    <w:rsid w:val="00FB45F1"/>
    <w:rsid w:val="00FB4A72"/>
    <w:rsid w:val="00FB54E8"/>
    <w:rsid w:val="00FB7054"/>
    <w:rsid w:val="00FC17B7"/>
    <w:rsid w:val="00FC2CB7"/>
    <w:rsid w:val="00FC2E15"/>
    <w:rsid w:val="00FC4090"/>
    <w:rsid w:val="00FC55B4"/>
    <w:rsid w:val="00FD00E6"/>
    <w:rsid w:val="00FD09A1"/>
    <w:rsid w:val="00FD2A7C"/>
    <w:rsid w:val="00FD59EB"/>
    <w:rsid w:val="00FD7299"/>
    <w:rsid w:val="00FE1FBE"/>
    <w:rsid w:val="00FE3901"/>
    <w:rsid w:val="00FE39D3"/>
    <w:rsid w:val="00FE3E95"/>
    <w:rsid w:val="00FE4BCE"/>
    <w:rsid w:val="00FE54AE"/>
    <w:rsid w:val="00FE576A"/>
    <w:rsid w:val="00FE7E79"/>
    <w:rsid w:val="00FF3E7D"/>
    <w:rsid w:val="00FF5B99"/>
    <w:rsid w:val="00FF730C"/>
    <w:rsid w:val="00FF73F4"/>
    <w:rsid w:val="00FF7CE4"/>
    <w:rsid w:val="00FF7E39"/>
    <w:rsid w:val="2C671A57"/>
    <w:rsid w:val="3BEF2865"/>
    <w:rsid w:val="7E9E3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420" w:firstLineChars="200"/>
    </w:pPr>
    <w:rPr>
      <w:rFonts w:ascii="Times New Roman" w:hAnsi="Times New Roman"/>
      <w:kern w:val="0"/>
    </w:rPr>
  </w:style>
  <w:style w:type="paragraph" w:customStyle="1" w:styleId="231">
    <w:name w:val="章标题"/>
    <w:basedOn w:val="1"/>
    <w:next w:val="230"/>
    <w:qFormat/>
    <w:uiPriority w:val="0"/>
    <w:pPr>
      <w:widowControl/>
      <w:adjustRightInd/>
      <w:spacing w:beforeLines="50" w:afterLines="50" w:line="240" w:lineRule="auto"/>
      <w:outlineLvl w:val="1"/>
    </w:pPr>
    <w:rPr>
      <w:rFonts w:ascii="黑体" w:hAnsi="Times New Roman" w:eastAsia="黑体"/>
      <w:kern w:val="0"/>
    </w:rPr>
  </w:style>
  <w:style w:type="paragraph" w:customStyle="1" w:styleId="232">
    <w:name w:val="一级条标题"/>
    <w:basedOn w:val="1"/>
    <w:next w:val="230"/>
    <w:qFormat/>
    <w:uiPriority w:val="0"/>
    <w:pPr>
      <w:widowControl/>
      <w:adjustRightInd/>
      <w:spacing w:before="100" w:beforeAutospacing="1" w:after="100" w:afterAutospacing="1" w:line="240" w:lineRule="auto"/>
      <w:jc w:val="left"/>
      <w:outlineLvl w:val="2"/>
    </w:pPr>
    <w:rPr>
      <w:rFonts w:ascii="Times New Roman"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6249C7227344B2AE891653ED824A6B"/>
        <w:style w:val=""/>
        <w:category>
          <w:name w:val="常规"/>
          <w:gallery w:val="placeholder"/>
        </w:category>
        <w:types>
          <w:type w:val="bbPlcHdr"/>
        </w:types>
        <w:behaviors>
          <w:behavior w:val="content"/>
        </w:behaviors>
        <w:description w:val=""/>
        <w:guid w:val="{B90F2850-0F00-4DC9-9C7E-4C543DC7B8CD}"/>
      </w:docPartPr>
      <w:docPartBody>
        <w:p>
          <w:pPr>
            <w:pStyle w:val="5"/>
          </w:pPr>
          <w:r>
            <w:rPr>
              <w:rStyle w:val="4"/>
              <w:rFonts w:hint="eastAsia"/>
            </w:rPr>
            <w:t>单击或点击此处输入文字。</w:t>
          </w:r>
        </w:p>
      </w:docPartBody>
    </w:docPart>
    <w:docPart>
      <w:docPartPr>
        <w:name w:val="8D14C4D62C2D4ACA81EA24D89F0C1F31"/>
        <w:style w:val=""/>
        <w:category>
          <w:name w:val="常规"/>
          <w:gallery w:val="placeholder"/>
        </w:category>
        <w:types>
          <w:type w:val="bbPlcHdr"/>
        </w:types>
        <w:behaviors>
          <w:behavior w:val="content"/>
        </w:behaviors>
        <w:description w:val=""/>
        <w:guid w:val="{EDA9A5A2-CD68-4F40-86DB-5D40BBC00C7E}"/>
      </w:docPartPr>
      <w:docPartBody>
        <w:p>
          <w:pPr>
            <w:pStyle w:val="6"/>
          </w:pPr>
          <w:r>
            <w:rPr>
              <w:rStyle w:val="4"/>
              <w:rFonts w:hint="eastAsia"/>
            </w:rPr>
            <w:t>选择一项。</w:t>
          </w:r>
        </w:p>
      </w:docPartBody>
    </w:docPart>
    <w:docPart>
      <w:docPartPr>
        <w:name w:val="E6F5799DBB344ACE9EE12A1A41EF7C70"/>
        <w:style w:val=""/>
        <w:category>
          <w:name w:val="常规"/>
          <w:gallery w:val="placeholder"/>
        </w:category>
        <w:types>
          <w:type w:val="bbPlcHdr"/>
        </w:types>
        <w:behaviors>
          <w:behavior w:val="content"/>
        </w:behaviors>
        <w:description w:val=""/>
        <w:guid w:val="{B82CDFE6-FB23-4D1C-BDE8-83146183959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3A"/>
    <w:rsid w:val="002428E7"/>
    <w:rsid w:val="003820D8"/>
    <w:rsid w:val="004A348C"/>
    <w:rsid w:val="00972079"/>
    <w:rsid w:val="009C0C81"/>
    <w:rsid w:val="00A41D3A"/>
    <w:rsid w:val="00C35EA5"/>
    <w:rsid w:val="00CE041A"/>
    <w:rsid w:val="00D1655B"/>
    <w:rsid w:val="00E85685"/>
    <w:rsid w:val="00F17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06249C7227344B2AE891653ED824A6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14C4D62C2D4ACA81EA24D89F0C1F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E6F5799DBB344ACE9EE12A1A41EF7C7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762E7-2BEB-4CE5-93E2-AF607BDE1E3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1993</Words>
  <Characters>2242</Characters>
  <Lines>28</Lines>
  <Paragraphs>7</Paragraphs>
  <TotalTime>65</TotalTime>
  <ScaleCrop>false</ScaleCrop>
  <LinksUpToDate>false</LinksUpToDate>
  <CharactersWithSpaces>2359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2024-01-07T01:28:00Z</dcterms:created>
  <dc:creator>xb21cn</dc:creator>
  <dc:description>&lt;config cover="true" show_menu="true" version="1.0.0" doctype="SDKXY"&gt;_x000d_
&lt;/config&gt;</dc:description>
  <cp:lastModifiedBy>YY</cp:lastModifiedBy>
  <cp:lastPrinted>2020-08-30T10:00:00Z</cp:lastPrinted>
  <dcterms:modified xsi:type="dcterms:W3CDTF">2024-06-24T08:25:24Z</dcterms:modified>
  <dc:title>地方标准</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B9873526495D4DEF856C5D8CE1EE5861_12</vt:lpwstr>
  </property>
</Properties>
</file>