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val="en-US" w:eastAsia="zh-CN"/>
        </w:rPr>
        <w:t>《产品碳足迹核算及林草碳汇</w:t>
      </w:r>
      <w:r>
        <w:rPr>
          <w:rFonts w:hint="eastAsia" w:ascii="方正小标宋简体" w:eastAsia="方正小标宋简体"/>
          <w:sz w:val="44"/>
          <w:szCs w:val="44"/>
        </w:rPr>
        <w:t>碳中和</w:t>
      </w:r>
      <w:r>
        <w:rPr>
          <w:rFonts w:hint="eastAsia" w:ascii="方正小标宋简体" w:eastAsia="方正小标宋简体"/>
          <w:sz w:val="44"/>
          <w:szCs w:val="44"/>
          <w:lang w:val="en-US" w:eastAsia="zh-CN"/>
        </w:rPr>
        <w:t>技术规程》</w:t>
      </w:r>
      <w:r>
        <w:rPr>
          <w:rFonts w:hint="eastAsia" w:ascii="方正小标宋简体" w:eastAsia="方正小标宋简体"/>
          <w:sz w:val="44"/>
          <w:szCs w:val="44"/>
        </w:rPr>
        <w:t>编制说明</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eastAsia"/>
        </w:rPr>
      </w:pPr>
      <w:bookmarkStart w:id="0" w:name="_Toc16798"/>
      <w:r>
        <w:rPr>
          <w:rFonts w:hint="eastAsia"/>
        </w:rPr>
        <w:t>一、工作简况</w:t>
      </w:r>
      <w:bookmarkEnd w:id="0"/>
    </w:p>
    <w:p>
      <w:pPr>
        <w:pStyle w:val="3"/>
        <w:pageBreakBefore w:val="0"/>
        <w:kinsoku/>
        <w:wordWrap/>
        <w:overflowPunct/>
        <w:topLinePunct w:val="0"/>
        <w:autoSpaceDE/>
        <w:autoSpaceDN/>
        <w:bidi w:val="0"/>
        <w:adjustRightInd/>
        <w:snapToGrid/>
        <w:spacing w:line="600" w:lineRule="exact"/>
        <w:textAlignment w:val="auto"/>
        <w:rPr>
          <w:rFonts w:hint="default" w:eastAsia="楷体_GB2312"/>
          <w:b w:val="0"/>
          <w:bCs w:val="0"/>
          <w:lang w:val="en-US" w:eastAsia="zh-CN"/>
        </w:rPr>
      </w:pPr>
      <w:bookmarkStart w:id="1" w:name="_Toc5179"/>
      <w:r>
        <w:rPr>
          <w:rFonts w:hint="eastAsia"/>
          <w:b w:val="0"/>
          <w:bCs w:val="0"/>
        </w:rPr>
        <w:t>（一）</w:t>
      </w:r>
      <w:bookmarkEnd w:id="1"/>
      <w:r>
        <w:rPr>
          <w:rFonts w:hint="eastAsia"/>
          <w:b w:val="0"/>
          <w:bCs w:val="0"/>
          <w:lang w:val="en-US" w:eastAsia="zh-CN"/>
        </w:rPr>
        <w:t>立项情况</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rPr>
      </w:pPr>
      <w:r>
        <w:rPr>
          <w:rFonts w:hint="eastAsia"/>
          <w:lang w:val="en-US" w:eastAsia="zh-CN"/>
        </w:rPr>
        <w:t>2023年7月，《包头市市场监督管理局关于下达包头市地方标准制修订项目计划的通知》文件印发，《</w:t>
      </w:r>
      <w:r>
        <w:rPr>
          <w:rFonts w:hint="eastAsia"/>
          <w:lang w:eastAsia="zh-CN"/>
        </w:rPr>
        <w:t>产品碳足迹核算及林草碳汇碳中和技术规程</w:t>
      </w:r>
      <w:r>
        <w:rPr>
          <w:rFonts w:hint="eastAsia"/>
          <w:lang w:val="en-US" w:eastAsia="zh-CN"/>
        </w:rPr>
        <w:t>》列入2023年第三批包头市地方标准制修订项目。</w:t>
      </w:r>
      <w:r>
        <w:rPr>
          <w:rFonts w:hint="eastAsia"/>
        </w:rPr>
        <w:t>为规范</w:t>
      </w:r>
      <w:r>
        <w:rPr>
          <w:rFonts w:hint="eastAsia"/>
          <w:lang w:val="en-US" w:eastAsia="zh-CN"/>
        </w:rPr>
        <w:t>区域产品</w:t>
      </w:r>
      <w:r>
        <w:rPr>
          <w:rFonts w:hint="eastAsia"/>
        </w:rPr>
        <w:t>碳</w:t>
      </w:r>
      <w:r>
        <w:rPr>
          <w:rFonts w:hint="eastAsia"/>
          <w:lang w:val="en-US" w:eastAsia="zh-CN"/>
        </w:rPr>
        <w:t>足迹</w:t>
      </w:r>
      <w:r>
        <w:rPr>
          <w:rFonts w:hint="eastAsia"/>
        </w:rPr>
        <w:t>核算及</w:t>
      </w:r>
      <w:r>
        <w:rPr>
          <w:rFonts w:hint="eastAsia"/>
          <w:lang w:val="en-US" w:eastAsia="zh-CN"/>
        </w:rPr>
        <w:t>林草碳汇</w:t>
      </w:r>
      <w:r>
        <w:rPr>
          <w:rFonts w:hint="eastAsia"/>
        </w:rPr>
        <w:t>碳中和实施，</w:t>
      </w:r>
      <w:r>
        <w:rPr>
          <w:rFonts w:hint="eastAsia"/>
          <w:lang w:eastAsia="zh-CN"/>
        </w:rPr>
        <w:t>包头市林业和草原局</w:t>
      </w:r>
      <w:r>
        <w:rPr>
          <w:rFonts w:hint="eastAsia"/>
        </w:rPr>
        <w:t>组织编制《</w:t>
      </w:r>
      <w:r>
        <w:rPr>
          <w:rFonts w:hint="eastAsia"/>
          <w:lang w:eastAsia="zh-CN"/>
        </w:rPr>
        <w:t>产品碳足迹核算及林草碳汇碳中和技术规程</w:t>
      </w:r>
      <w:r>
        <w:rPr>
          <w:rFonts w:hint="eastAsia"/>
        </w:rPr>
        <w:t>》（以下简称《</w:t>
      </w:r>
      <w:r>
        <w:rPr>
          <w:rFonts w:hint="eastAsia"/>
          <w:lang w:eastAsia="zh-CN"/>
        </w:rPr>
        <w:t>技术规程</w:t>
      </w:r>
      <w:r>
        <w:rPr>
          <w:rFonts w:hint="eastAsia"/>
        </w:rPr>
        <w:t>》）。</w:t>
      </w:r>
    </w:p>
    <w:p>
      <w:pPr>
        <w:pStyle w:val="3"/>
        <w:pageBreakBefore w:val="0"/>
        <w:numPr>
          <w:ilvl w:val="0"/>
          <w:numId w:val="3"/>
        </w:numPr>
        <w:kinsoku/>
        <w:wordWrap/>
        <w:overflowPunct/>
        <w:topLinePunct w:val="0"/>
        <w:autoSpaceDE/>
        <w:autoSpaceDN/>
        <w:bidi w:val="0"/>
        <w:adjustRightInd/>
        <w:snapToGrid/>
        <w:spacing w:line="600" w:lineRule="exact"/>
        <w:textAlignment w:val="auto"/>
        <w:rPr>
          <w:rFonts w:hint="eastAsia"/>
          <w:b w:val="0"/>
          <w:bCs w:val="0"/>
          <w:lang w:val="en-US" w:eastAsia="zh-CN"/>
        </w:rPr>
      </w:pPr>
      <w:bookmarkStart w:id="2" w:name="_Toc1911"/>
      <w:r>
        <w:rPr>
          <w:rFonts w:hint="eastAsia"/>
          <w:b w:val="0"/>
          <w:bCs w:val="0"/>
          <w:lang w:val="en-US" w:eastAsia="zh-CN"/>
        </w:rPr>
        <w:t>提出单位</w:t>
      </w:r>
      <w:bookmarkEnd w:id="2"/>
    </w:p>
    <w:p>
      <w:pPr>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default"/>
          <w:lang w:val="en-US" w:eastAsia="zh-CN"/>
        </w:rPr>
        <w:t>《</w:t>
      </w:r>
      <w:r>
        <w:rPr>
          <w:rFonts w:hint="eastAsia"/>
          <w:lang w:val="en-US" w:eastAsia="zh-CN"/>
        </w:rPr>
        <w:t>产品碳足迹 核算及林草碳汇碳中和技术规程</w:t>
      </w:r>
      <w:r>
        <w:rPr>
          <w:rFonts w:hint="default"/>
          <w:lang w:val="en-US" w:eastAsia="zh-CN"/>
        </w:rPr>
        <w:t>》由包头市林业和草原局提出</w:t>
      </w:r>
      <w:r>
        <w:rPr>
          <w:rFonts w:hint="eastAsia"/>
          <w:lang w:val="en-US" w:eastAsia="zh-CN"/>
        </w:rPr>
        <w:t>。</w:t>
      </w:r>
    </w:p>
    <w:p>
      <w:pPr>
        <w:pStyle w:val="3"/>
        <w:pageBreakBefore w:val="0"/>
        <w:kinsoku/>
        <w:wordWrap/>
        <w:overflowPunct/>
        <w:topLinePunct w:val="0"/>
        <w:autoSpaceDE/>
        <w:autoSpaceDN/>
        <w:bidi w:val="0"/>
        <w:adjustRightInd/>
        <w:snapToGrid/>
        <w:spacing w:line="600" w:lineRule="exact"/>
        <w:textAlignment w:val="auto"/>
        <w:rPr>
          <w:rFonts w:hint="default"/>
          <w:b w:val="0"/>
          <w:bCs w:val="0"/>
          <w:lang w:val="en-US" w:eastAsia="zh-CN"/>
        </w:rPr>
      </w:pPr>
      <w:bookmarkStart w:id="3" w:name="_Toc5436"/>
      <w:r>
        <w:rPr>
          <w:rFonts w:hint="eastAsia"/>
          <w:b w:val="0"/>
          <w:bCs w:val="0"/>
          <w:lang w:val="en-US" w:eastAsia="zh-CN"/>
        </w:rPr>
        <w:t>（三）归口单位</w:t>
      </w:r>
      <w:bookmarkEnd w:id="3"/>
    </w:p>
    <w:p>
      <w:pPr>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default"/>
          <w:lang w:val="en-US" w:eastAsia="zh-CN"/>
        </w:rPr>
        <w:t>《</w:t>
      </w:r>
      <w:r>
        <w:rPr>
          <w:rFonts w:hint="eastAsia"/>
          <w:lang w:val="en-US" w:eastAsia="zh-CN"/>
        </w:rPr>
        <w:t>产品碳足迹 核算及林草碳汇碳中和技术规程</w:t>
      </w:r>
      <w:r>
        <w:rPr>
          <w:rFonts w:hint="default"/>
          <w:lang w:val="en-US" w:eastAsia="zh-CN"/>
        </w:rPr>
        <w:t>》由包头市林业和草原局</w:t>
      </w:r>
      <w:r>
        <w:rPr>
          <w:rFonts w:hint="eastAsia"/>
          <w:lang w:val="en-US" w:eastAsia="zh-CN"/>
        </w:rPr>
        <w:t>归口。</w:t>
      </w:r>
    </w:p>
    <w:p>
      <w:pPr>
        <w:pStyle w:val="3"/>
        <w:pageBreakBefore w:val="0"/>
        <w:kinsoku/>
        <w:wordWrap/>
        <w:overflowPunct/>
        <w:topLinePunct w:val="0"/>
        <w:autoSpaceDE/>
        <w:autoSpaceDN/>
        <w:bidi w:val="0"/>
        <w:adjustRightInd/>
        <w:snapToGrid/>
        <w:spacing w:line="600" w:lineRule="exact"/>
        <w:textAlignment w:val="auto"/>
        <w:rPr>
          <w:rFonts w:hint="default"/>
          <w:b w:val="0"/>
          <w:bCs w:val="0"/>
          <w:lang w:val="en-US" w:eastAsia="zh-CN"/>
        </w:rPr>
      </w:pPr>
      <w:bookmarkStart w:id="4" w:name="_Toc31601"/>
      <w:r>
        <w:rPr>
          <w:rFonts w:hint="eastAsia"/>
          <w:b w:val="0"/>
          <w:bCs w:val="0"/>
          <w:lang w:val="en-US" w:eastAsia="zh-CN"/>
        </w:rPr>
        <w:t>（四）起草单位</w:t>
      </w:r>
      <w:bookmarkEnd w:id="4"/>
    </w:p>
    <w:p>
      <w:pPr>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default"/>
          <w:lang w:val="en-US" w:eastAsia="zh-CN"/>
        </w:rPr>
        <w:t>《</w:t>
      </w:r>
      <w:r>
        <w:rPr>
          <w:rFonts w:hint="eastAsia"/>
          <w:lang w:val="en-US" w:eastAsia="zh-CN"/>
        </w:rPr>
        <w:t>产品碳足迹 核算及林草碳汇碳中和技术规程</w:t>
      </w:r>
      <w:r>
        <w:rPr>
          <w:rFonts w:hint="default"/>
          <w:lang w:val="en-US" w:eastAsia="zh-CN"/>
        </w:rPr>
        <w:t>》</w:t>
      </w:r>
      <w:r>
        <w:rPr>
          <w:rFonts w:hint="eastAsia"/>
          <w:lang w:val="en-US" w:eastAsia="zh-CN"/>
        </w:rPr>
        <w:t>的</w:t>
      </w:r>
      <w:r>
        <w:rPr>
          <w:rFonts w:hint="default"/>
          <w:lang w:val="en-US" w:eastAsia="zh-CN"/>
        </w:rPr>
        <w:t>起草单位</w:t>
      </w:r>
      <w:r>
        <w:rPr>
          <w:rFonts w:hint="eastAsia"/>
          <w:lang w:val="en-US" w:eastAsia="zh-CN"/>
        </w:rPr>
        <w:t>包括</w:t>
      </w:r>
      <w:r>
        <w:rPr>
          <w:rFonts w:hint="default"/>
          <w:lang w:val="en-US" w:eastAsia="zh-CN"/>
        </w:rPr>
        <w:t>包头市林业和草原工作站</w:t>
      </w:r>
      <w:r>
        <w:rPr>
          <w:rFonts w:hint="eastAsia"/>
          <w:lang w:val="en-US" w:eastAsia="zh-CN"/>
        </w:rPr>
        <w:t>、</w:t>
      </w:r>
      <w:r>
        <w:rPr>
          <w:rFonts w:hint="default"/>
          <w:lang w:val="en-US" w:eastAsia="zh-CN"/>
        </w:rPr>
        <w:t>杭州超腾能源技术股份有限公司</w:t>
      </w:r>
      <w:r>
        <w:rPr>
          <w:rFonts w:hint="eastAsia"/>
          <w:lang w:val="en-US" w:eastAsia="zh-CN"/>
        </w:rPr>
        <w:t>、</w:t>
      </w:r>
      <w:r>
        <w:rPr>
          <w:rFonts w:hint="default"/>
          <w:lang w:val="en-US" w:eastAsia="zh-CN"/>
        </w:rPr>
        <w:t>包头市国发低碳发展碳排放权交易服务有限公司、包头市检验检测中心</w:t>
      </w:r>
      <w:r>
        <w:rPr>
          <w:rFonts w:hint="eastAsia"/>
          <w:lang w:val="en-US" w:eastAsia="zh-CN"/>
        </w:rPr>
        <w:t>、包头市林业和草原局</w:t>
      </w:r>
      <w:r>
        <w:rPr>
          <w:rFonts w:hint="default"/>
          <w:lang w:val="en-US" w:eastAsia="zh-CN"/>
        </w:rPr>
        <w:t>。</w:t>
      </w:r>
    </w:p>
    <w:p>
      <w:pPr>
        <w:pStyle w:val="3"/>
        <w:pageBreakBefore w:val="0"/>
        <w:kinsoku/>
        <w:wordWrap/>
        <w:overflowPunct/>
        <w:topLinePunct w:val="0"/>
        <w:autoSpaceDE/>
        <w:autoSpaceDN/>
        <w:bidi w:val="0"/>
        <w:adjustRightInd/>
        <w:snapToGrid/>
        <w:spacing w:line="600" w:lineRule="exact"/>
        <w:textAlignment w:val="auto"/>
        <w:rPr>
          <w:rFonts w:hint="eastAsia"/>
          <w:b w:val="0"/>
          <w:bCs w:val="0"/>
          <w:lang w:val="en-US" w:eastAsia="zh-CN"/>
        </w:rPr>
      </w:pPr>
      <w:bookmarkStart w:id="5" w:name="_Toc2161"/>
      <w:r>
        <w:rPr>
          <w:rFonts w:hint="eastAsia"/>
          <w:b w:val="0"/>
          <w:bCs w:val="0"/>
          <w:lang w:val="en-US" w:eastAsia="zh-CN"/>
        </w:rPr>
        <w:t>（五）主要起草人</w:t>
      </w:r>
      <w:bookmarkEnd w:id="5"/>
    </w:p>
    <w:p>
      <w:pPr>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default"/>
          <w:lang w:val="en-US" w:eastAsia="zh-CN"/>
        </w:rPr>
        <w:t>《</w:t>
      </w:r>
      <w:r>
        <w:rPr>
          <w:rFonts w:hint="eastAsia"/>
          <w:lang w:val="en-US" w:eastAsia="zh-CN"/>
        </w:rPr>
        <w:t>产品碳足迹 核算及林草碳汇碳中和技术规程</w:t>
      </w:r>
      <w:r>
        <w:rPr>
          <w:rFonts w:hint="default"/>
          <w:lang w:val="en-US" w:eastAsia="zh-CN"/>
        </w:rPr>
        <w:t>》</w:t>
      </w:r>
      <w:r>
        <w:rPr>
          <w:rFonts w:hint="eastAsia"/>
          <w:lang w:val="en-US" w:eastAsia="zh-CN"/>
        </w:rPr>
        <w:t>的</w:t>
      </w:r>
      <w:r>
        <w:rPr>
          <w:rFonts w:hint="default"/>
          <w:lang w:val="en-US" w:eastAsia="zh-CN"/>
        </w:rPr>
        <w:t>起草</w:t>
      </w:r>
      <w:r>
        <w:rPr>
          <w:rFonts w:hint="eastAsia"/>
          <w:lang w:val="en-US" w:eastAsia="zh-CN"/>
        </w:rPr>
        <w:t>人包括黄梅、张欢、丁志军、李茂森、张文英、焦智斌、耿洪燕、张瑞、包福军、施炜、张文辽、魏东明、肖雪、戴圣炎、刘遮、赵雪峰、尚国云、赵振宇、郭华、闫婧、朱学友、冯小东、姚瑶、郝大昭。</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eastAsia"/>
        </w:rPr>
      </w:pPr>
      <w:bookmarkStart w:id="6" w:name="_Toc6149"/>
      <w:r>
        <w:rPr>
          <w:rFonts w:hint="eastAsia"/>
          <w:lang w:val="en-US" w:eastAsia="zh-CN"/>
        </w:rPr>
        <w:t>二、制定标准的必要性和</w:t>
      </w:r>
      <w:r>
        <w:t>意义</w:t>
      </w:r>
      <w:bookmarkEnd w:id="6"/>
    </w:p>
    <w:p>
      <w:pPr>
        <w:pageBreakBefore w:val="0"/>
        <w:kinsoku/>
        <w:wordWrap/>
        <w:overflowPunct/>
        <w:topLinePunct w:val="0"/>
        <w:autoSpaceDE/>
        <w:autoSpaceDN/>
        <w:bidi w:val="0"/>
        <w:adjustRightInd/>
        <w:snapToGrid/>
        <w:spacing w:line="600" w:lineRule="exact"/>
        <w:textAlignment w:val="auto"/>
        <w:rPr>
          <w:rFonts w:hint="default" w:eastAsia="仿宋_GB2312"/>
          <w:lang w:val="en-US" w:eastAsia="zh-CN"/>
        </w:rPr>
      </w:pPr>
      <w:r>
        <w:rPr>
          <w:rFonts w:hint="eastAsia"/>
        </w:rPr>
        <w:t>中共中央、国务院《关于完整准确全面贯彻新发展理念做好碳达峰碳中和工作的意见》明确提出，要“建立健全碳达峰、碳中和标准计量体系”；2022年10月18日国家市场监督管理总局等部门联合印发《建立健全碳达峰碳中和标准计量体系实施方案》，明确了建立健全碳达峰碳中和标准计量体系的总体要求、主要目标、重点任务、重点工程和行动和保障措施，对推动碳达峰碳中和领域计量、标准工作</w:t>
      </w:r>
      <w:r>
        <w:rPr>
          <w:rFonts w:hint="eastAsia"/>
          <w:lang w:eastAsia="zh-CN"/>
        </w:rPr>
        <w:t>作出</w:t>
      </w:r>
      <w:r>
        <w:rPr>
          <w:rFonts w:hint="eastAsia"/>
        </w:rPr>
        <w:t>全面部署</w:t>
      </w:r>
      <w:r>
        <w:rPr>
          <w:rFonts w:hint="eastAsia"/>
          <w:highlight w:val="none"/>
        </w:rPr>
        <w:t>。自2021年包头市人民政府印发《碳达峰碳中和林草碳汇（包头）试验区实施方案》文件以来，包头市林草碳汇高质量发展如火如荼，但是目前全市在林草碳汇方面的标准体系建设方面仍有缺失，难以指导试验区建设。</w:t>
      </w:r>
      <w:r>
        <w:rPr>
          <w:rFonts w:hint="eastAsia"/>
          <w:highlight w:val="none"/>
          <w:lang w:val="en-US" w:eastAsia="zh-CN"/>
        </w:rPr>
        <w:t>近年来产品碳足迹核算及碳中和俨然已成为各国应对气候变化，发展低碳经济的全新路径之一，并在未来极有可能成为一种潜在的新型贸易壁垒，潜移默化地影响包头市出口产业，且包头市作为老工业城市，工业企业盘枝错节，在碳达峰碳中和的战略背景下，开展产品碳足迹核算和碳中和是企业走绿色低碳发展之路的重要措施之一，更是助推包头市</w:t>
      </w:r>
      <w:r>
        <w:rPr>
          <w:rFonts w:hint="eastAsia"/>
          <w:highlight w:val="none"/>
        </w:rPr>
        <w:t>碳达峰碳中和林草碳汇（包头）试验区</w:t>
      </w:r>
      <w:r>
        <w:rPr>
          <w:rFonts w:hint="eastAsia"/>
          <w:highlight w:val="none"/>
          <w:lang w:val="en-US" w:eastAsia="zh-CN"/>
        </w:rPr>
        <w:t>目标实现不可忽视的环节，因此，制定《产品碳足迹 核算及林草碳汇碳中和技术规程》是十分必要的。</w:t>
      </w:r>
    </w:p>
    <w:p>
      <w:pPr>
        <w:pageBreakBefore w:val="0"/>
        <w:kinsoku/>
        <w:wordWrap/>
        <w:overflowPunct/>
        <w:topLinePunct w:val="0"/>
        <w:autoSpaceDE/>
        <w:autoSpaceDN/>
        <w:bidi w:val="0"/>
        <w:adjustRightInd/>
        <w:snapToGrid/>
        <w:spacing w:line="600" w:lineRule="exact"/>
        <w:textAlignment w:val="auto"/>
        <w:rPr>
          <w:rFonts w:hint="eastAsia"/>
        </w:rPr>
      </w:pPr>
      <w:r>
        <w:rPr>
          <w:rFonts w:hint="eastAsia"/>
        </w:rPr>
        <w:t>产品碳足迹核算及林草碳汇碳中和技术规程有利于以标准化促进</w:t>
      </w:r>
      <w:r>
        <w:rPr>
          <w:rFonts w:hint="eastAsia"/>
          <w:lang w:val="en-US" w:eastAsia="zh-CN"/>
        </w:rPr>
        <w:t>包头市产品</w:t>
      </w:r>
      <w:r>
        <w:rPr>
          <w:rFonts w:hint="eastAsia"/>
        </w:rPr>
        <w:t>在原材料生产、制造、配送销售、使用、废弃五个阶段节能减排，为</w:t>
      </w:r>
      <w:r>
        <w:rPr>
          <w:rFonts w:hint="eastAsia"/>
          <w:lang w:val="en-US" w:eastAsia="zh-CN"/>
        </w:rPr>
        <w:t>产品</w:t>
      </w:r>
      <w:r>
        <w:rPr>
          <w:rFonts w:hint="eastAsia"/>
        </w:rPr>
        <w:t>碳</w:t>
      </w:r>
      <w:r>
        <w:rPr>
          <w:rFonts w:hint="eastAsia"/>
          <w:lang w:val="en-US" w:eastAsia="zh-CN"/>
        </w:rPr>
        <w:t>足迹</w:t>
      </w:r>
      <w:r>
        <w:rPr>
          <w:rFonts w:hint="eastAsia"/>
        </w:rPr>
        <w:t>减排、碳中和关键量值可测、可溯源，以及绿色低碳和成果应用提供基础支撑，在生产生活方式绿色变革中发挥着重要作用，对如期实现碳达峰碳中和林草碳汇（包头）试验区目标具有重要意义。为实现碳达峰碳中和林草碳汇（包头）试验区目标，充分发挥《</w:t>
      </w:r>
      <w:r>
        <w:rPr>
          <w:rFonts w:hint="eastAsia"/>
          <w:lang w:eastAsia="zh-CN"/>
        </w:rPr>
        <w:t>技术规程</w:t>
      </w:r>
      <w:r>
        <w:rPr>
          <w:rFonts w:hint="eastAsia"/>
        </w:rPr>
        <w:t>》约束引领和标尺衡量作用，有利于带动</w:t>
      </w:r>
      <w:r>
        <w:rPr>
          <w:rFonts w:hint="eastAsia"/>
          <w:lang w:val="en-US" w:eastAsia="zh-CN"/>
        </w:rPr>
        <w:t>产品制造企业</w:t>
      </w:r>
      <w:r>
        <w:rPr>
          <w:rFonts w:hint="eastAsia"/>
        </w:rPr>
        <w:t>科学合理、因地制宜开展碳中和行动，有利于激发市域林草碳票开发动力，带动试验区高质量发展。</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default"/>
          <w:lang w:val="en-US"/>
        </w:rPr>
      </w:pPr>
      <w:bookmarkStart w:id="7" w:name="_Toc9535"/>
      <w:r>
        <w:rPr>
          <w:rFonts w:hint="eastAsia"/>
          <w:lang w:val="en-US" w:eastAsia="zh-CN"/>
        </w:rPr>
        <w:t>三、编制过程</w:t>
      </w:r>
      <w:bookmarkEnd w:id="7"/>
    </w:p>
    <w:p>
      <w:pPr>
        <w:pStyle w:val="3"/>
        <w:bidi w:val="0"/>
        <w:rPr>
          <w:rFonts w:hint="eastAsia"/>
          <w:lang w:val="en-US" w:eastAsia="zh-CN"/>
        </w:rPr>
      </w:pPr>
      <w:r>
        <w:rPr>
          <w:rFonts w:hint="eastAsia"/>
          <w:lang w:val="en-US" w:eastAsia="zh-CN"/>
        </w:rPr>
        <w:t>（一）分工情况</w:t>
      </w:r>
    </w:p>
    <w:p>
      <w:pPr>
        <w:pageBreakBefore w:val="0"/>
        <w:shd w:val="clear"/>
        <w:kinsoku/>
        <w:wordWrap/>
        <w:overflowPunct/>
        <w:topLinePunct w:val="0"/>
        <w:autoSpaceDE/>
        <w:autoSpaceDN/>
        <w:bidi w:val="0"/>
        <w:adjustRightInd/>
        <w:snapToGrid/>
        <w:spacing w:line="600" w:lineRule="exact"/>
        <w:textAlignment w:val="auto"/>
        <w:rPr>
          <w:rFonts w:hint="eastAsia"/>
          <w:color w:val="000000" w:themeColor="text1"/>
          <w:highlight w:val="none"/>
          <w:shd w:val="clear" w:fill="000000"/>
          <w14:textFill>
            <w14:solidFill>
              <w14:schemeClr w14:val="tx1"/>
            </w14:solidFill>
          </w14:textFill>
        </w:rPr>
      </w:pPr>
      <w:r>
        <w:rPr>
          <w:rFonts w:hint="eastAsia"/>
          <w:color w:val="000000" w:themeColor="text1"/>
          <w:highlight w:val="none"/>
          <w:lang w:val="en-US" w:eastAsia="zh-CN"/>
          <w14:textFill>
            <w14:solidFill>
              <w14:schemeClr w14:val="tx1"/>
            </w14:solidFill>
          </w14:textFill>
        </w:rPr>
        <w:t>由包头市林业和草原局负责统筹，包头市市场监督管理局负责立项并组织标准编制培训，</w:t>
      </w:r>
      <w:r>
        <w:rPr>
          <w:rFonts w:hint="default"/>
          <w:color w:val="000000" w:themeColor="text1"/>
          <w:highlight w:val="none"/>
          <w:lang w:val="en-US" w:eastAsia="zh-CN"/>
          <w14:textFill>
            <w14:solidFill>
              <w14:schemeClr w14:val="tx1"/>
            </w14:solidFill>
          </w14:textFill>
        </w:rPr>
        <w:t>包头市林业和草原工作站</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杭州超腾能源技术股份有限公司</w:t>
      </w:r>
      <w:r>
        <w:rPr>
          <w:rFonts w:hint="eastAsia"/>
          <w:color w:val="000000" w:themeColor="text1"/>
          <w:highlight w:val="none"/>
          <w:lang w:val="en-US" w:eastAsia="zh-CN"/>
          <w14:textFill>
            <w14:solidFill>
              <w14:schemeClr w14:val="tx1"/>
            </w14:solidFill>
          </w14:textFill>
        </w:rPr>
        <w:t>、包头市国发低碳发展碳排放权交易服务有限公司、包头市检验检测中心等单位负责《技术规程》研究及正文编制。</w:t>
      </w:r>
      <w:r>
        <w:rPr>
          <w:rFonts w:hint="eastAsia"/>
          <w:color w:val="000000" w:themeColor="text1"/>
          <w:highlight w:val="none"/>
          <w:shd w:val="clear"/>
          <w14:textFill>
            <w14:solidFill>
              <w14:schemeClr w14:val="tx1"/>
            </w14:solidFill>
          </w14:textFill>
        </w:rPr>
        <w:t>主要起草人员信息分工表详见表1。</w:t>
      </w:r>
    </w:p>
    <w:p>
      <w:pPr>
        <w:pageBreakBefore w:val="0"/>
        <w:shd w:val="clear"/>
        <w:kinsoku/>
        <w:wordWrap/>
        <w:overflowPunct/>
        <w:topLinePunct w:val="0"/>
        <w:autoSpaceDE/>
        <w:autoSpaceDN/>
        <w:bidi w:val="0"/>
        <w:adjustRightInd/>
        <w:snapToGrid/>
        <w:spacing w:line="600" w:lineRule="exact"/>
        <w:textAlignment w:val="auto"/>
        <w:rPr>
          <w:rFonts w:hint="eastAsia"/>
          <w:highlight w:val="yellow"/>
        </w:rPr>
      </w:pPr>
    </w:p>
    <w:p>
      <w:pPr>
        <w:pageBreakBefore w:val="0"/>
        <w:shd w:val="clear"/>
        <w:kinsoku/>
        <w:wordWrap/>
        <w:overflowPunct/>
        <w:topLinePunct w:val="0"/>
        <w:autoSpaceDE/>
        <w:autoSpaceDN/>
        <w:bidi w:val="0"/>
        <w:adjustRightInd/>
        <w:snapToGrid/>
        <w:spacing w:line="600" w:lineRule="exact"/>
        <w:textAlignment w:val="auto"/>
        <w:rPr>
          <w:rFonts w:hint="eastAsia"/>
          <w:highlight w:val="yellow"/>
        </w:rPr>
      </w:pPr>
    </w:p>
    <w:p>
      <w:pPr>
        <w:pageBreakBefore w:val="0"/>
        <w:kinsoku/>
        <w:wordWrap/>
        <w:overflowPunct/>
        <w:topLinePunct w:val="0"/>
        <w:autoSpaceDE/>
        <w:autoSpaceDN/>
        <w:bidi w:val="0"/>
        <w:adjustRightInd/>
        <w:snapToGrid/>
        <w:spacing w:line="600" w:lineRule="exact"/>
        <w:jc w:val="center"/>
        <w:textAlignment w:val="auto"/>
        <w:rPr>
          <w:rFonts w:hint="default"/>
          <w:b/>
          <w:bCs/>
          <w:lang w:val="en-US" w:eastAsia="zh-CN"/>
        </w:rPr>
      </w:pPr>
      <w:r>
        <w:rPr>
          <w:rFonts w:hint="eastAsia"/>
          <w:b/>
          <w:bCs/>
          <w:lang w:val="en-US" w:eastAsia="zh-CN"/>
        </w:rPr>
        <w:t xml:space="preserve">表1  </w:t>
      </w:r>
      <w:r>
        <w:rPr>
          <w:rFonts w:hint="eastAsia"/>
          <w:b/>
          <w:bCs/>
        </w:rPr>
        <w:t>主要起草人员信息分工表</w:t>
      </w:r>
    </w:p>
    <w:tbl>
      <w:tblPr>
        <w:tblStyle w:val="11"/>
        <w:tblW w:w="54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66"/>
        <w:gridCol w:w="974"/>
        <w:gridCol w:w="1926"/>
        <w:gridCol w:w="2049"/>
        <w:gridCol w:w="1944"/>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67"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52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b/>
                <w:bCs/>
                <w:sz w:val="28"/>
                <w:szCs w:val="28"/>
              </w:rPr>
            </w:pPr>
            <w:r>
              <w:rPr>
                <w:rFonts w:hint="eastAsia" w:ascii="仿宋" w:hAnsi="仿宋" w:eastAsia="仿宋" w:cs="仿宋"/>
                <w:b/>
                <w:bCs/>
                <w:sz w:val="28"/>
                <w:szCs w:val="28"/>
              </w:rPr>
              <w:t>姓名</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b/>
                <w:bCs/>
                <w:sz w:val="28"/>
                <w:szCs w:val="28"/>
              </w:rPr>
            </w:pPr>
            <w:r>
              <w:rPr>
                <w:rFonts w:hint="eastAsia" w:ascii="仿宋" w:hAnsi="仿宋" w:eastAsia="仿宋" w:cs="仿宋"/>
                <w:b/>
                <w:bCs/>
                <w:sz w:val="28"/>
                <w:szCs w:val="28"/>
              </w:rPr>
              <w:t>技术职称</w:t>
            </w:r>
          </w:p>
        </w:tc>
        <w:tc>
          <w:tcPr>
            <w:tcW w:w="1101"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b/>
                <w:bCs/>
                <w:sz w:val="28"/>
                <w:szCs w:val="28"/>
              </w:rPr>
            </w:pPr>
            <w:r>
              <w:rPr>
                <w:rFonts w:hint="eastAsia" w:ascii="仿宋" w:hAnsi="仿宋" w:eastAsia="仿宋" w:cs="仿宋"/>
                <w:b/>
                <w:bCs/>
                <w:sz w:val="28"/>
                <w:szCs w:val="28"/>
              </w:rPr>
              <w:t>工作单位</w:t>
            </w:r>
          </w:p>
        </w:tc>
        <w:tc>
          <w:tcPr>
            <w:tcW w:w="104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b/>
                <w:bCs/>
                <w:sz w:val="28"/>
                <w:szCs w:val="28"/>
              </w:rPr>
            </w:pPr>
            <w:r>
              <w:rPr>
                <w:rFonts w:hint="eastAsia" w:ascii="仿宋" w:hAnsi="仿宋" w:eastAsia="仿宋" w:cs="仿宋"/>
                <w:b/>
                <w:bCs/>
                <w:sz w:val="28"/>
                <w:szCs w:val="28"/>
              </w:rPr>
              <w:t>分工</w:t>
            </w:r>
          </w:p>
        </w:tc>
        <w:tc>
          <w:tcPr>
            <w:tcW w:w="823"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b/>
                <w:bCs/>
                <w:sz w:val="28"/>
                <w:szCs w:val="28"/>
              </w:rPr>
            </w:pPr>
            <w:r>
              <w:rPr>
                <w:rFonts w:hint="eastAsia" w:ascii="仿宋" w:hAnsi="仿宋" w:eastAsia="仿宋" w:cs="仿宋"/>
                <w:b/>
                <w:bCs/>
                <w:sz w:val="28"/>
                <w:szCs w:val="28"/>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黄梅</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项目经理/</w:t>
            </w:r>
          </w:p>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总报告编制</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18686126830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张欢</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项目经理/</w:t>
            </w:r>
          </w:p>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总报告编制</w:t>
            </w:r>
          </w:p>
        </w:tc>
        <w:tc>
          <w:tcPr>
            <w:tcW w:w="823"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18390933821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丁志军</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13171295158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李茂森</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包头市林草局局长 </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包头市林业和草原局</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eastAsia="zh-CN"/>
              </w:rPr>
              <w:t>文本编制</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13947269988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张文英</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包头市林草局副局长 </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包头市林业和草原局</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eastAsia="zh-CN"/>
              </w:rPr>
              <w:t>文本编制</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13847277445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焦智斌</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15848285665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耿洪燕</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13947259022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张瑞</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包头市林业和草原工作站</w:t>
            </w:r>
          </w:p>
        </w:tc>
        <w:tc>
          <w:tcPr>
            <w:tcW w:w="104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文本编制</w:t>
            </w:r>
          </w:p>
        </w:tc>
        <w:tc>
          <w:tcPr>
            <w:tcW w:w="823"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18647992303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hint="eastAsia"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包福军</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副主任</w:t>
            </w:r>
          </w:p>
        </w:tc>
        <w:tc>
          <w:tcPr>
            <w:tcW w:w="1101"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15335503244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hint="eastAsia"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sz w:val="24"/>
                <w:szCs w:val="24"/>
              </w:rPr>
            </w:pPr>
            <w:r>
              <w:rPr>
                <w:rFonts w:hint="eastAsia" w:ascii="仿宋" w:hAnsi="仿宋" w:eastAsia="仿宋" w:cs="仿宋"/>
                <w:sz w:val="24"/>
                <w:szCs w:val="24"/>
              </w:rPr>
              <w:t>施炜</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sz w:val="24"/>
                <w:szCs w:val="24"/>
              </w:rPr>
            </w:pPr>
            <w:r>
              <w:rPr>
                <w:rFonts w:hint="eastAsia" w:ascii="仿宋" w:hAnsi="仿宋" w:eastAsia="仿宋" w:cs="仿宋"/>
                <w:sz w:val="24"/>
                <w:szCs w:val="24"/>
              </w:rPr>
              <w:t>技术总监/高级工程师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sz w:val="24"/>
                <w:szCs w:val="24"/>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sz w:val="24"/>
                <w:szCs w:val="24"/>
              </w:rPr>
            </w:pPr>
            <w:r>
              <w:rPr>
                <w:rFonts w:hint="eastAsia" w:ascii="仿宋" w:hAnsi="仿宋" w:eastAsia="仿宋" w:cs="仿宋"/>
                <w:sz w:val="24"/>
                <w:szCs w:val="24"/>
              </w:rPr>
              <w:t>总报告技术审核</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sz w:val="24"/>
                <w:szCs w:val="24"/>
              </w:rPr>
            </w:pPr>
            <w:r>
              <w:rPr>
                <w:rFonts w:hint="eastAsia" w:ascii="仿宋" w:hAnsi="仿宋" w:eastAsia="仿宋" w:cs="仿宋"/>
                <w:sz w:val="24"/>
                <w:szCs w:val="24"/>
              </w:rPr>
              <w:t>17767151886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张文辽</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技术总监/</w:t>
            </w:r>
          </w:p>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助理工程师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总报告技术审核</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18367817971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魏东明</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技术总监/</w:t>
            </w:r>
          </w:p>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高级</w:t>
            </w:r>
            <w:r>
              <w:rPr>
                <w:rFonts w:hint="eastAsia" w:ascii="仿宋" w:hAnsi="仿宋" w:eastAsia="仿宋" w:cs="仿宋"/>
                <w:sz w:val="24"/>
                <w:szCs w:val="24"/>
              </w:rPr>
              <w:t>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总报告技术审核</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13109406094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肖雪</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项目经理/</w:t>
            </w:r>
          </w:p>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总报告技术审核</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15957165533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戴圣炎</w:t>
            </w:r>
          </w:p>
        </w:tc>
        <w:tc>
          <w:tcPr>
            <w:tcW w:w="1035" w:type="pct"/>
            <w:shd w:val="clear" w:color="auto" w:fill="auto"/>
            <w:vAlign w:val="center"/>
          </w:tcPr>
          <w:p>
            <w:pPr>
              <w:keepNext w:val="0"/>
              <w:keepLines w:val="0"/>
              <w:suppressLineNumbers w:val="0"/>
              <w:spacing w:before="0" w:beforeAutospacing="0" w:after="0" w:afterAutospacing="0" w:line="240" w:lineRule="auto"/>
              <w:ind w:left="0" w:right="0" w:firstLine="0" w:firstLineChars="0"/>
              <w:jc w:val="center"/>
              <w:rPr>
                <w:rFonts w:ascii="仿宋" w:hAnsi="仿宋" w:eastAsia="仿宋" w:cs="仿宋"/>
                <w:sz w:val="24"/>
                <w:szCs w:val="24"/>
              </w:rPr>
            </w:pPr>
            <w:r>
              <w:rPr>
                <w:rFonts w:hint="eastAsia" w:ascii="仿宋" w:hAnsi="仿宋" w:eastAsia="仿宋" w:cs="仿宋"/>
                <w:sz w:val="24"/>
                <w:szCs w:val="24"/>
              </w:rPr>
              <w:t>高级项目经理/</w:t>
            </w:r>
          </w:p>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杭州超腾能源技术股份有限公司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总报告技术审核</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15068760987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刘遮</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董事长/经济师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包头市国发低碳发展碳排放权交易服务有限公司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总报告校审</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13314864185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赵雪峰</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副总经理</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包头市国发低碳发展碳排放权交易服务有限公司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总报告校审</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15047237208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尚国云</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总经理/助理工程师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包头市国发低碳发展碳排放权交易服务有限公司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总报告校审</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14747263669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赵振宇</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项目经理</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包头市国发低碳发展碳排放权交易服务有限公司</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总报告校审</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15848886677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郭华</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13039560004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闫婧</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高级工程师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15848257086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朱学友</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文本内容确认，文本条款整合和结构确认</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ascii="仿宋" w:hAnsi="仿宋" w:eastAsia="仿宋" w:cs="仿宋"/>
                <w:kern w:val="2"/>
                <w:sz w:val="24"/>
                <w:szCs w:val="24"/>
                <w:lang w:val="en-US" w:eastAsia="zh-CN" w:bidi="ar-SA"/>
              </w:rPr>
            </w:pPr>
            <w:r>
              <w:rPr>
                <w:rFonts w:hint="eastAsia" w:ascii="仿宋" w:hAnsi="仿宋" w:eastAsia="仿宋" w:cs="仿宋"/>
                <w:sz w:val="24"/>
                <w:szCs w:val="24"/>
              </w:rPr>
              <w:t>15661379515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冯小东</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科长</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包头市林业和草原局</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eastAsia="zh-CN"/>
              </w:rPr>
              <w:t>文本编制</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15044964283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姚瑶</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助理工程师</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包头市林业和草原工作站</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文本编制</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15547286917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467" w:type="pct"/>
            <w:shd w:val="clear" w:color="auto" w:fill="auto"/>
            <w:vAlign w:val="center"/>
          </w:tcPr>
          <w:p>
            <w:pPr>
              <w:keepNext w:val="0"/>
              <w:keepLines w:val="0"/>
              <w:numPr>
                <w:ilvl w:val="0"/>
                <w:numId w:val="4"/>
              </w:numPr>
              <w:suppressLineNumbers w:val="0"/>
              <w:spacing w:before="0" w:beforeAutospacing="0" w:after="0" w:afterAutospacing="0" w:line="240" w:lineRule="auto"/>
              <w:ind w:left="0" w:leftChars="0" w:right="0" w:firstLine="0" w:firstLineChars="0"/>
              <w:jc w:val="center"/>
              <w:rPr>
                <w:rFonts w:ascii="仿宋" w:hAnsi="仿宋" w:eastAsia="仿宋" w:cs="仿宋"/>
                <w:sz w:val="24"/>
                <w:szCs w:val="24"/>
              </w:rPr>
            </w:pPr>
          </w:p>
        </w:tc>
        <w:tc>
          <w:tcPr>
            <w:tcW w:w="52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rPr>
              <w:t>郝大昭</w:t>
            </w:r>
          </w:p>
        </w:tc>
        <w:tc>
          <w:tcPr>
            <w:tcW w:w="103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副主任</w:t>
            </w:r>
          </w:p>
        </w:tc>
        <w:tc>
          <w:tcPr>
            <w:tcW w:w="1101"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
              </w:rPr>
            </w:pPr>
            <w:r>
              <w:rPr>
                <w:rFonts w:hint="eastAsia" w:ascii="仿宋" w:hAnsi="仿宋" w:eastAsia="仿宋" w:cs="仿宋"/>
                <w:sz w:val="24"/>
                <w:szCs w:val="24"/>
                <w:lang w:val="en-US" w:eastAsia="zh"/>
              </w:rPr>
              <w:t>包头市检验检测中心</w:t>
            </w:r>
          </w:p>
        </w:tc>
        <w:tc>
          <w:tcPr>
            <w:tcW w:w="1045"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意见征集、资料整理</w:t>
            </w:r>
          </w:p>
        </w:tc>
        <w:tc>
          <w:tcPr>
            <w:tcW w:w="823" w:type="pct"/>
            <w:shd w:val="clear" w:color="auto" w:fill="auto"/>
            <w:vAlign w:val="center"/>
          </w:tcPr>
          <w:p>
            <w:pPr>
              <w:keepNext w:val="0"/>
              <w:keepLines w:val="0"/>
              <w:suppressLineNumbers w:val="0"/>
              <w:spacing w:before="0" w:beforeAutospacing="0" w:after="0" w:afterAutospacing="0"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13848004655</w:t>
            </w:r>
          </w:p>
        </w:tc>
      </w:tr>
    </w:tbl>
    <w:p>
      <w:pPr>
        <w:pageBreakBefore w:val="0"/>
        <w:kinsoku/>
        <w:wordWrap/>
        <w:overflowPunct/>
        <w:topLinePunct w:val="0"/>
        <w:autoSpaceDE/>
        <w:autoSpaceDN/>
        <w:bidi w:val="0"/>
        <w:adjustRightInd/>
        <w:snapToGrid/>
        <w:spacing w:line="600" w:lineRule="exact"/>
        <w:textAlignment w:val="auto"/>
        <w:rPr>
          <w:rFonts w:hint="eastAsia"/>
          <w:lang w:val="en-US" w:eastAsia="zh-CN"/>
        </w:rPr>
      </w:pPr>
    </w:p>
    <w:p>
      <w:pPr>
        <w:pStyle w:val="3"/>
        <w:bidi w:val="0"/>
        <w:ind w:left="0" w:leftChars="0" w:firstLine="0" w:firstLineChars="0"/>
        <w:rPr>
          <w:rFonts w:hint="eastAsia"/>
          <w:lang w:val="en-US" w:eastAsia="zh-CN"/>
        </w:rPr>
      </w:pPr>
      <w:r>
        <w:rPr>
          <w:rFonts w:hint="eastAsia"/>
          <w:lang w:val="en-US" w:eastAsia="zh-CN"/>
        </w:rPr>
        <w:t>（二）起草阶段</w:t>
      </w:r>
    </w:p>
    <w:p>
      <w:pPr>
        <w:pageBreakBefore w:val="0"/>
        <w:kinsoku/>
        <w:wordWrap/>
        <w:overflowPunct/>
        <w:topLinePunct w:val="0"/>
        <w:autoSpaceDE/>
        <w:autoSpaceDN/>
        <w:bidi w:val="0"/>
        <w:adjustRightInd/>
        <w:snapToGrid/>
        <w:spacing w:line="600" w:lineRule="exact"/>
        <w:textAlignment w:val="auto"/>
        <w:rPr>
          <w:rFonts w:hint="default" w:eastAsia="仿宋_GB2312"/>
          <w:lang w:val="en-US" w:eastAsia="zh-CN"/>
        </w:rPr>
      </w:pPr>
      <w:r>
        <w:rPr>
          <w:rFonts w:hint="eastAsia"/>
          <w:lang w:val="en-US" w:eastAsia="zh-CN"/>
        </w:rPr>
        <w:t>2023年7月，《技术规程》列入包头市市场监督管理局2023年第三批地方标准制修订项目，2023年9月，成立起草工作组，初步梳理了《技术规程》的结构和内容，确定下一步工作方向。2023年10~12月，起草工作组通过线上、线下相结合的方式，组织内部研讨会，完成《技术规程》草案。</w:t>
      </w:r>
    </w:p>
    <w:p>
      <w:pPr>
        <w:pStyle w:val="3"/>
        <w:bidi w:val="0"/>
        <w:ind w:left="0" w:leftChars="0" w:firstLine="0" w:firstLineChars="0"/>
        <w:rPr>
          <w:rFonts w:hint="eastAsia"/>
        </w:rPr>
      </w:pPr>
      <w:r>
        <w:rPr>
          <w:rFonts w:hint="eastAsia"/>
          <w:lang w:eastAsia="zh-CN"/>
        </w:rPr>
        <w:t>（</w:t>
      </w:r>
      <w:r>
        <w:rPr>
          <w:rFonts w:hint="eastAsia"/>
          <w:lang w:val="en-US" w:eastAsia="zh-CN"/>
        </w:rPr>
        <w:t>三</w:t>
      </w:r>
      <w:r>
        <w:rPr>
          <w:rFonts w:hint="eastAsia"/>
          <w:lang w:eastAsia="zh-CN"/>
        </w:rPr>
        <w:t>）</w:t>
      </w:r>
      <w:r>
        <w:rPr>
          <w:rFonts w:hint="eastAsia"/>
        </w:rPr>
        <w:t>征求意见阶段</w:t>
      </w:r>
    </w:p>
    <w:p>
      <w:pPr>
        <w:pageBreakBefore w:val="0"/>
        <w:kinsoku/>
        <w:wordWrap/>
        <w:overflowPunct/>
        <w:topLinePunct w:val="0"/>
        <w:autoSpaceDE/>
        <w:autoSpaceDN/>
        <w:bidi w:val="0"/>
        <w:adjustRightInd/>
        <w:snapToGrid/>
        <w:spacing w:line="600" w:lineRule="exact"/>
        <w:textAlignment w:val="auto"/>
        <w:rPr>
          <w:rFonts w:hint="eastAsia"/>
          <w:lang w:eastAsia="zh-CN"/>
        </w:rPr>
      </w:pPr>
      <w:r>
        <w:rPr>
          <w:rFonts w:hint="eastAsia"/>
          <w:lang w:val="en-US" w:eastAsia="zh-CN"/>
        </w:rPr>
        <w:t>拟在2024年1月，进行参编单位专家研讨并征集意见，对《技术规程》</w:t>
      </w:r>
      <w:r>
        <w:rPr>
          <w:rFonts w:hint="eastAsia"/>
          <w:highlight w:val="none"/>
          <w:lang w:val="en-US" w:eastAsia="zh-CN"/>
        </w:rPr>
        <w:t>草案进</w:t>
      </w:r>
      <w:r>
        <w:rPr>
          <w:rFonts w:hint="eastAsia"/>
          <w:lang w:val="en-US" w:eastAsia="zh-CN"/>
        </w:rPr>
        <w:t>行进一步完善，形成征求意见稿。2024年2月，</w:t>
      </w:r>
      <w:r>
        <w:rPr>
          <w:rFonts w:hint="eastAsia"/>
          <w:lang w:eastAsia="zh-CN"/>
        </w:rPr>
        <w:t>向有关行业主管部门以及企业事业组织、社会团体、消费者和教育、科研机构等</w:t>
      </w:r>
      <w:r>
        <w:rPr>
          <w:rFonts w:hint="eastAsia"/>
          <w:lang w:val="en-US" w:eastAsia="zh-CN"/>
        </w:rPr>
        <w:t>公开征集</w:t>
      </w:r>
      <w:r>
        <w:rPr>
          <w:rFonts w:hint="eastAsia"/>
          <w:lang w:eastAsia="zh-CN"/>
        </w:rPr>
        <w:t>意见。</w:t>
      </w:r>
    </w:p>
    <w:p>
      <w:pPr>
        <w:pStyle w:val="3"/>
        <w:bidi w:val="0"/>
        <w:ind w:left="0" w:leftChars="0" w:firstLine="0" w:firstLineChars="0"/>
        <w:rPr>
          <w:rFonts w:hint="default"/>
          <w:lang w:val="en-US" w:eastAsia="zh-CN"/>
        </w:rPr>
      </w:pPr>
      <w:r>
        <w:rPr>
          <w:rFonts w:hint="eastAsia"/>
          <w:lang w:val="en-US" w:eastAsia="zh-CN"/>
        </w:rPr>
        <w:t>（四）送审阶段</w:t>
      </w:r>
    </w:p>
    <w:p>
      <w:pPr>
        <w:pStyle w:val="9"/>
        <w:pageBreakBefore w:val="0"/>
        <w:kinsoku/>
        <w:wordWrap/>
        <w:overflowPunct/>
        <w:topLinePunct w:val="0"/>
        <w:autoSpaceDE/>
        <w:autoSpaceDN/>
        <w:bidi w:val="0"/>
        <w:adjustRightInd/>
        <w:snapToGrid/>
        <w:spacing w:line="600" w:lineRule="exact"/>
        <w:textAlignment w:val="auto"/>
        <w:rPr>
          <w:rFonts w:hint="eastAsia"/>
          <w:lang w:eastAsia="zh-CN"/>
        </w:rPr>
      </w:pPr>
      <w:r>
        <w:rPr>
          <w:rFonts w:hint="eastAsia"/>
          <w:lang w:val="en-US" w:eastAsia="zh-CN"/>
        </w:rPr>
        <w:t>由</w:t>
      </w:r>
      <w:r>
        <w:rPr>
          <w:rFonts w:hint="eastAsia"/>
          <w:lang w:eastAsia="zh-CN"/>
        </w:rPr>
        <w:t>起草单位根据各方意见对《</w:t>
      </w:r>
      <w:r>
        <w:rPr>
          <w:rFonts w:hint="eastAsia"/>
          <w:lang w:val="en-US" w:eastAsia="zh-CN"/>
        </w:rPr>
        <w:t>技术规程</w:t>
      </w:r>
      <w:r>
        <w:rPr>
          <w:rFonts w:hint="eastAsia"/>
          <w:lang w:eastAsia="zh-CN"/>
        </w:rPr>
        <w:t>》进行修改完善形成送审稿，</w:t>
      </w:r>
      <w:r>
        <w:rPr>
          <w:rFonts w:hint="eastAsia"/>
          <w:lang w:val="en-US" w:eastAsia="zh-CN"/>
        </w:rPr>
        <w:t>将《技术规程》</w:t>
      </w:r>
      <w:r>
        <w:rPr>
          <w:rFonts w:hint="eastAsia"/>
          <w:lang w:eastAsia="zh-CN"/>
        </w:rPr>
        <w:t>编制说明、有关行业主管部门意见、征求意见汇总处理表、建议专家信息等材料一并报送标准化行政主管部门审查。</w:t>
      </w:r>
    </w:p>
    <w:p>
      <w:pPr>
        <w:pStyle w:val="3"/>
        <w:bidi w:val="0"/>
        <w:ind w:left="0" w:leftChars="0" w:firstLine="0" w:firstLineChars="0"/>
        <w:rPr>
          <w:rFonts w:hint="eastAsia"/>
          <w:lang w:val="en-US" w:eastAsia="zh-CN"/>
        </w:rPr>
      </w:pPr>
      <w:r>
        <w:rPr>
          <w:rFonts w:hint="eastAsia"/>
          <w:lang w:val="en-US" w:eastAsia="zh-CN"/>
        </w:rPr>
        <w:t>（五）报批阶段</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pPr>
      <w:r>
        <w:rPr>
          <w:rFonts w:hint="eastAsia"/>
          <w:lang w:val="en-US" w:eastAsia="zh-CN"/>
        </w:rPr>
        <w:t>起草单位根据</w:t>
      </w:r>
      <w:r>
        <w:rPr>
          <w:rFonts w:hint="eastAsia"/>
          <w:lang w:eastAsia="zh-CN"/>
        </w:rPr>
        <w:t>标准化行政主管部门</w:t>
      </w:r>
      <w:r>
        <w:rPr>
          <w:rFonts w:hint="eastAsia"/>
          <w:lang w:val="en-US" w:eastAsia="zh-CN"/>
        </w:rPr>
        <w:t>技术</w:t>
      </w:r>
      <w:r>
        <w:rPr>
          <w:rFonts w:hint="eastAsia"/>
          <w:lang w:eastAsia="zh-CN"/>
        </w:rPr>
        <w:t>审查</w:t>
      </w:r>
      <w:r>
        <w:rPr>
          <w:rFonts w:hint="eastAsia"/>
          <w:lang w:val="en-US" w:eastAsia="zh-CN"/>
        </w:rPr>
        <w:t>意见修改完善《技术规程》，</w:t>
      </w:r>
      <w:r>
        <w:rPr>
          <w:rFonts w:ascii="仿宋_GB2312" w:hAnsi="宋体" w:eastAsia="仿宋_GB2312" w:cs="仿宋_GB2312"/>
          <w:color w:val="000000"/>
          <w:kern w:val="0"/>
          <w:sz w:val="31"/>
          <w:szCs w:val="31"/>
          <w:lang w:val="en-US" w:eastAsia="zh-CN" w:bidi="ar"/>
        </w:rPr>
        <w:t>报送标准化行政主管部门</w:t>
      </w:r>
      <w:r>
        <w:rPr>
          <w:rFonts w:hint="eastAsia" w:ascii="仿宋_GB2312" w:hAnsi="宋体" w:cs="仿宋_GB2312"/>
          <w:color w:val="000000"/>
          <w:kern w:val="0"/>
          <w:sz w:val="31"/>
          <w:szCs w:val="31"/>
          <w:lang w:val="en-US" w:eastAsia="zh-CN" w:bidi="ar"/>
        </w:rPr>
        <w:t>，等待批复</w:t>
      </w:r>
      <w:r>
        <w:rPr>
          <w:rFonts w:ascii="仿宋_GB2312" w:hAnsi="宋体" w:eastAsia="仿宋_GB2312" w:cs="仿宋_GB2312"/>
          <w:color w:val="000000"/>
          <w:kern w:val="0"/>
          <w:sz w:val="31"/>
          <w:szCs w:val="31"/>
          <w:lang w:val="en-US" w:eastAsia="zh-CN" w:bidi="ar"/>
        </w:rPr>
        <w:t>。</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default" w:eastAsia="黑体"/>
          <w:lang w:val="en-US" w:eastAsia="zh-CN"/>
        </w:rPr>
      </w:pPr>
      <w:bookmarkStart w:id="8" w:name="_Toc27301"/>
      <w:r>
        <w:rPr>
          <w:rFonts w:hint="eastAsia"/>
          <w:lang w:val="en-US" w:eastAsia="zh-CN"/>
        </w:rPr>
        <w:t>四</w:t>
      </w:r>
      <w:r>
        <w:rPr>
          <w:rFonts w:hint="eastAsia"/>
        </w:rPr>
        <w:t>、制定标准的原则和依据，与现行法律、法规、标准的关系</w:t>
      </w:r>
      <w:bookmarkEnd w:id="8"/>
    </w:p>
    <w:p>
      <w:pPr>
        <w:pStyle w:val="3"/>
        <w:pageBreakBefore w:val="0"/>
        <w:kinsoku/>
        <w:wordWrap/>
        <w:overflowPunct/>
        <w:topLinePunct w:val="0"/>
        <w:autoSpaceDE/>
        <w:autoSpaceDN/>
        <w:bidi w:val="0"/>
        <w:adjustRightInd/>
        <w:snapToGrid/>
        <w:spacing w:line="600" w:lineRule="exact"/>
        <w:textAlignment w:val="auto"/>
        <w:rPr>
          <w:rFonts w:hint="eastAsia"/>
        </w:rPr>
      </w:pPr>
      <w:bookmarkStart w:id="9" w:name="_Toc12385"/>
      <w:r>
        <w:t>（一）</w:t>
      </w:r>
      <w:r>
        <w:rPr>
          <w:rFonts w:hint="eastAsia"/>
          <w:lang w:val="en-US" w:eastAsia="zh-CN"/>
        </w:rPr>
        <w:t>制定标准的</w:t>
      </w:r>
      <w:r>
        <w:t>原则</w:t>
      </w:r>
      <w:bookmarkEnd w:id="9"/>
    </w:p>
    <w:p>
      <w:pPr>
        <w:pageBreakBefore w:val="0"/>
        <w:kinsoku/>
        <w:wordWrap/>
        <w:overflowPunct/>
        <w:topLinePunct w:val="0"/>
        <w:autoSpaceDE/>
        <w:autoSpaceDN/>
        <w:bidi w:val="0"/>
        <w:adjustRightInd/>
        <w:snapToGrid/>
        <w:spacing w:line="600" w:lineRule="exact"/>
        <w:textAlignment w:val="auto"/>
        <w:rPr>
          <w:rFonts w:hint="eastAsia"/>
        </w:rPr>
      </w:pPr>
      <w:r>
        <w:rPr>
          <w:rFonts w:hint="eastAsia"/>
          <w:lang w:eastAsia="zh-CN"/>
        </w:rPr>
        <w:t>《</w:t>
      </w:r>
      <w:r>
        <w:rPr>
          <w:rFonts w:hint="eastAsia"/>
          <w:lang w:val="en-US" w:eastAsia="zh-CN"/>
        </w:rPr>
        <w:t>技术规程</w:t>
      </w:r>
      <w:r>
        <w:rPr>
          <w:rFonts w:hint="eastAsia"/>
          <w:lang w:eastAsia="zh-CN"/>
        </w:rPr>
        <w:t>》</w:t>
      </w:r>
      <w:r>
        <w:rPr>
          <w:rFonts w:hint="eastAsia"/>
          <w:lang w:val="en-US" w:eastAsia="zh-CN"/>
        </w:rPr>
        <w:t>编制的总体原则是：</w:t>
      </w:r>
      <w:r>
        <w:rPr>
          <w:rFonts w:hint="eastAsia"/>
        </w:rPr>
        <w:t>充分考虑最新技术水平和当前</w:t>
      </w:r>
      <w:r>
        <w:rPr>
          <w:rFonts w:hint="eastAsia"/>
          <w:lang w:val="en-US" w:eastAsia="zh-CN"/>
        </w:rPr>
        <w:t>包头市碳</w:t>
      </w:r>
      <w:r>
        <w:rPr>
          <w:rFonts w:hint="eastAsia"/>
        </w:rPr>
        <w:t>市场情况，认真分析</w:t>
      </w:r>
      <w:r>
        <w:rPr>
          <w:rFonts w:hint="eastAsia"/>
          <w:lang w:val="en-US" w:eastAsia="zh-CN"/>
        </w:rPr>
        <w:t>碳足迹核算和碳中和</w:t>
      </w:r>
      <w:r>
        <w:rPr>
          <w:rFonts w:hint="eastAsia"/>
        </w:rPr>
        <w:t>领域的标准化需求；准确把握标准</w:t>
      </w:r>
      <w:r>
        <w:rPr>
          <w:rFonts w:hint="eastAsia"/>
          <w:lang w:val="en-US" w:eastAsia="zh-CN"/>
        </w:rPr>
        <w:t>实施</w:t>
      </w:r>
      <w:r>
        <w:rPr>
          <w:rFonts w:hint="eastAsia"/>
        </w:rPr>
        <w:t>对象，</w:t>
      </w:r>
      <w:r>
        <w:rPr>
          <w:rFonts w:hint="eastAsia"/>
          <w:lang w:val="en-US" w:eastAsia="zh-CN"/>
        </w:rPr>
        <w:t>科学确定产品碳足迹核算及林草碳汇碳中和行动</w:t>
      </w:r>
      <w:r>
        <w:rPr>
          <w:rFonts w:hint="eastAsia"/>
        </w:rPr>
        <w:t>规范性要素，合理设置</w:t>
      </w:r>
      <w:r>
        <w:rPr>
          <w:rFonts w:hint="eastAsia"/>
          <w:lang w:val="en-US" w:eastAsia="zh-CN"/>
        </w:rPr>
        <w:t>碳足迹核算要求与碳中和实施措施</w:t>
      </w:r>
      <w:r>
        <w:rPr>
          <w:rFonts w:hint="eastAsia"/>
        </w:rPr>
        <w:t>。</w:t>
      </w:r>
    </w:p>
    <w:p>
      <w:pPr>
        <w:pageBreakBefore w:val="0"/>
        <w:kinsoku/>
        <w:wordWrap/>
        <w:overflowPunct/>
        <w:topLinePunct w:val="0"/>
        <w:autoSpaceDE/>
        <w:autoSpaceDN/>
        <w:bidi w:val="0"/>
        <w:adjustRightInd/>
        <w:snapToGrid/>
        <w:spacing w:line="600" w:lineRule="exact"/>
        <w:textAlignment w:val="auto"/>
        <w:rPr>
          <w:rFonts w:hint="eastAsia"/>
        </w:rPr>
      </w:pPr>
      <w:r>
        <w:rPr>
          <w:rFonts w:hint="eastAsia"/>
        </w:rPr>
        <w:t>（1）原则性：</w:t>
      </w:r>
      <w:r>
        <w:rPr>
          <w:rFonts w:hint="eastAsia"/>
          <w:lang w:eastAsia="zh-CN"/>
        </w:rPr>
        <w:t>《</w:t>
      </w:r>
      <w:r>
        <w:rPr>
          <w:rFonts w:hint="eastAsia"/>
          <w:lang w:val="en-US" w:eastAsia="zh-CN"/>
        </w:rPr>
        <w:t>技术规程</w:t>
      </w:r>
      <w:r>
        <w:rPr>
          <w:rFonts w:hint="eastAsia"/>
          <w:lang w:eastAsia="zh-CN"/>
        </w:rPr>
        <w:t>》</w:t>
      </w:r>
      <w:r>
        <w:rPr>
          <w:rFonts w:hint="eastAsia"/>
        </w:rPr>
        <w:t>根据《中华人民共和国标准</w:t>
      </w:r>
      <w:r>
        <w:rPr>
          <w:rFonts w:hint="eastAsia"/>
          <w:lang w:eastAsia="zh-CN"/>
        </w:rPr>
        <w:t>化</w:t>
      </w:r>
      <w:r>
        <w:rPr>
          <w:rFonts w:hint="eastAsia"/>
        </w:rPr>
        <w:t>法》及其《实施细则</w:t>
      </w:r>
      <w:r>
        <w:rPr>
          <w:rFonts w:hint="eastAsia"/>
          <w:lang w:eastAsia="zh-CN"/>
        </w:rPr>
        <w:t>》《</w:t>
      </w:r>
      <w:r>
        <w:rPr>
          <w:rFonts w:hint="eastAsia"/>
        </w:rPr>
        <w:t>标准化工作导则第1部分：标准化文件的结构和起草规则》</w:t>
      </w:r>
      <w:r>
        <w:rPr>
          <w:rFonts w:hint="eastAsia"/>
          <w:lang w:val="en-US" w:eastAsia="zh-CN"/>
        </w:rPr>
        <w:t>GB/T</w:t>
      </w:r>
      <w:r>
        <w:rPr>
          <w:rFonts w:hint="eastAsia"/>
        </w:rPr>
        <w:t xml:space="preserve"> 1.1</w:t>
      </w:r>
      <w:r>
        <w:rPr>
          <w:rFonts w:hint="eastAsia"/>
          <w:lang w:eastAsia="zh-CN"/>
        </w:rPr>
        <w:t>—</w:t>
      </w:r>
      <w:r>
        <w:rPr>
          <w:rFonts w:hint="eastAsia"/>
        </w:rPr>
        <w:t>20</w:t>
      </w:r>
      <w:r>
        <w:rPr>
          <w:rFonts w:hint="eastAsia"/>
          <w:lang w:val="en-US" w:eastAsia="zh-CN"/>
        </w:rPr>
        <w:t>20</w:t>
      </w:r>
      <w:r>
        <w:rPr>
          <w:rFonts w:hint="eastAsia"/>
        </w:rPr>
        <w:t>进行编制。</w:t>
      </w:r>
    </w:p>
    <w:p>
      <w:pPr>
        <w:pageBreakBefore w:val="0"/>
        <w:kinsoku/>
        <w:wordWrap/>
        <w:overflowPunct/>
        <w:topLinePunct w:val="0"/>
        <w:autoSpaceDE/>
        <w:autoSpaceDN/>
        <w:bidi w:val="0"/>
        <w:adjustRightInd/>
        <w:snapToGrid/>
        <w:spacing w:line="600" w:lineRule="exact"/>
        <w:textAlignment w:val="auto"/>
        <w:rPr>
          <w:rFonts w:hint="eastAsia"/>
        </w:rPr>
      </w:pPr>
      <w:r>
        <w:rPr>
          <w:rFonts w:hint="eastAsia"/>
        </w:rPr>
        <w:t>（2）适应性：</w:t>
      </w:r>
      <w:r>
        <w:rPr>
          <w:rFonts w:hint="eastAsia"/>
          <w:lang w:eastAsia="zh-CN"/>
        </w:rPr>
        <w:t>《</w:t>
      </w:r>
      <w:r>
        <w:rPr>
          <w:rFonts w:hint="eastAsia"/>
          <w:lang w:val="en-US" w:eastAsia="zh-CN"/>
        </w:rPr>
        <w:t>技术规程</w:t>
      </w:r>
      <w:r>
        <w:rPr>
          <w:rFonts w:hint="eastAsia"/>
          <w:lang w:eastAsia="zh-CN"/>
        </w:rPr>
        <w:t>》</w:t>
      </w:r>
      <w:r>
        <w:rPr>
          <w:rFonts w:hint="eastAsia"/>
        </w:rPr>
        <w:t>规定</w:t>
      </w:r>
      <w:r>
        <w:rPr>
          <w:rFonts w:hint="eastAsia"/>
          <w:lang w:val="en-US" w:eastAsia="zh-CN"/>
        </w:rPr>
        <w:t>基于林草碳汇的产品碳足迹核算及</w:t>
      </w:r>
      <w:r>
        <w:rPr>
          <w:rFonts w:hint="eastAsia"/>
        </w:rPr>
        <w:t>碳中和的基本原则、碳足迹核算及碳中和流程、碳足迹核算方法、碳中和实施计划、实施</w:t>
      </w:r>
      <w:r>
        <w:rPr>
          <w:rFonts w:hint="eastAsia"/>
          <w:lang w:val="en-US" w:eastAsia="zh-CN"/>
        </w:rPr>
        <w:t>碳足迹</w:t>
      </w:r>
      <w:r>
        <w:rPr>
          <w:rFonts w:hint="eastAsia"/>
        </w:rPr>
        <w:t>减排行动、碳排放抵销、碳中和评价和碳中和</w:t>
      </w:r>
      <w:r>
        <w:rPr>
          <w:rFonts w:hint="eastAsia"/>
          <w:lang w:val="en-US" w:eastAsia="zh-CN"/>
        </w:rPr>
        <w:t>信息披露</w:t>
      </w:r>
      <w:r>
        <w:rPr>
          <w:rFonts w:hint="eastAsia"/>
        </w:rPr>
        <w:t>等相关内容，对</w:t>
      </w:r>
      <w:r>
        <w:rPr>
          <w:rFonts w:hint="eastAsia"/>
          <w:lang w:val="en-US" w:eastAsia="zh-CN"/>
        </w:rPr>
        <w:t>产品开展碳足迹核算及使用包头林草碳票和碳汇类碳信用抵销方式</w:t>
      </w:r>
      <w:r>
        <w:rPr>
          <w:rFonts w:hint="eastAsia"/>
        </w:rPr>
        <w:t>实施碳中和活动提供指南。</w:t>
      </w:r>
    </w:p>
    <w:p>
      <w:pPr>
        <w:pageBreakBefore w:val="0"/>
        <w:kinsoku/>
        <w:wordWrap/>
        <w:overflowPunct/>
        <w:topLinePunct w:val="0"/>
        <w:autoSpaceDE/>
        <w:autoSpaceDN/>
        <w:bidi w:val="0"/>
        <w:adjustRightInd/>
        <w:snapToGrid/>
        <w:spacing w:line="600" w:lineRule="exact"/>
        <w:textAlignment w:val="auto"/>
        <w:rPr>
          <w:rFonts w:hint="eastAsia"/>
        </w:rPr>
      </w:pPr>
      <w:r>
        <w:rPr>
          <w:rFonts w:hint="eastAsia"/>
        </w:rPr>
        <w:t>（3）先进性：</w:t>
      </w:r>
      <w:r>
        <w:rPr>
          <w:rFonts w:hint="eastAsia"/>
          <w:lang w:eastAsia="zh-CN"/>
        </w:rPr>
        <w:t>《</w:t>
      </w:r>
      <w:r>
        <w:rPr>
          <w:rFonts w:hint="eastAsia"/>
          <w:lang w:val="en-US" w:eastAsia="zh-CN"/>
        </w:rPr>
        <w:t>技术规程</w:t>
      </w:r>
      <w:r>
        <w:rPr>
          <w:rFonts w:hint="eastAsia"/>
          <w:lang w:eastAsia="zh-CN"/>
        </w:rPr>
        <w:t>》</w:t>
      </w:r>
      <w:r>
        <w:rPr>
          <w:rFonts w:hint="eastAsia"/>
          <w:lang w:val="en-US" w:eastAsia="zh-CN"/>
        </w:rPr>
        <w:t>研究过程中充分借鉴国内外先进标准内容，并结合包头市实际情况规定产品的碳足迹核算方法及林草碳汇碳中和实施程序</w:t>
      </w:r>
      <w:r>
        <w:rPr>
          <w:rFonts w:hint="eastAsia"/>
        </w:rPr>
        <w:t>，指导</w:t>
      </w:r>
      <w:r>
        <w:rPr>
          <w:rFonts w:hint="eastAsia"/>
          <w:lang w:val="en-US" w:eastAsia="zh-CN"/>
        </w:rPr>
        <w:t>产品碳中和实施方科学合理利用林草碳汇类抵销方式</w:t>
      </w:r>
      <w:r>
        <w:rPr>
          <w:rFonts w:hint="eastAsia"/>
        </w:rPr>
        <w:t>开展</w:t>
      </w:r>
      <w:r>
        <w:rPr>
          <w:rFonts w:hint="eastAsia"/>
          <w:lang w:val="en-US" w:eastAsia="zh-CN"/>
        </w:rPr>
        <w:t>碳足迹核算</w:t>
      </w:r>
      <w:r>
        <w:rPr>
          <w:rFonts w:hint="eastAsia"/>
        </w:rPr>
        <w:t>和碳中和实现，助力</w:t>
      </w:r>
      <w:r>
        <w:rPr>
          <w:rFonts w:hint="eastAsia"/>
          <w:lang w:val="en-US" w:eastAsia="zh-CN"/>
        </w:rPr>
        <w:t>包头市实现碳达峰碳中和林草碳汇（包头）试验区目标</w:t>
      </w:r>
      <w:r>
        <w:rPr>
          <w:rFonts w:hint="eastAsia"/>
        </w:rPr>
        <w:t>。</w:t>
      </w:r>
    </w:p>
    <w:p>
      <w:pPr>
        <w:pStyle w:val="3"/>
        <w:pageBreakBefore w:val="0"/>
        <w:kinsoku/>
        <w:wordWrap/>
        <w:overflowPunct/>
        <w:topLinePunct w:val="0"/>
        <w:autoSpaceDE/>
        <w:autoSpaceDN/>
        <w:bidi w:val="0"/>
        <w:adjustRightInd/>
        <w:snapToGrid/>
        <w:spacing w:line="600" w:lineRule="exact"/>
        <w:textAlignment w:val="auto"/>
      </w:pPr>
      <w:bookmarkStart w:id="10" w:name="_Toc17872"/>
      <w:r>
        <w:t>（</w:t>
      </w:r>
      <w:r>
        <w:rPr>
          <w:rFonts w:hint="eastAsia"/>
          <w:lang w:val="en-US" w:eastAsia="zh-CN"/>
        </w:rPr>
        <w:t>二</w:t>
      </w:r>
      <w:r>
        <w:t>）</w:t>
      </w:r>
      <w:r>
        <w:rPr>
          <w:rFonts w:hint="eastAsia"/>
          <w:lang w:val="en-US" w:eastAsia="zh-CN"/>
        </w:rPr>
        <w:t>制定</w:t>
      </w:r>
      <w:r>
        <w:t>标准的依据</w:t>
      </w:r>
      <w:bookmarkEnd w:id="10"/>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《中华人民共和国</w:t>
      </w:r>
      <w:bookmarkStart w:id="19" w:name="_GoBack"/>
      <w:bookmarkEnd w:id="19"/>
      <w:r>
        <w:rPr>
          <w:rFonts w:hint="eastAsia"/>
          <w:lang w:val="en-US" w:eastAsia="zh-CN"/>
        </w:rPr>
        <w:t>标准化法》(2017修订）；</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《大型群众性活动安全管理条例》（国务院令第505号）；</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《内蒙古自治区地方标准管理办法》；</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《内蒙古自治区标准化条例》；</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《环境管理 生命周期评价 原则与框架》（GB/T 24040）；</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《环境管理 生命周期评价 要求与指南》（GB/T 24044）；</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《电子信息产品碳足迹核算指南》（DB11/T 1860）；</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《对温室气体声明进行审定和评价的指南性规范》（ISO 14064-3）；</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《温室气体 产品碳足迹 量化的要求和指南》（ISO 14067）；</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《产品寿命周期核算与报告标准》（GHG Protocol）</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《商品和服务在生命周期内的温室气体排放评价规范》（PAS 2050）</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《企业温室气体排放报告核查指南（试行）》生态环境部办公厅；</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国家发展改革委办公厅关于印发首批10个行业企业温室气体排放核算方法与报告指南(试行）的通知（发改办气候〔2013〕2526号）；</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国家发展改革委办公厅关于印发第二批4个行业企业温室气体排放核算方法与报告指南（试行）的通知(发改办气候〔2014〕2920号）；</w:t>
      </w:r>
    </w:p>
    <w:p>
      <w:pPr>
        <w:keepNext w:val="0"/>
        <w:keepLines w:val="0"/>
        <w:pageBreakBefore w:val="0"/>
        <w:widowControl w:val="0"/>
        <w:numPr>
          <w:ilvl w:val="0"/>
          <w:numId w:val="5"/>
        </w:numPr>
        <w:kinsoku/>
        <w:wordWrap/>
        <w:overflowPunct/>
        <w:topLinePunct w:val="0"/>
        <w:autoSpaceDE/>
        <w:autoSpaceDN/>
        <w:bidi w:val="0"/>
        <w:adjustRightInd/>
        <w:snapToGrid/>
        <w:spacing w:line="600" w:lineRule="exact"/>
        <w:ind w:left="0" w:leftChars="0" w:firstLine="640" w:firstLineChars="200"/>
        <w:textAlignment w:val="auto"/>
        <w:rPr>
          <w:rFonts w:hint="eastAsia"/>
          <w:lang w:val="en-US" w:eastAsia="zh-CN"/>
        </w:rPr>
      </w:pPr>
      <w:r>
        <w:rPr>
          <w:rFonts w:hint="eastAsia"/>
          <w:lang w:val="en-US" w:eastAsia="zh-CN"/>
        </w:rPr>
        <w:t>国家发展改革委办公厅关于印发第三批10个行业企业温室气体核算方法与报告指南（试行）的通知(发改办气候〔2015〕1722号）。</w:t>
      </w:r>
    </w:p>
    <w:p>
      <w:pPr>
        <w:pStyle w:val="3"/>
        <w:pageBreakBefore w:val="0"/>
        <w:kinsoku/>
        <w:wordWrap/>
        <w:overflowPunct/>
        <w:topLinePunct w:val="0"/>
        <w:autoSpaceDE/>
        <w:autoSpaceDN/>
        <w:bidi w:val="0"/>
        <w:adjustRightInd/>
        <w:snapToGrid/>
        <w:spacing w:line="600" w:lineRule="exact"/>
        <w:textAlignment w:val="auto"/>
        <w:rPr>
          <w:rFonts w:hint="eastAsia"/>
        </w:rPr>
      </w:pPr>
      <w:bookmarkStart w:id="11" w:name="_Toc6221"/>
      <w:r>
        <w:rPr>
          <w:rFonts w:hint="eastAsia"/>
          <w:lang w:val="en-US" w:eastAsia="zh-CN"/>
        </w:rPr>
        <w:t>（三）</w:t>
      </w:r>
      <w:r>
        <w:t>与现行法律、法规和标准的关系</w:t>
      </w:r>
      <w:bookmarkEnd w:id="11"/>
    </w:p>
    <w:p>
      <w:pPr>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本文件内容符合国家及内蒙古自治区现行法律法规要求。</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default"/>
          <w:lang w:val="en-US" w:eastAsia="zh-CN"/>
        </w:rPr>
      </w:pPr>
      <w:bookmarkStart w:id="12" w:name="_Toc21609"/>
      <w:r>
        <w:rPr>
          <w:rFonts w:hint="eastAsia"/>
          <w:lang w:val="en-US" w:eastAsia="zh-CN"/>
        </w:rPr>
        <w:t>五、主要条款说明，</w:t>
      </w:r>
      <w:r>
        <w:rPr>
          <w:lang w:val="en-US" w:eastAsia="zh-CN"/>
        </w:rPr>
        <w:t>主要技术指标、参数、试验验证的论</w:t>
      </w:r>
      <w:r>
        <w:rPr>
          <w:rFonts w:hint="eastAsia"/>
          <w:lang w:val="en-US" w:eastAsia="zh-CN"/>
        </w:rPr>
        <w:t>述</w:t>
      </w:r>
      <w:bookmarkEnd w:id="12"/>
    </w:p>
    <w:p>
      <w:pPr>
        <w:pStyle w:val="9"/>
        <w:pageBreakBefore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lang w:val="en-US" w:eastAsia="zh-CN"/>
        </w:rPr>
        <w:t>基本要求：产品碳足迹核算及碳中和实施应遵循生命周期、相关性、完整性、一致性、准确性和透明性等基本要求和原则。</w:t>
      </w:r>
    </w:p>
    <w:p>
      <w:pPr>
        <w:pStyle w:val="9"/>
        <w:pageBreakBefore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lang w:val="en-US" w:eastAsia="zh-CN"/>
        </w:rPr>
        <w:t>产品碳足迹核算及碳中和流程确定了基于林草碳汇的产品碳足迹核算及碳中和流程。产品碳足迹核算方法确定了排放因子法、质量平衡法的核算方法，描述了不同核算方法的核算公式及要求。</w:t>
      </w:r>
    </w:p>
    <w:p>
      <w:pPr>
        <w:pStyle w:val="9"/>
        <w:pageBreakBefore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制定碳中和实施计划章节规定了林草碳汇碳中和实施计划主要内容。实施碳足迹减排行动章节主要提出了区域农作物产品、规模化畜牧业产品及工业产品基于全生命周期在不同阶段可实施的碳减排路径。抵销碳排放规定了产品碳排放抵销的基本要求，拟定了购买包头市林草碳票进行抵销和碳汇类碳信用两种抵销方式的选择、组合方式与要求。</w:t>
      </w:r>
    </w:p>
    <w:p>
      <w:pPr>
        <w:pStyle w:val="9"/>
        <w:pageBreakBefore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lang w:val="en-US" w:eastAsia="zh-CN"/>
        </w:rPr>
        <w:t>碳中和评价确定了碳中和评价的基本要求与内容。碳中和信息披露给出了碳中和信息披露要求及渠道。</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参考文献列出了《技术规程》在研究及编制过程中主要参考与借鉴的国际国内标准、行业标准、期刊论文、著作等参考文献内容。</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pPr>
      <w:bookmarkStart w:id="13" w:name="_Toc399"/>
      <w:r>
        <w:rPr>
          <w:rFonts w:hint="eastAsia"/>
          <w:lang w:val="en-US" w:eastAsia="zh-CN"/>
        </w:rPr>
        <w:t>六</w:t>
      </w:r>
      <w:r>
        <w:rPr>
          <w:rFonts w:hint="eastAsia"/>
        </w:rPr>
        <w:t>、重大意见分歧的处理依据和结果</w:t>
      </w:r>
      <w:bookmarkEnd w:id="13"/>
    </w:p>
    <w:p>
      <w:pPr>
        <w:pageBreakBefore w:val="0"/>
        <w:kinsoku/>
        <w:wordWrap/>
        <w:overflowPunct/>
        <w:topLinePunct w:val="0"/>
        <w:autoSpaceDE/>
        <w:autoSpaceDN/>
        <w:bidi w:val="0"/>
        <w:adjustRightInd/>
        <w:snapToGrid/>
        <w:spacing w:line="600" w:lineRule="exact"/>
        <w:textAlignment w:val="auto"/>
        <w:rPr>
          <w:rFonts w:hint="default" w:eastAsia="仿宋_GB2312"/>
          <w:lang w:val="en-US" w:eastAsia="zh-CN"/>
        </w:rPr>
      </w:pPr>
      <w:r>
        <w:rPr>
          <w:rFonts w:hint="eastAsia"/>
          <w:lang w:val="en-US" w:eastAsia="zh-CN"/>
        </w:rPr>
        <w:t>本文件的制定过程中未出现重大的分歧意见。</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eastAsia"/>
        </w:rPr>
      </w:pPr>
      <w:bookmarkStart w:id="14" w:name="_Toc8472"/>
      <w:r>
        <w:rPr>
          <w:rFonts w:hint="eastAsia"/>
          <w:lang w:val="en-US" w:eastAsia="zh-CN"/>
        </w:rPr>
        <w:t>七</w:t>
      </w:r>
      <w:r>
        <w:rPr>
          <w:rFonts w:hint="eastAsia"/>
        </w:rPr>
        <w:t>、</w:t>
      </w:r>
      <w:r>
        <w:t>采用国际标准或国外先进标准的情况</w:t>
      </w:r>
      <w:bookmarkEnd w:id="14"/>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无。</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pPr>
      <w:bookmarkStart w:id="15" w:name="_Toc11067"/>
      <w:r>
        <w:rPr>
          <w:rFonts w:hint="eastAsia"/>
          <w:lang w:val="en-US" w:eastAsia="zh-CN"/>
        </w:rPr>
        <w:t>八</w:t>
      </w:r>
      <w:r>
        <w:t>、</w:t>
      </w:r>
      <w:r>
        <w:rPr>
          <w:rFonts w:hint="eastAsia"/>
        </w:rPr>
        <w:t>推广实施</w:t>
      </w:r>
      <w:bookmarkEnd w:id="15"/>
    </w:p>
    <w:p>
      <w:pPr>
        <w:pStyle w:val="3"/>
        <w:pageBreakBefore w:val="0"/>
        <w:kinsoku/>
        <w:wordWrap/>
        <w:overflowPunct/>
        <w:topLinePunct w:val="0"/>
        <w:autoSpaceDE/>
        <w:autoSpaceDN/>
        <w:bidi w:val="0"/>
        <w:adjustRightInd/>
        <w:snapToGrid/>
        <w:spacing w:line="600" w:lineRule="exact"/>
        <w:textAlignment w:val="auto"/>
        <w:rPr>
          <w:rFonts w:hint="default"/>
          <w:lang w:val="en-US" w:eastAsia="zh-CN"/>
        </w:rPr>
      </w:pPr>
      <w:bookmarkStart w:id="16" w:name="_Toc31115"/>
      <w:r>
        <w:rPr>
          <w:rFonts w:hint="eastAsia"/>
          <w:lang w:val="en-US" w:eastAsia="zh-CN"/>
        </w:rPr>
        <w:t>（一）实施措施</w:t>
      </w:r>
      <w:bookmarkEnd w:id="16"/>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b/>
          <w:bCs/>
          <w:lang w:val="en-US" w:eastAsia="zh-CN"/>
        </w:rPr>
        <w:t>一是组织学习。</w:t>
      </w:r>
      <w:r>
        <w:rPr>
          <w:rFonts w:hint="eastAsia"/>
          <w:lang w:val="en-US" w:eastAsia="zh-CN"/>
        </w:rPr>
        <w:t>由本文件提出部门和编制单位组织参与《技术规程》的要素内容学习，做到全体人员能够掌握《技术规程》的碳中和流程与要求，能在具体的推行过程中自觉运用本文件。</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b/>
          <w:bCs/>
          <w:lang w:val="en-US" w:eastAsia="zh-CN"/>
        </w:rPr>
        <w:t>二是严格审核。</w:t>
      </w:r>
      <w:r>
        <w:rPr>
          <w:rFonts w:hint="eastAsia"/>
          <w:lang w:val="en-US" w:eastAsia="zh-CN"/>
        </w:rPr>
        <w:t>以本文件规定严格细致地进行产品碳足迹核算、碳中和实施计划以及碳中和评价把关，从核算碳足迹量、计划制定、实施碳足迹减排行动、碳排放抵销以及碳中和评价及碳中和信息披露等方面，严格对照本文件规定与要求，通过与产品碳中和实施方、主管部门、第三方机构（若有）及时沟通，保证产品碳足迹核算及碳中和实施满足本文件要求。</w:t>
      </w:r>
    </w:p>
    <w:p>
      <w:pPr>
        <w:pStyle w:val="3"/>
        <w:pageBreakBefore w:val="0"/>
        <w:kinsoku/>
        <w:wordWrap/>
        <w:overflowPunct/>
        <w:topLinePunct w:val="0"/>
        <w:autoSpaceDE/>
        <w:autoSpaceDN/>
        <w:bidi w:val="0"/>
        <w:adjustRightInd/>
        <w:snapToGrid/>
        <w:spacing w:line="600" w:lineRule="exact"/>
        <w:textAlignment w:val="auto"/>
        <w:rPr>
          <w:rFonts w:hint="eastAsia"/>
          <w:highlight w:val="none"/>
          <w:lang w:val="en-US" w:eastAsia="zh-CN"/>
        </w:rPr>
      </w:pPr>
      <w:bookmarkStart w:id="17" w:name="_Toc5023"/>
      <w:r>
        <w:rPr>
          <w:rFonts w:hint="eastAsia"/>
          <w:highlight w:val="none"/>
          <w:lang w:val="en-US" w:eastAsia="zh-CN"/>
        </w:rPr>
        <w:t>（二）实施方向</w:t>
      </w:r>
      <w:bookmarkEnd w:id="17"/>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highlight w:val="none"/>
          <w:lang w:val="en-US" w:eastAsia="zh-CN"/>
        </w:rPr>
      </w:pPr>
      <w:r>
        <w:rPr>
          <w:rFonts w:hint="default"/>
          <w:highlight w:val="none"/>
          <w:lang w:val="en-US" w:eastAsia="zh-CN"/>
        </w:rPr>
        <w:t>以包头市人民政府出台的《包头市林草碳汇市域碳中和实施方案》为依据，通过建立《产品碳足迹 核算及林草碳汇碳中和技术规程》，在全市推行通过林草碳汇抵消碳排放量的</w:t>
      </w:r>
      <w:r>
        <w:rPr>
          <w:rFonts w:hint="eastAsia"/>
          <w:highlight w:val="none"/>
          <w:lang w:val="en-US" w:eastAsia="zh-CN"/>
        </w:rPr>
        <w:t>产品</w:t>
      </w:r>
      <w:r>
        <w:rPr>
          <w:rFonts w:hint="default"/>
          <w:highlight w:val="none"/>
          <w:lang w:val="en-US" w:eastAsia="zh-CN"/>
        </w:rPr>
        <w:t>碳中和及林草碳普惠行动，积极引导</w:t>
      </w:r>
      <w:r>
        <w:rPr>
          <w:rFonts w:hint="eastAsia"/>
          <w:highlight w:val="none"/>
          <w:lang w:val="en-US" w:eastAsia="zh-CN"/>
        </w:rPr>
        <w:t>企业</w:t>
      </w:r>
      <w:r>
        <w:rPr>
          <w:rFonts w:hint="default"/>
          <w:highlight w:val="none"/>
          <w:lang w:val="en-US" w:eastAsia="zh-CN"/>
        </w:rPr>
        <w:t>参与市域碳中和，鼓励</w:t>
      </w:r>
      <w:r>
        <w:rPr>
          <w:rFonts w:hint="eastAsia"/>
          <w:highlight w:val="none"/>
          <w:lang w:val="en-US" w:eastAsia="zh-CN"/>
        </w:rPr>
        <w:t>企业</w:t>
      </w:r>
      <w:r>
        <w:rPr>
          <w:rFonts w:hint="default"/>
          <w:highlight w:val="none"/>
          <w:lang w:val="en-US" w:eastAsia="zh-CN"/>
        </w:rPr>
        <w:t>通过购买包头林草碳票或碳汇类碳信用的抵销方式实现碳中和。出台《《产品碳足迹 核算及林草碳汇碳中和技术规程》的地方标准，一是给</w:t>
      </w:r>
      <w:r>
        <w:rPr>
          <w:rFonts w:hint="eastAsia"/>
          <w:highlight w:val="none"/>
          <w:lang w:val="en-US" w:eastAsia="zh-CN"/>
        </w:rPr>
        <w:t>企业</w:t>
      </w:r>
      <w:r>
        <w:rPr>
          <w:rFonts w:hint="default"/>
          <w:highlight w:val="none"/>
          <w:lang w:val="en-US" w:eastAsia="zh-CN"/>
        </w:rPr>
        <w:t>提供和详尽的碳排放核算依据及核算方法，二是给</w:t>
      </w:r>
      <w:r>
        <w:rPr>
          <w:rFonts w:hint="eastAsia"/>
          <w:highlight w:val="none"/>
          <w:lang w:val="en-US" w:eastAsia="zh-CN"/>
        </w:rPr>
        <w:t>企业</w:t>
      </w:r>
      <w:r>
        <w:rPr>
          <w:rFonts w:hint="default"/>
          <w:highlight w:val="none"/>
          <w:lang w:val="en-US" w:eastAsia="zh-CN"/>
        </w:rPr>
        <w:t>提供了碳减排行动路径，三是告知</w:t>
      </w:r>
      <w:r>
        <w:rPr>
          <w:rFonts w:hint="eastAsia"/>
          <w:highlight w:val="none"/>
          <w:lang w:val="en-US" w:eastAsia="zh-CN"/>
        </w:rPr>
        <w:t>企业</w:t>
      </w:r>
      <w:r>
        <w:rPr>
          <w:rFonts w:hint="default"/>
          <w:highlight w:val="none"/>
          <w:lang w:val="en-US" w:eastAsia="zh-CN"/>
        </w:rPr>
        <w:t>碳中和的流程，四是通过鼓励</w:t>
      </w:r>
      <w:r>
        <w:rPr>
          <w:rFonts w:hint="eastAsia"/>
          <w:highlight w:val="none"/>
          <w:lang w:val="en-US" w:eastAsia="zh-CN"/>
        </w:rPr>
        <w:t>企业</w:t>
      </w:r>
      <w:r>
        <w:rPr>
          <w:rFonts w:hint="default"/>
          <w:highlight w:val="none"/>
          <w:lang w:val="en-US" w:eastAsia="zh-CN"/>
        </w:rPr>
        <w:t>开展</w:t>
      </w:r>
      <w:r>
        <w:rPr>
          <w:rFonts w:hint="eastAsia"/>
          <w:highlight w:val="none"/>
          <w:lang w:val="en-US" w:eastAsia="zh-CN"/>
        </w:rPr>
        <w:t>产品</w:t>
      </w:r>
      <w:r>
        <w:rPr>
          <w:rFonts w:hint="default"/>
          <w:highlight w:val="none"/>
          <w:lang w:val="en-US" w:eastAsia="zh-CN"/>
        </w:rPr>
        <w:t>碳中和，促进林草碳汇区域交易和区域补偿，破解大多数林草固碳功能贡献大却难以实现价值的难题。</w:t>
      </w:r>
    </w:p>
    <w:p>
      <w:pPr>
        <w:pStyle w:val="2"/>
        <w:pageBreakBefore w:val="0"/>
        <w:kinsoku/>
        <w:wordWrap/>
        <w:overflowPunct/>
        <w:topLinePunct w:val="0"/>
        <w:autoSpaceDE/>
        <w:autoSpaceDN/>
        <w:bidi w:val="0"/>
        <w:adjustRightInd/>
        <w:snapToGrid/>
        <w:spacing w:line="600" w:lineRule="exact"/>
        <w:ind w:left="0" w:leftChars="0" w:firstLine="0" w:firstLineChars="0"/>
        <w:textAlignment w:val="auto"/>
        <w:rPr>
          <w:rFonts w:hint="default"/>
          <w:lang w:val="en-US" w:eastAsia="zh-CN"/>
        </w:rPr>
      </w:pPr>
      <w:bookmarkStart w:id="18" w:name="_Toc5317"/>
      <w:r>
        <w:rPr>
          <w:rFonts w:hint="eastAsia"/>
          <w:lang w:val="en-US" w:eastAsia="zh-CN"/>
        </w:rPr>
        <w:t>九、其他应说明的事项</w:t>
      </w:r>
      <w:bookmarkEnd w:id="18"/>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无。</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A00002BF" w:usb1="38CF7CFA" w:usb2="00082016" w:usb3="00000000" w:csb0="00040001"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D799C"/>
    <w:multiLevelType w:val="singleLevel"/>
    <w:tmpl w:val="C1DD799C"/>
    <w:lvl w:ilvl="0" w:tentative="0">
      <w:start w:val="1"/>
      <w:numFmt w:val="decimal"/>
      <w:suff w:val="nothing"/>
      <w:lvlText w:val="（%1）"/>
      <w:lvlJc w:val="left"/>
      <w:pPr>
        <w:ind w:left="0" w:firstLine="0"/>
      </w:pPr>
      <w:rPr>
        <w:rFonts w:hint="default"/>
      </w:rPr>
    </w:lvl>
  </w:abstractNum>
  <w:abstractNum w:abstractNumId="1">
    <w:nsid w:val="CDCC5B64"/>
    <w:multiLevelType w:val="singleLevel"/>
    <w:tmpl w:val="CDCC5B64"/>
    <w:lvl w:ilvl="0" w:tentative="0">
      <w:start w:val="2"/>
      <w:numFmt w:val="chineseCounting"/>
      <w:suff w:val="nothing"/>
      <w:lvlText w:val="（%1）"/>
      <w:lvlJc w:val="left"/>
      <w:rPr>
        <w:rFonts w:hint="eastAsia"/>
      </w:rPr>
    </w:lvl>
  </w:abstractNum>
  <w:abstractNum w:abstractNumId="2">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212F01F"/>
    <w:multiLevelType w:val="singleLevel"/>
    <w:tmpl w:val="2212F01F"/>
    <w:lvl w:ilvl="0" w:tentative="0">
      <w:start w:val="1"/>
      <w:numFmt w:val="decimal"/>
      <w:suff w:val="nothing"/>
      <w:lvlText w:val="%1"/>
      <w:lvlJc w:val="left"/>
      <w:pPr>
        <w:ind w:left="0" w:firstLine="0"/>
      </w:pPr>
      <w:rPr>
        <w:rFonts w:hint="default"/>
      </w:rPr>
    </w:lvl>
  </w:abstractNum>
  <w:abstractNum w:abstractNumId="4">
    <w:nsid w:val="44C50F90"/>
    <w:multiLevelType w:val="multilevel"/>
    <w:tmpl w:val="44C50F90"/>
    <w:lvl w:ilvl="0" w:tentative="0">
      <w:start w:val="1"/>
      <w:numFmt w:val="lowerLetter"/>
      <w:pStyle w:val="1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OTFiNjkwNmZkZGViMDMxZGEyNTM1ZWZjMjRlZmIifQ=="/>
  </w:docVars>
  <w:rsids>
    <w:rsidRoot w:val="00E44D7F"/>
    <w:rsid w:val="000013ED"/>
    <w:rsid w:val="0000492A"/>
    <w:rsid w:val="00015E44"/>
    <w:rsid w:val="00017675"/>
    <w:rsid w:val="00033E70"/>
    <w:rsid w:val="00035200"/>
    <w:rsid w:val="00051EF2"/>
    <w:rsid w:val="00070E9E"/>
    <w:rsid w:val="000B7094"/>
    <w:rsid w:val="000C37F5"/>
    <w:rsid w:val="00120547"/>
    <w:rsid w:val="001926DA"/>
    <w:rsid w:val="001C0D42"/>
    <w:rsid w:val="001D2EAF"/>
    <w:rsid w:val="001F4004"/>
    <w:rsid w:val="002034F3"/>
    <w:rsid w:val="002047CC"/>
    <w:rsid w:val="002109E0"/>
    <w:rsid w:val="0024727F"/>
    <w:rsid w:val="00250225"/>
    <w:rsid w:val="00273C2A"/>
    <w:rsid w:val="0029764F"/>
    <w:rsid w:val="002A6159"/>
    <w:rsid w:val="002B1F36"/>
    <w:rsid w:val="002B795A"/>
    <w:rsid w:val="002C0BEF"/>
    <w:rsid w:val="002C315A"/>
    <w:rsid w:val="003231ED"/>
    <w:rsid w:val="003416E1"/>
    <w:rsid w:val="003551B3"/>
    <w:rsid w:val="00362BF0"/>
    <w:rsid w:val="00387B25"/>
    <w:rsid w:val="003914CA"/>
    <w:rsid w:val="00394EA2"/>
    <w:rsid w:val="003C2C51"/>
    <w:rsid w:val="003F2439"/>
    <w:rsid w:val="00426B1A"/>
    <w:rsid w:val="00433BC5"/>
    <w:rsid w:val="0046186B"/>
    <w:rsid w:val="00463CCB"/>
    <w:rsid w:val="004A195E"/>
    <w:rsid w:val="004A4964"/>
    <w:rsid w:val="004F11CC"/>
    <w:rsid w:val="00500D57"/>
    <w:rsid w:val="005438C0"/>
    <w:rsid w:val="0056202D"/>
    <w:rsid w:val="00567182"/>
    <w:rsid w:val="005C04DE"/>
    <w:rsid w:val="005C5A81"/>
    <w:rsid w:val="005D6938"/>
    <w:rsid w:val="005D70B1"/>
    <w:rsid w:val="005F7404"/>
    <w:rsid w:val="00601DD0"/>
    <w:rsid w:val="00610C46"/>
    <w:rsid w:val="006177B4"/>
    <w:rsid w:val="00627175"/>
    <w:rsid w:val="00642CFA"/>
    <w:rsid w:val="006C0CDE"/>
    <w:rsid w:val="006C3709"/>
    <w:rsid w:val="006E0779"/>
    <w:rsid w:val="00711C8C"/>
    <w:rsid w:val="00722103"/>
    <w:rsid w:val="00736CD7"/>
    <w:rsid w:val="00755829"/>
    <w:rsid w:val="00761CA1"/>
    <w:rsid w:val="007638B1"/>
    <w:rsid w:val="00770FF0"/>
    <w:rsid w:val="007721DC"/>
    <w:rsid w:val="00780A04"/>
    <w:rsid w:val="007A7012"/>
    <w:rsid w:val="007D499F"/>
    <w:rsid w:val="007F5CAD"/>
    <w:rsid w:val="00811C13"/>
    <w:rsid w:val="00835A3F"/>
    <w:rsid w:val="00842C95"/>
    <w:rsid w:val="00853ADC"/>
    <w:rsid w:val="00881200"/>
    <w:rsid w:val="008D37C9"/>
    <w:rsid w:val="008E2B3E"/>
    <w:rsid w:val="008F2C0A"/>
    <w:rsid w:val="009138DC"/>
    <w:rsid w:val="009139DA"/>
    <w:rsid w:val="00916715"/>
    <w:rsid w:val="0098140C"/>
    <w:rsid w:val="00981D7D"/>
    <w:rsid w:val="009B472D"/>
    <w:rsid w:val="009D0D42"/>
    <w:rsid w:val="009D1EB5"/>
    <w:rsid w:val="009E758A"/>
    <w:rsid w:val="00A03D2E"/>
    <w:rsid w:val="00A04C64"/>
    <w:rsid w:val="00A33B03"/>
    <w:rsid w:val="00A445AE"/>
    <w:rsid w:val="00A747FB"/>
    <w:rsid w:val="00A75571"/>
    <w:rsid w:val="00A90EE0"/>
    <w:rsid w:val="00AA7271"/>
    <w:rsid w:val="00AA739D"/>
    <w:rsid w:val="00AC77CB"/>
    <w:rsid w:val="00AE2673"/>
    <w:rsid w:val="00AE3748"/>
    <w:rsid w:val="00AF07BE"/>
    <w:rsid w:val="00B24C6F"/>
    <w:rsid w:val="00B30DD9"/>
    <w:rsid w:val="00B63E3C"/>
    <w:rsid w:val="00BB47DA"/>
    <w:rsid w:val="00BB5D33"/>
    <w:rsid w:val="00BF4834"/>
    <w:rsid w:val="00C45E60"/>
    <w:rsid w:val="00C60641"/>
    <w:rsid w:val="00C60F17"/>
    <w:rsid w:val="00C66B8B"/>
    <w:rsid w:val="00C74134"/>
    <w:rsid w:val="00C7416F"/>
    <w:rsid w:val="00C84FF2"/>
    <w:rsid w:val="00C93CC7"/>
    <w:rsid w:val="00CA5B99"/>
    <w:rsid w:val="00D1046E"/>
    <w:rsid w:val="00D14356"/>
    <w:rsid w:val="00D42D0D"/>
    <w:rsid w:val="00D70207"/>
    <w:rsid w:val="00DD2A2B"/>
    <w:rsid w:val="00DE0D69"/>
    <w:rsid w:val="00DE75FF"/>
    <w:rsid w:val="00DF0947"/>
    <w:rsid w:val="00E44239"/>
    <w:rsid w:val="00E44D7F"/>
    <w:rsid w:val="00E66598"/>
    <w:rsid w:val="00E66BAA"/>
    <w:rsid w:val="00E7581E"/>
    <w:rsid w:val="00E93D69"/>
    <w:rsid w:val="00EC6EF6"/>
    <w:rsid w:val="00EE7882"/>
    <w:rsid w:val="00F16D8B"/>
    <w:rsid w:val="00F31936"/>
    <w:rsid w:val="00F365B1"/>
    <w:rsid w:val="00FA343F"/>
    <w:rsid w:val="00FE7D74"/>
    <w:rsid w:val="01DF5C17"/>
    <w:rsid w:val="02E21825"/>
    <w:rsid w:val="04F31D8A"/>
    <w:rsid w:val="07681E50"/>
    <w:rsid w:val="07B740AB"/>
    <w:rsid w:val="08813D8D"/>
    <w:rsid w:val="09F76422"/>
    <w:rsid w:val="0B5973A3"/>
    <w:rsid w:val="0D54277A"/>
    <w:rsid w:val="0DF71CEB"/>
    <w:rsid w:val="0E2C35D4"/>
    <w:rsid w:val="0E8274CA"/>
    <w:rsid w:val="0F84089F"/>
    <w:rsid w:val="1036601B"/>
    <w:rsid w:val="11273F8C"/>
    <w:rsid w:val="13062682"/>
    <w:rsid w:val="172D2D6A"/>
    <w:rsid w:val="18DE75FF"/>
    <w:rsid w:val="1A2D5F35"/>
    <w:rsid w:val="1B9C57F6"/>
    <w:rsid w:val="1C0B7651"/>
    <w:rsid w:val="1CD63C43"/>
    <w:rsid w:val="1D39438A"/>
    <w:rsid w:val="1D4D72AE"/>
    <w:rsid w:val="208C266E"/>
    <w:rsid w:val="252A2995"/>
    <w:rsid w:val="25891872"/>
    <w:rsid w:val="29707F5B"/>
    <w:rsid w:val="29EB494C"/>
    <w:rsid w:val="2BAC57C2"/>
    <w:rsid w:val="2C215325"/>
    <w:rsid w:val="2C5D3FC5"/>
    <w:rsid w:val="2CA500D2"/>
    <w:rsid w:val="2D047A30"/>
    <w:rsid w:val="2D436894"/>
    <w:rsid w:val="2F8B3DE2"/>
    <w:rsid w:val="30893DAC"/>
    <w:rsid w:val="33541DC5"/>
    <w:rsid w:val="33EBB1F6"/>
    <w:rsid w:val="3AC70896"/>
    <w:rsid w:val="3ACC3BBD"/>
    <w:rsid w:val="3AD62A0C"/>
    <w:rsid w:val="3B1D0531"/>
    <w:rsid w:val="3B235D6C"/>
    <w:rsid w:val="3D206FDA"/>
    <w:rsid w:val="3D540560"/>
    <w:rsid w:val="3D7021B3"/>
    <w:rsid w:val="3D746706"/>
    <w:rsid w:val="3D7B789B"/>
    <w:rsid w:val="3E412892"/>
    <w:rsid w:val="3EC7548D"/>
    <w:rsid w:val="410B7781"/>
    <w:rsid w:val="42BF022A"/>
    <w:rsid w:val="44ED10A0"/>
    <w:rsid w:val="4681670A"/>
    <w:rsid w:val="46E4182B"/>
    <w:rsid w:val="4825377A"/>
    <w:rsid w:val="483A59BA"/>
    <w:rsid w:val="49BB2948"/>
    <w:rsid w:val="49D4280C"/>
    <w:rsid w:val="49E727D4"/>
    <w:rsid w:val="4A2F3EE7"/>
    <w:rsid w:val="4DAD0BED"/>
    <w:rsid w:val="4E404914"/>
    <w:rsid w:val="4FDF1C88"/>
    <w:rsid w:val="510767A9"/>
    <w:rsid w:val="541167D8"/>
    <w:rsid w:val="54931516"/>
    <w:rsid w:val="55A27C63"/>
    <w:rsid w:val="56187F25"/>
    <w:rsid w:val="578D0EA1"/>
    <w:rsid w:val="57902E69"/>
    <w:rsid w:val="57AC396B"/>
    <w:rsid w:val="5A297572"/>
    <w:rsid w:val="5A5625F0"/>
    <w:rsid w:val="5A9503BF"/>
    <w:rsid w:val="5ADA5BAF"/>
    <w:rsid w:val="5B0B44FC"/>
    <w:rsid w:val="5CD759BC"/>
    <w:rsid w:val="5DC707F5"/>
    <w:rsid w:val="5F9347C8"/>
    <w:rsid w:val="5F977CEE"/>
    <w:rsid w:val="604D7048"/>
    <w:rsid w:val="626764BC"/>
    <w:rsid w:val="627735A5"/>
    <w:rsid w:val="632A08DA"/>
    <w:rsid w:val="634E7FAA"/>
    <w:rsid w:val="63B84AF5"/>
    <w:rsid w:val="63F20C2F"/>
    <w:rsid w:val="64E35BA2"/>
    <w:rsid w:val="653077B7"/>
    <w:rsid w:val="67277FC8"/>
    <w:rsid w:val="68295E30"/>
    <w:rsid w:val="68D32714"/>
    <w:rsid w:val="68F62348"/>
    <w:rsid w:val="69633464"/>
    <w:rsid w:val="6B520BC7"/>
    <w:rsid w:val="6B6C6304"/>
    <w:rsid w:val="6B7A1CE2"/>
    <w:rsid w:val="6BAC13E3"/>
    <w:rsid w:val="6BDB2A14"/>
    <w:rsid w:val="6BE23F04"/>
    <w:rsid w:val="6CC2734D"/>
    <w:rsid w:val="6D473883"/>
    <w:rsid w:val="6D9302A7"/>
    <w:rsid w:val="6F881820"/>
    <w:rsid w:val="6FF50F07"/>
    <w:rsid w:val="72135E5F"/>
    <w:rsid w:val="72364238"/>
    <w:rsid w:val="731F13A5"/>
    <w:rsid w:val="73937836"/>
    <w:rsid w:val="74AE541B"/>
    <w:rsid w:val="753C5586"/>
    <w:rsid w:val="755E6196"/>
    <w:rsid w:val="760C31AA"/>
    <w:rsid w:val="76250744"/>
    <w:rsid w:val="766B0D4A"/>
    <w:rsid w:val="7785614E"/>
    <w:rsid w:val="78C03E85"/>
    <w:rsid w:val="78EF46BD"/>
    <w:rsid w:val="7BB15EFA"/>
    <w:rsid w:val="7C8F04F9"/>
    <w:rsid w:val="7CB24380"/>
    <w:rsid w:val="7CD9190C"/>
    <w:rsid w:val="7D211F4C"/>
    <w:rsid w:val="7D4F6073"/>
    <w:rsid w:val="7D9D5D85"/>
    <w:rsid w:val="7DB327F2"/>
    <w:rsid w:val="7F8B53A8"/>
    <w:rsid w:val="7FB808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640" w:firstLineChars="200"/>
      <w:jc w:val="both"/>
    </w:pPr>
    <w:rPr>
      <w:rFonts w:ascii="Times New Roman" w:hAnsi="Times New Roman" w:eastAsia="仿宋_GB2312" w:cstheme="minorBidi"/>
      <w:kern w:val="2"/>
      <w:sz w:val="32"/>
      <w:szCs w:val="22"/>
      <w:lang w:val="en-US" w:eastAsia="zh-CN" w:bidi="ar-SA"/>
    </w:rPr>
  </w:style>
  <w:style w:type="paragraph" w:styleId="2">
    <w:name w:val="heading 1"/>
    <w:basedOn w:val="1"/>
    <w:next w:val="1"/>
    <w:link w:val="13"/>
    <w:qFormat/>
    <w:uiPriority w:val="9"/>
    <w:pPr>
      <w:keepNext/>
      <w:keepLines/>
      <w:spacing w:line="360" w:lineRule="auto"/>
      <w:ind w:firstLine="720" w:firstLineChars="200"/>
      <w:outlineLvl w:val="0"/>
    </w:pPr>
    <w:rPr>
      <w:rFonts w:ascii="Times New Roman" w:hAnsi="Times New Roman" w:eastAsia="黑体"/>
      <w:bCs/>
      <w:kern w:val="44"/>
      <w:szCs w:val="44"/>
    </w:rPr>
  </w:style>
  <w:style w:type="paragraph" w:styleId="3">
    <w:name w:val="heading 2"/>
    <w:basedOn w:val="1"/>
    <w:next w:val="1"/>
    <w:link w:val="14"/>
    <w:unhideWhenUsed/>
    <w:qFormat/>
    <w:uiPriority w:val="9"/>
    <w:pPr>
      <w:keepNext/>
      <w:keepLines/>
      <w:spacing w:line="360" w:lineRule="auto"/>
      <w:ind w:firstLine="720" w:firstLineChars="200"/>
      <w:outlineLvl w:val="1"/>
    </w:pPr>
    <w:rPr>
      <w:rFonts w:ascii="Times New Roman" w:hAnsi="Times New Roman" w:eastAsia="楷体_GB2312" w:cstheme="majorBidi"/>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4">
    <w:name w:val="footer"/>
    <w:basedOn w:val="1"/>
    <w:semiHidden/>
    <w:unhideWhenUsed/>
    <w:qFormat/>
    <w:uiPriority w:val="99"/>
    <w:pPr>
      <w:tabs>
        <w:tab w:val="center" w:pos="4153"/>
        <w:tab w:val="right" w:pos="8306"/>
      </w:tabs>
      <w:snapToGrid w:val="0"/>
      <w:jc w:val="left"/>
    </w:pPr>
    <w:rPr>
      <w:rFonts w:ascii="Times New Roman" w:hAnsi="Times New Roman" w:eastAsia="仿宋_GB2312"/>
      <w:sz w:val="24"/>
      <w:szCs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semiHidden/>
    <w:unhideWhenUsed/>
    <w:qFormat/>
    <w:uiPriority w:val="39"/>
  </w:style>
  <w:style w:type="paragraph" w:styleId="7">
    <w:name w:val="toc 2"/>
    <w:basedOn w:val="1"/>
    <w:next w:val="1"/>
    <w:semiHidden/>
    <w:unhideWhenUsed/>
    <w:qFormat/>
    <w:uiPriority w:val="39"/>
    <w:pPr>
      <w:ind w:left="420" w:leftChars="200"/>
    </w:p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Body Text First Indent 2"/>
    <w:basedOn w:val="1"/>
    <w:next w:val="1"/>
    <w:semiHidden/>
    <w:unhideWhenUsed/>
    <w:qFormat/>
    <w:uiPriority w:val="99"/>
    <w:pPr>
      <w:ind w:left="0" w:leftChars="0" w:firstLine="420"/>
    </w:p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basedOn w:val="12"/>
    <w:link w:val="2"/>
    <w:qFormat/>
    <w:uiPriority w:val="9"/>
    <w:rPr>
      <w:rFonts w:ascii="Times New Roman" w:hAnsi="Times New Roman" w:eastAsia="黑体"/>
      <w:bCs/>
      <w:kern w:val="44"/>
      <w:sz w:val="32"/>
      <w:szCs w:val="44"/>
    </w:rPr>
  </w:style>
  <w:style w:type="character" w:customStyle="1" w:styleId="14">
    <w:name w:val="标题 2 Char"/>
    <w:basedOn w:val="12"/>
    <w:link w:val="3"/>
    <w:qFormat/>
    <w:uiPriority w:val="9"/>
    <w:rPr>
      <w:rFonts w:ascii="Times New Roman" w:hAnsi="Times New Roman" w:eastAsia="楷体_GB2312" w:cstheme="majorBidi"/>
      <w:b/>
      <w:bCs/>
      <w:sz w:val="32"/>
      <w:szCs w:val="32"/>
    </w:rPr>
  </w:style>
  <w:style w:type="paragraph" w:customStyle="1" w:styleId="15">
    <w:name w:val="章标题"/>
    <w:next w:val="16"/>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一级条标题"/>
    <w:next w:val="16"/>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二级条标题"/>
    <w:basedOn w:val="17"/>
    <w:next w:val="16"/>
    <w:qFormat/>
    <w:uiPriority w:val="0"/>
    <w:pPr>
      <w:numPr>
        <w:ilvl w:val="2"/>
        <w:numId w:val="1"/>
      </w:numPr>
      <w:spacing w:before="50" w:after="50"/>
      <w:outlineLvl w:val="3"/>
    </w:pPr>
  </w:style>
  <w:style w:type="paragraph" w:customStyle="1" w:styleId="19">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character" w:customStyle="1" w:styleId="20">
    <w:name w:val="段 Char"/>
    <w:basedOn w:val="12"/>
    <w:qFormat/>
    <w:uiPriority w:val="0"/>
    <w:rPr>
      <w:rFonts w:hint="eastAsia" w:ascii="宋体" w:hAnsi="宋体" w:eastAsia="宋体" w:cs="宋体"/>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11</Pages>
  <Words>4581</Words>
  <Characters>4941</Characters>
  <Lines>1</Lines>
  <Paragraphs>1</Paragraphs>
  <TotalTime>0</TotalTime>
  <ScaleCrop>false</ScaleCrop>
  <LinksUpToDate>false</LinksUpToDate>
  <CharactersWithSpaces>4967</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2023-04-12T09:13:00Z</dcterms:created>
  <dc:creator>黄梅</dc:creator>
  <cp:lastModifiedBy>user</cp:lastModifiedBy>
  <dcterms:modified xsi:type="dcterms:W3CDTF">2024-07-22T15:50:54Z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5C9D09876BA14FF294859269D10F74DF_13</vt:lpwstr>
  </property>
</Properties>
</file>