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 xml:space="preserve">65.020.40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B</w:t>
            </w:r>
            <w:r>
              <w:rPr>
                <w:rFonts w:hint="eastAsia" w:ascii="黑体" w:hAnsi="黑体" w:eastAsia="黑体"/>
                <w:sz w:val="21"/>
                <w:szCs w:val="21"/>
                <w:lang w:val="en-US" w:eastAsia="zh-CN"/>
              </w:rPr>
              <w:t xml:space="preserve"> 60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XX</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包头市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1502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包头地区草原碳储量计量标准</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Measuring standard </w:t>
      </w:r>
      <w:r>
        <w:rPr>
          <w:rFonts w:hint="eastAsia" w:ascii="黑体" w:hAnsi="黑体" w:eastAsia="黑体"/>
          <w:szCs w:val="28"/>
        </w:rPr>
        <w:t>for</w:t>
      </w:r>
      <w:r>
        <w:rPr>
          <w:rFonts w:ascii="黑体" w:hAnsi="黑体" w:eastAsia="黑体"/>
          <w:szCs w:val="28"/>
        </w:rPr>
        <w:t xml:space="preserve"> </w:t>
      </w:r>
      <w:r>
        <w:rPr>
          <w:rFonts w:hint="eastAsia" w:ascii="黑体" w:hAnsi="黑体" w:eastAsia="黑体"/>
          <w:szCs w:val="28"/>
        </w:rPr>
        <w:t>grassland</w:t>
      </w:r>
      <w:r>
        <w:rPr>
          <w:rFonts w:ascii="黑体" w:hAnsi="黑体" w:eastAsia="黑体"/>
          <w:szCs w:val="28"/>
        </w:rPr>
        <w:t xml:space="preserve"> carbon storage </w:t>
      </w:r>
      <w:r>
        <w:rPr>
          <w:rFonts w:hint="eastAsia" w:ascii="黑体" w:hAnsi="黑体" w:eastAsia="黑体"/>
          <w:szCs w:val="28"/>
        </w:rPr>
        <w:t>in</w:t>
      </w:r>
      <w:r>
        <w:rPr>
          <w:rFonts w:ascii="黑体" w:hAnsi="黑体" w:eastAsia="黑体"/>
          <w:szCs w:val="28"/>
        </w:rPr>
        <w:t xml:space="preserve"> B</w:t>
      </w:r>
      <w:r>
        <w:rPr>
          <w:rFonts w:hint="eastAsia" w:ascii="黑体" w:hAnsi="黑体" w:eastAsia="黑体"/>
          <w:szCs w:val="28"/>
        </w:rPr>
        <w:t>aotou</w:t>
      </w:r>
      <w:r>
        <w:rPr>
          <w:rFonts w:ascii="黑体" w:hAnsi="黑体" w:eastAsia="黑体"/>
          <w:szCs w:val="28"/>
        </w:rPr>
        <w:t xml:space="preserve"> </w:t>
      </w:r>
      <w:r>
        <w:rPr>
          <w:rFonts w:hint="eastAsia" w:ascii="黑体" w:hAnsi="黑体" w:eastAsia="黑体"/>
          <w:szCs w:val="28"/>
        </w:rPr>
        <w:t>area</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包头市市场监督管理局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77" w:name="_GoBack"/>
      <w:bookmarkEnd w:id="77"/>
      <w:bookmarkStart w:id="21" w:name="BookMark1"/>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"_Toc168511880" </w:instrText>
      </w:r>
      <w:r>
        <w:fldChar w:fldCharType="separate"/>
      </w:r>
      <w:r>
        <w:rPr>
          <w:rStyle w:val="32"/>
        </w:rPr>
        <w:t>前言</w:t>
      </w:r>
      <w:r>
        <w:tab/>
      </w:r>
      <w:r>
        <w:fldChar w:fldCharType="begin"/>
      </w:r>
      <w:r>
        <w:instrText xml:space="preserve"> PAGEREF _Toc168511880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"_Toc168511881" </w:instrText>
      </w:r>
      <w:r>
        <w:fldChar w:fldCharType="separate"/>
      </w:r>
      <w:r>
        <w:rPr>
          <w:rStyle w:val="32"/>
        </w:rPr>
        <w:t>1  范围</w:t>
      </w:r>
      <w:r>
        <w:tab/>
      </w:r>
      <w:r>
        <w:fldChar w:fldCharType="begin"/>
      </w:r>
      <w:r>
        <w:instrText xml:space="preserve"> PAGEREF _Toc168511881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"_Toc168511882" </w:instrText>
      </w:r>
      <w:r>
        <w:fldChar w:fldCharType="separate"/>
      </w:r>
      <w:r>
        <w:rPr>
          <w:rStyle w:val="32"/>
        </w:rPr>
        <w:t>2  规范性引用文件</w:t>
      </w:r>
      <w:r>
        <w:tab/>
      </w:r>
      <w:r>
        <w:fldChar w:fldCharType="begin"/>
      </w:r>
      <w:r>
        <w:instrText xml:space="preserve"> PAGEREF _Toc168511882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"_Toc168511883" </w:instrText>
      </w:r>
      <w:r>
        <w:fldChar w:fldCharType="separate"/>
      </w:r>
      <w:r>
        <w:rPr>
          <w:rStyle w:val="32"/>
        </w:rPr>
        <w:t>3  术语和定义</w:t>
      </w:r>
      <w:r>
        <w:tab/>
      </w:r>
      <w:r>
        <w:fldChar w:fldCharType="begin"/>
      </w:r>
      <w:r>
        <w:instrText xml:space="preserve"> PAGEREF _Toc168511883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"_Toc168511884" </w:instrText>
      </w:r>
      <w:r>
        <w:fldChar w:fldCharType="separate"/>
      </w:r>
      <w:r>
        <w:rPr>
          <w:rStyle w:val="32"/>
        </w:rPr>
        <w:t>4  计量对象</w:t>
      </w:r>
      <w:r>
        <w:tab/>
      </w:r>
      <w:r>
        <w:fldChar w:fldCharType="begin"/>
      </w:r>
      <w:r>
        <w:instrText xml:space="preserve"> PAGEREF _Toc168511884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"_Toc168511885" </w:instrText>
      </w:r>
      <w:r>
        <w:fldChar w:fldCharType="separate"/>
      </w:r>
      <w:r>
        <w:rPr>
          <w:rStyle w:val="32"/>
        </w:rPr>
        <w:t>5  计量内容</w:t>
      </w:r>
      <w:r>
        <w:tab/>
      </w:r>
      <w:r>
        <w:fldChar w:fldCharType="begin"/>
      </w:r>
      <w:r>
        <w:instrText xml:space="preserve"> PAGEREF _Toc168511885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"_Toc168511886" </w:instrText>
      </w:r>
      <w:r>
        <w:fldChar w:fldCharType="separate"/>
      </w:r>
      <w:r>
        <w:rPr>
          <w:rStyle w:val="32"/>
        </w:rPr>
        <w:t>6  计量方法</w:t>
      </w:r>
      <w:r>
        <w:tab/>
      </w:r>
      <w:r>
        <w:fldChar w:fldCharType="begin"/>
      </w:r>
      <w:r>
        <w:instrText xml:space="preserve"> PAGEREF _Toc168511886 \h </w:instrText>
      </w:r>
      <w:r>
        <w:fldChar w:fldCharType="separate"/>
      </w:r>
      <w:r>
        <w:t>1</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"_Toc168511887" </w:instrText>
      </w:r>
      <w:r>
        <w:fldChar w:fldCharType="separate"/>
      </w:r>
      <w:r>
        <w:rPr>
          <w:rStyle w:val="32"/>
          <w14:scene3d>
            <w14:lightRig w14:rig="threePt" w14:dir="t">
              <w14:rot w14:lat="0" w14:lon="0" w14:rev="0"/>
            </w14:lightRig>
          </w14:scene3d>
        </w:rPr>
        <w:t xml:space="preserve">6.1 </w:t>
      </w:r>
      <w:r>
        <w:rPr>
          <w:rStyle w:val="32"/>
        </w:rPr>
        <w:t xml:space="preserve"> 调查取样与测定</w:t>
      </w:r>
      <w:r>
        <w:tab/>
      </w:r>
      <w:r>
        <w:fldChar w:fldCharType="begin"/>
      </w:r>
      <w:r>
        <w:instrText xml:space="preserve"> PAGEREF _Toc168511887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"_Toc168511888" </w:instrText>
      </w:r>
      <w:r>
        <w:fldChar w:fldCharType="separate"/>
      </w:r>
      <w:r>
        <w:rPr>
          <w:rStyle w:val="32"/>
          <w14:scene3d>
            <w14:lightRig w14:rig="threePt" w14:dir="t">
              <w14:rot w14:lat="0" w14:lon="0" w14:rev="0"/>
            </w14:lightRig>
          </w14:scene3d>
        </w:rPr>
        <w:t xml:space="preserve">6.2 </w:t>
      </w:r>
      <w:r>
        <w:rPr>
          <w:rStyle w:val="32"/>
        </w:rPr>
        <w:t xml:space="preserve"> 碳储量计量</w:t>
      </w:r>
      <w:r>
        <w:tab/>
      </w:r>
      <w:r>
        <w:fldChar w:fldCharType="begin"/>
      </w:r>
      <w:r>
        <w:instrText xml:space="preserve"> PAGEREF _Toc168511888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"_Toc168511889" </w:instrText>
      </w:r>
      <w:r>
        <w:fldChar w:fldCharType="separate"/>
      </w:r>
      <w:r>
        <w:rPr>
          <w:rStyle w:val="32"/>
          <w14:scene3d>
            <w14:lightRig w14:rig="threePt" w14:dir="t">
              <w14:rot w14:lat="0" w14:lon="0" w14:rev="0"/>
            </w14:lightRig>
          </w14:scene3d>
        </w:rPr>
        <w:t xml:space="preserve">6.3 </w:t>
      </w:r>
      <w:r>
        <w:rPr>
          <w:rStyle w:val="32"/>
        </w:rPr>
        <w:t xml:space="preserve"> 单位面积碳储量</w:t>
      </w:r>
      <w:r>
        <w:tab/>
      </w:r>
      <w:r>
        <w:fldChar w:fldCharType="begin"/>
      </w:r>
      <w:r>
        <w:instrText xml:space="preserve"> PAGEREF _Toc168511889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"_Toc168511890" </w:instrText>
      </w:r>
      <w:r>
        <w:fldChar w:fldCharType="separate"/>
      </w:r>
      <w:r>
        <w:rPr>
          <w:rStyle w:val="32"/>
          <w14:scene3d>
            <w14:lightRig w14:rig="threePt" w14:dir="t">
              <w14:rot w14:lat="0" w14:lon="0" w14:rev="0"/>
            </w14:lightRig>
          </w14:scene3d>
        </w:rPr>
        <w:t xml:space="preserve">6.4 </w:t>
      </w:r>
      <w:r>
        <w:rPr>
          <w:rStyle w:val="32"/>
        </w:rPr>
        <w:t xml:space="preserve"> 灌木层碳储量</w:t>
      </w:r>
      <w:r>
        <w:tab/>
      </w:r>
      <w:r>
        <w:fldChar w:fldCharType="begin"/>
      </w:r>
      <w:r>
        <w:instrText xml:space="preserve"> PAGEREF _Toc168511890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"_Toc168511891" </w:instrText>
      </w:r>
      <w:r>
        <w:fldChar w:fldCharType="separate"/>
      </w:r>
      <w:r>
        <w:rPr>
          <w:rStyle w:val="32"/>
          <w14:scene3d>
            <w14:lightRig w14:rig="threePt" w14:dir="t">
              <w14:rot w14:lat="0" w14:lon="0" w14:rev="0"/>
            </w14:lightRig>
          </w14:scene3d>
        </w:rPr>
        <w:t xml:space="preserve">6.5 </w:t>
      </w:r>
      <w:r>
        <w:rPr>
          <w:rStyle w:val="32"/>
        </w:rPr>
        <w:t xml:space="preserve"> 草本层碳储量</w:t>
      </w:r>
      <w:r>
        <w:tab/>
      </w:r>
      <w:r>
        <w:fldChar w:fldCharType="begin"/>
      </w:r>
      <w:r>
        <w:instrText xml:space="preserve"> PAGEREF _Toc168511891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"_Toc168511892" </w:instrText>
      </w:r>
      <w:r>
        <w:fldChar w:fldCharType="separate"/>
      </w:r>
      <w:r>
        <w:rPr>
          <w:rStyle w:val="32"/>
          <w14:scene3d>
            <w14:lightRig w14:rig="threePt" w14:dir="t">
              <w14:rot w14:lat="0" w14:lon="0" w14:rev="0"/>
            </w14:lightRig>
          </w14:scene3d>
        </w:rPr>
        <w:t xml:space="preserve">6.6 </w:t>
      </w:r>
      <w:r>
        <w:rPr>
          <w:rStyle w:val="32"/>
        </w:rPr>
        <w:t xml:space="preserve"> 枯落物层碳储量</w:t>
      </w:r>
      <w:r>
        <w:tab/>
      </w:r>
      <w:r>
        <w:fldChar w:fldCharType="begin"/>
      </w:r>
      <w:r>
        <w:instrText xml:space="preserve"> PAGEREF _Toc168511892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"_Toc168511893" </w:instrText>
      </w:r>
      <w:r>
        <w:fldChar w:fldCharType="separate"/>
      </w:r>
      <w:r>
        <w:rPr>
          <w:rStyle w:val="32"/>
          <w14:scene3d>
            <w14:lightRig w14:rig="threePt" w14:dir="t">
              <w14:rot w14:lat="0" w14:lon="0" w14:rev="0"/>
            </w14:lightRig>
          </w14:scene3d>
        </w:rPr>
        <w:t xml:space="preserve">6.7 </w:t>
      </w:r>
      <w:r>
        <w:rPr>
          <w:rStyle w:val="32"/>
        </w:rPr>
        <w:t xml:space="preserve"> 土壤有机碳密度</w:t>
      </w:r>
      <w:r>
        <w:tab/>
      </w:r>
      <w:r>
        <w:fldChar w:fldCharType="begin"/>
      </w:r>
      <w:r>
        <w:instrText xml:space="preserve"> PAGEREF _Toc168511893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"_Toc168511894" </w:instrText>
      </w:r>
      <w:r>
        <w:fldChar w:fldCharType="separate"/>
      </w:r>
      <w:r>
        <w:rPr>
          <w:rStyle w:val="32"/>
        </w:rPr>
        <w:t>附录A（资料性）  包头地区草原各碳层本地参数</w:t>
      </w:r>
      <w:r>
        <w:tab/>
      </w:r>
      <w:r>
        <w:fldChar w:fldCharType="begin"/>
      </w:r>
      <w:r>
        <w:instrText xml:space="preserve"> PAGEREF _Toc168511894 \h </w:instrText>
      </w:r>
      <w:r>
        <w:fldChar w:fldCharType="separate"/>
      </w:r>
      <w:r>
        <w:t>4</w:t>
      </w:r>
      <w:r>
        <w:fldChar w:fldCharType="end"/>
      </w:r>
      <w:r>
        <w:fldChar w:fldCharType="end"/>
      </w:r>
    </w:p>
    <w:p>
      <w:pPr>
        <w:pStyle w:val="91"/>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2" w:name="_Toc168511880"/>
      <w:bookmarkStart w:id="23" w:name="BookMark2"/>
      <w:r>
        <w:rPr>
          <w:spacing w:val="320"/>
        </w:rPr>
        <w:t>前</w:t>
      </w:r>
      <w:r>
        <w:t>言</w:t>
      </w:r>
      <w:bookmarkEnd w:id="22"/>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本文件由包头市林业和草原局提出并归口。</w:t>
      </w:r>
    </w:p>
    <w:p>
      <w:pPr>
        <w:pStyle w:val="56"/>
        <w:ind w:firstLine="420"/>
      </w:pPr>
      <w:r>
        <w:rPr>
          <w:rFonts w:hint="eastAsia"/>
        </w:rPr>
        <w:t>本文件起草单位：包头市林业和草原工作站、内蒙古农业大学、包头市林业和草原局包头市检验检测中心、包头市达茂旗林业和草原局、内蒙古自治区林业和草原种苗总站。。</w:t>
      </w:r>
    </w:p>
    <w:p>
      <w:pPr>
        <w:pStyle w:val="56"/>
        <w:ind w:firstLine="420"/>
      </w:pPr>
      <w:r>
        <w:rPr>
          <w:rFonts w:hint="eastAsia"/>
        </w:rPr>
        <w:t>本文件主要起草人：高润红、张文英、郭华、王茂盛、吕整荣、李茂森、韩淑敏、吴乐、冀鹏浩、李昊峰、冯小东、张瑞、杜娟、姚瑶、燕茹、孙雨田、董宇。</w:t>
      </w: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3"/>
    <w:p>
      <w:pPr>
        <w:spacing w:line="20" w:lineRule="exact"/>
        <w:jc w:val="center"/>
        <w:rPr>
          <w:rFonts w:ascii="黑体" w:hAnsi="黑体" w:eastAsia="黑体"/>
          <w:sz w:val="32"/>
          <w:szCs w:val="32"/>
        </w:rPr>
      </w:pPr>
      <w:bookmarkStart w:id="24" w:name="BookMark4"/>
    </w:p>
    <w:p>
      <w:pPr>
        <w:spacing w:line="20" w:lineRule="exact"/>
        <w:jc w:val="center"/>
        <w:rPr>
          <w:rFonts w:ascii="黑体" w:hAnsi="黑体" w:eastAsia="黑体"/>
          <w:sz w:val="32"/>
          <w:szCs w:val="32"/>
        </w:rPr>
      </w:pPr>
    </w:p>
    <w:sdt>
      <w:sdtPr>
        <w:tag w:val="NEW_STAND_NAME"/>
        <w:id w:val="595910757"/>
        <w:lock w:val="sdtLocked"/>
        <w:placeholder>
          <w:docPart w:val="45E2FA65F6EE4E8A942778FCFAB3691D"/>
        </w:placeholder>
      </w:sdtPr>
      <w:sdtContent>
        <w:p>
          <w:pPr>
            <w:pStyle w:val="177"/>
            <w:spacing w:before="312" w:beforeLines="100" w:after="686" w:afterLines="220"/>
          </w:pPr>
          <w:bookmarkStart w:id="25" w:name="NEW_STAND_NAME"/>
          <w:r>
            <w:rPr>
              <w:rFonts w:hint="eastAsia"/>
            </w:rPr>
            <w:t>包头地区草原碳储量计量标准</w:t>
          </w:r>
        </w:p>
      </w:sdtContent>
    </w:sdt>
    <w:bookmarkEnd w:id="25"/>
    <w:p>
      <w:pPr>
        <w:pStyle w:val="104"/>
        <w:spacing w:before="312" w:after="312"/>
      </w:pPr>
      <w:bookmarkStart w:id="26" w:name="_Toc24884218"/>
      <w:bookmarkStart w:id="27" w:name="_Toc168511881"/>
      <w:bookmarkStart w:id="28" w:name="_Toc26648465"/>
      <w:bookmarkStart w:id="29" w:name="_Toc17233325"/>
      <w:bookmarkStart w:id="30" w:name="_Toc163049235"/>
      <w:bookmarkStart w:id="31" w:name="_Toc97191423"/>
      <w:bookmarkStart w:id="32" w:name="_Toc26986771"/>
      <w:bookmarkStart w:id="33" w:name="_Toc26986530"/>
      <w:bookmarkStart w:id="34" w:name="_Toc26718930"/>
      <w:bookmarkStart w:id="35" w:name="_Toc24884211"/>
      <w:bookmarkStart w:id="36" w:name="_Toc17233333"/>
      <w:r>
        <w:rPr>
          <w:rFonts w:hint="eastAsia"/>
        </w:rPr>
        <w:t>范围</w:t>
      </w:r>
      <w:bookmarkEnd w:id="26"/>
      <w:bookmarkEnd w:id="27"/>
      <w:bookmarkEnd w:id="28"/>
      <w:bookmarkEnd w:id="29"/>
      <w:bookmarkEnd w:id="30"/>
      <w:bookmarkEnd w:id="31"/>
      <w:bookmarkEnd w:id="32"/>
      <w:bookmarkEnd w:id="33"/>
      <w:bookmarkEnd w:id="34"/>
      <w:bookmarkEnd w:id="35"/>
      <w:bookmarkEnd w:id="36"/>
    </w:p>
    <w:p>
      <w:pPr>
        <w:pStyle w:val="56"/>
        <w:ind w:firstLine="420"/>
      </w:pPr>
      <w:bookmarkStart w:id="37" w:name="_Toc24884219"/>
      <w:bookmarkStart w:id="38" w:name="_Toc17233334"/>
      <w:bookmarkStart w:id="39" w:name="_Toc17233326"/>
      <w:bookmarkStart w:id="40" w:name="_Toc26648466"/>
      <w:bookmarkStart w:id="41" w:name="_Toc24884212"/>
      <w:r>
        <w:rPr>
          <w:rFonts w:hint="eastAsia"/>
        </w:rPr>
        <w:t>本文件规定了包头地区草原碳储量的计量对象、计量内容、计量方法与相关要求。</w:t>
      </w:r>
    </w:p>
    <w:p>
      <w:pPr>
        <w:pStyle w:val="56"/>
        <w:ind w:firstLine="420"/>
      </w:pPr>
      <w:r>
        <w:rPr>
          <w:rFonts w:hint="eastAsia"/>
        </w:rPr>
        <w:t>本文件适用于包头地区草原生物量、含碳率和碳储量的计量核算。</w:t>
      </w:r>
    </w:p>
    <w:p>
      <w:pPr>
        <w:pStyle w:val="104"/>
        <w:spacing w:before="312" w:after="312"/>
      </w:pPr>
      <w:bookmarkStart w:id="42" w:name="_Toc163049236"/>
      <w:bookmarkStart w:id="43" w:name="_Toc26986531"/>
      <w:bookmarkStart w:id="44" w:name="_Toc168511882"/>
      <w:bookmarkStart w:id="45" w:name="_Toc97191424"/>
      <w:bookmarkStart w:id="46" w:name="_Toc26986772"/>
      <w:bookmarkStart w:id="47" w:name="_Toc26718931"/>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C626C5BA1350452B96FF5CCA0F81AB6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D</w:t>
      </w:r>
      <w:r>
        <w:t xml:space="preserve">B 1502/T 023 </w:t>
      </w:r>
      <w:r>
        <w:rPr>
          <w:rFonts w:hint="eastAsia"/>
        </w:rPr>
        <w:t>草原碳汇调查与监测技术规程</w:t>
      </w:r>
    </w:p>
    <w:p>
      <w:pPr>
        <w:pStyle w:val="104"/>
        <w:spacing w:before="312" w:after="312"/>
      </w:pPr>
      <w:bookmarkStart w:id="48" w:name="_Toc97191425"/>
      <w:bookmarkStart w:id="49" w:name="_Toc168511883"/>
      <w:bookmarkStart w:id="50" w:name="_Toc163049237"/>
      <w:r>
        <w:rPr>
          <w:rFonts w:hint="eastAsia"/>
          <w:szCs w:val="21"/>
        </w:rPr>
        <w:t>术语和定义</w:t>
      </w:r>
      <w:bookmarkEnd w:id="48"/>
      <w:bookmarkEnd w:id="49"/>
      <w:bookmarkEnd w:id="50"/>
    </w:p>
    <w:sdt>
      <w:sdtPr>
        <w:id w:val="-1909835108"/>
        <w:placeholder>
          <w:docPart w:val="F9DC43C29C8B4BD1851E348D4389830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1" w:name="_Toc26986532"/>
          <w:bookmarkEnd w:id="51"/>
          <w:r>
            <w:t>下列术语和定义适用于本文件。</w:t>
          </w:r>
        </w:p>
      </w:sdtContent>
    </w:sdt>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草原碳储量 forest carbon storage</w:t>
      </w:r>
    </w:p>
    <w:p>
      <w:pPr>
        <w:pStyle w:val="56"/>
        <w:ind w:firstLine="420"/>
      </w:pPr>
      <w:r>
        <w:rPr>
          <w:rFonts w:hint="eastAsia"/>
        </w:rPr>
        <w:t>在特定时间内保留在草原碳库中碳的质量。</w:t>
      </w:r>
    </w:p>
    <w:p>
      <w:pPr>
        <w:pStyle w:val="223"/>
        <w:ind w:left="420" w:hanging="420" w:hangingChars="200"/>
        <w:rPr>
          <w:rFonts w:ascii="黑体" w:hAnsi="黑体" w:eastAsia="黑体"/>
        </w:rPr>
      </w:pPr>
    </w:p>
    <w:p>
      <w:pPr>
        <w:pStyle w:val="223"/>
        <w:numPr>
          <w:ilvl w:val="0"/>
          <w:numId w:val="0"/>
        </w:numPr>
        <w:ind w:left="420"/>
        <w:rPr>
          <w:rFonts w:ascii="黑体" w:hAnsi="黑体" w:eastAsia="黑体"/>
        </w:rPr>
      </w:pPr>
      <w:r>
        <w:rPr>
          <w:rFonts w:hint="eastAsia" w:ascii="黑体" w:hAnsi="黑体" w:eastAsia="黑体"/>
        </w:rPr>
        <w:t>生物量 biomass</w:t>
      </w:r>
    </w:p>
    <w:p>
      <w:pPr>
        <w:pStyle w:val="56"/>
        <w:ind w:firstLine="420"/>
      </w:pPr>
      <w:r>
        <w:rPr>
          <w:rFonts w:hint="eastAsia"/>
        </w:rPr>
        <w:t>单位面积内所有植物种群的总干物质重量。　</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含碳率 carbon content</w:t>
      </w:r>
    </w:p>
    <w:p>
      <w:pPr>
        <w:pStyle w:val="56"/>
        <w:ind w:firstLine="420"/>
      </w:pPr>
      <w:r>
        <w:rPr>
          <w:rFonts w:hint="eastAsia"/>
        </w:rPr>
        <w:t>植物体内碳元素所占的比例。</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土壤有机碳密度 soil organic carbon density</w:t>
      </w:r>
    </w:p>
    <w:p>
      <w:pPr>
        <w:pStyle w:val="56"/>
        <w:ind w:firstLine="420"/>
      </w:pPr>
      <w:r>
        <w:rPr>
          <w:rFonts w:hint="eastAsia"/>
        </w:rPr>
        <w:t>单位面积和深度的土壤中有机碳的总量。</w:t>
      </w:r>
    </w:p>
    <w:p>
      <w:pPr>
        <w:pStyle w:val="104"/>
        <w:spacing w:before="312" w:after="312"/>
      </w:pPr>
      <w:bookmarkStart w:id="52" w:name="_Toc163049238"/>
      <w:bookmarkStart w:id="53" w:name="_Toc168511884"/>
      <w:r>
        <w:rPr>
          <w:rFonts w:hint="eastAsia"/>
        </w:rPr>
        <w:t>计量对象</w:t>
      </w:r>
      <w:bookmarkEnd w:id="52"/>
      <w:bookmarkEnd w:id="53"/>
    </w:p>
    <w:p>
      <w:pPr>
        <w:pStyle w:val="56"/>
        <w:ind w:firstLine="420"/>
      </w:pPr>
      <w:r>
        <w:rPr>
          <w:rFonts w:hint="eastAsia"/>
        </w:rPr>
        <w:t>计量对象为不同土地类型草原。</w:t>
      </w:r>
    </w:p>
    <w:p>
      <w:pPr>
        <w:pStyle w:val="104"/>
        <w:spacing w:before="312" w:after="312"/>
      </w:pPr>
      <w:bookmarkStart w:id="54" w:name="_Toc155607309"/>
      <w:bookmarkStart w:id="55" w:name="_Toc155379553"/>
      <w:bookmarkStart w:id="56" w:name="_Toc168511885"/>
      <w:bookmarkStart w:id="57" w:name="_Toc163049239"/>
      <w:r>
        <w:rPr>
          <w:rFonts w:hint="eastAsia"/>
        </w:rPr>
        <w:t>计量内容</w:t>
      </w:r>
      <w:bookmarkEnd w:id="54"/>
      <w:bookmarkEnd w:id="55"/>
      <w:bookmarkEnd w:id="56"/>
      <w:bookmarkEnd w:id="57"/>
    </w:p>
    <w:p>
      <w:pPr>
        <w:pStyle w:val="56"/>
        <w:ind w:firstLine="420"/>
      </w:pPr>
      <w:r>
        <w:rPr>
          <w:rFonts w:hint="eastAsia"/>
        </w:rPr>
        <w:t>不同土地类型草原的生物量、含碳率和碳储量。</w:t>
      </w:r>
    </w:p>
    <w:p>
      <w:pPr>
        <w:pStyle w:val="104"/>
        <w:spacing w:before="312" w:after="312"/>
      </w:pPr>
      <w:bookmarkStart w:id="58" w:name="_Toc168511886"/>
      <w:bookmarkStart w:id="59" w:name="_Toc163049240"/>
      <w:r>
        <w:rPr>
          <w:rFonts w:hint="eastAsia"/>
        </w:rPr>
        <w:t>计量方法</w:t>
      </w:r>
      <w:bookmarkEnd w:id="58"/>
      <w:bookmarkEnd w:id="59"/>
    </w:p>
    <w:p>
      <w:pPr>
        <w:pStyle w:val="105"/>
        <w:spacing w:before="156" w:after="156"/>
      </w:pPr>
      <w:bookmarkStart w:id="60" w:name="_Toc168511887"/>
      <w:r>
        <w:rPr>
          <w:rFonts w:hint="eastAsia"/>
        </w:rPr>
        <w:t>调查取样与测定</w:t>
      </w:r>
      <w:bookmarkEnd w:id="60"/>
    </w:p>
    <w:p>
      <w:pPr>
        <w:pStyle w:val="56"/>
        <w:ind w:firstLine="420"/>
      </w:pPr>
      <w:r>
        <w:rPr>
          <w:rFonts w:hint="eastAsia"/>
        </w:rPr>
        <w:t>按照D</w:t>
      </w:r>
      <w:r>
        <w:t>B 1502/T 023</w:t>
      </w:r>
      <w:r>
        <w:rPr>
          <w:rFonts w:hint="eastAsia"/>
        </w:rPr>
        <w:t>进行调查取样与测定。</w:t>
      </w:r>
    </w:p>
    <w:p>
      <w:pPr>
        <w:pStyle w:val="105"/>
        <w:spacing w:before="156" w:after="156"/>
      </w:pPr>
      <w:bookmarkStart w:id="61" w:name="_Toc163049241"/>
      <w:bookmarkStart w:id="62" w:name="_Toc168511888"/>
      <w:r>
        <w:rPr>
          <w:rFonts w:hint="eastAsia"/>
        </w:rPr>
        <w:t>碳储量</w:t>
      </w:r>
      <w:bookmarkEnd w:id="61"/>
      <w:r>
        <w:rPr>
          <w:rFonts w:hint="eastAsia"/>
        </w:rPr>
        <w:t>计量</w:t>
      </w:r>
      <w:bookmarkEnd w:id="62"/>
    </w:p>
    <w:p>
      <w:pPr>
        <w:pStyle w:val="162"/>
        <w:numPr>
          <w:ilvl w:val="0"/>
          <w:numId w:val="0"/>
        </w:numPr>
        <w:ind w:firstLine="420" w:firstLineChars="200"/>
      </w:pPr>
      <w:r>
        <w:rPr>
          <w:rFonts w:hint="eastAsia"/>
        </w:rPr>
        <w:t>根据不同类型按照各碳层单位面积碳储量与总面积的乘积得到包头地区草原总碳储量。采用以下公式获得：</w:t>
      </w:r>
    </w:p>
    <w:p>
      <w:pPr>
        <w:pStyle w:val="113"/>
      </w:pPr>
      <w:r>
        <w:tab/>
      </w: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总</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单</m:t>
            </m:r>
            <m:ctrlPr>
              <w:rPr>
                <w:rFonts w:ascii="Cambria Math" w:hAnsi="Cambria Math"/>
              </w:rPr>
            </m:ctrlPr>
          </m:sub>
        </m:sSub>
        <m:r>
          <m:rPr>
            <m:sty m:val="p"/>
          </m:rPr>
          <w:rPr>
            <w:rFonts w:ascii="Cambria Math" w:hAnsi="Cambria Math"/>
          </w:rPr>
          <m:t>×S</m:t>
        </m:r>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5"/>
        <w:ind w:firstLine="420"/>
        <w:rPr>
          <w:rFonts w:ascii="Times New Roman" w:hAnsi="Times New Roman"/>
        </w:rPr>
      </w:pP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总</m:t>
            </m:r>
            <m:ctrlPr>
              <w:rPr>
                <w:rFonts w:ascii="Cambria Math" w:hAnsi="Cambria Math"/>
              </w:rPr>
            </m:ctrlPr>
          </m:sub>
        </m:sSub>
      </m:oMath>
      <w:r>
        <w:rPr>
          <w:rFonts w:ascii="Times New Roman" w:hAnsi="Times New Roman"/>
          <w:kern w:val="2"/>
        </w:rPr>
        <w:t xml:space="preserve">    </w:t>
      </w:r>
      <w:r>
        <w:rPr>
          <w:rFonts w:ascii="Times New Roman" w:hAnsi="Times New Roman"/>
        </w:rPr>
        <w:t>——为草原总碳储量，单位为吨（t）；</w:t>
      </w:r>
    </w:p>
    <w:p>
      <w:pPr>
        <w:pStyle w:val="56"/>
        <w:ind w:firstLine="420"/>
        <w:rPr>
          <w:rFonts w:ascii="Times New Roman"/>
        </w:rPr>
      </w:pPr>
      <m:oMath>
        <m:sSub>
          <m:sSubPr>
            <m:ctrlPr>
              <w:rPr>
                <w:rFonts w:ascii="Cambria Math" w:hAnsi="Cambria Math"/>
                <w:kern w:val="2"/>
                <w:szCs w:val="21"/>
              </w:rPr>
            </m:ctrlPr>
          </m:sSubPr>
          <m:e>
            <m:r>
              <m:rPr>
                <m:sty m:val="p"/>
              </m:rPr>
              <w:rPr>
                <w:rFonts w:ascii="Cambria Math" w:hAnsi="Cambria Math"/>
              </w:rPr>
              <m:t>C</m:t>
            </m:r>
            <m:ctrlPr>
              <w:rPr>
                <w:rFonts w:ascii="Cambria Math" w:hAnsi="Cambria Math"/>
                <w:kern w:val="2"/>
                <w:szCs w:val="21"/>
              </w:rPr>
            </m:ctrlPr>
          </m:e>
          <m:sub>
            <m:r>
              <m:rPr>
                <m:sty m:val="p"/>
              </m:rPr>
              <w:rPr>
                <w:rFonts w:ascii="Cambria Math" w:hAnsi="Cambria Math"/>
              </w:rPr>
              <m:t>单</m:t>
            </m:r>
            <m:ctrlPr>
              <w:rPr>
                <w:rFonts w:ascii="Cambria Math" w:hAnsi="Cambria Math"/>
                <w:kern w:val="2"/>
                <w:szCs w:val="21"/>
              </w:rPr>
            </m:ctrlPr>
          </m:sub>
        </m:sSub>
        <m:r>
          <m:rPr/>
          <w:rPr>
            <w:rFonts w:ascii="Cambria Math" w:hAnsi="Cambria Math"/>
            <w:kern w:val="2"/>
            <w:szCs w:val="21"/>
          </w:rPr>
          <m:t xml:space="preserve"> </m:t>
        </m:r>
      </m:oMath>
      <w:r>
        <w:rPr>
          <w:rFonts w:ascii="Times New Roman"/>
          <w:kern w:val="2"/>
          <w:szCs w:val="21"/>
        </w:rPr>
        <w:t xml:space="preserve">   </w:t>
      </w:r>
      <w:r>
        <w:rPr>
          <w:rFonts w:ascii="Times New Roman"/>
        </w:rPr>
        <w:t>——为单位面积草原碳储量，单位为吨（t）；</w:t>
      </w:r>
    </w:p>
    <w:p>
      <w:pPr>
        <w:pStyle w:val="56"/>
        <w:ind w:firstLine="420"/>
        <w:rPr>
          <w:rFonts w:ascii="Times New Roman"/>
        </w:rPr>
      </w:pPr>
      <m:oMath>
        <m:r>
          <m:rPr>
            <m:sty m:val="p"/>
          </m:rPr>
          <w:rPr>
            <w:rFonts w:ascii="Cambria Math" w:hAnsi="Cambria Math"/>
          </w:rPr>
          <m:t>S</m:t>
        </m:r>
      </m:oMath>
      <w:r>
        <w:rPr>
          <w:rFonts w:ascii="Times New Roman"/>
        </w:rPr>
        <w:t xml:space="preserve">     ——为面积，单位为平方千米（km</w:t>
      </w:r>
      <w:r>
        <w:rPr>
          <w:rFonts w:ascii="Times New Roman"/>
          <w:vertAlign w:val="superscript"/>
        </w:rPr>
        <w:t>2</w:t>
      </w:r>
      <w:r>
        <w:rPr>
          <w:rFonts w:ascii="Times New Roman"/>
        </w:rPr>
        <w:t>）。</w:t>
      </w:r>
    </w:p>
    <w:p>
      <w:pPr>
        <w:pStyle w:val="105"/>
        <w:spacing w:before="156" w:after="156"/>
      </w:pPr>
      <w:bookmarkStart w:id="63" w:name="_Toc168511889"/>
      <w:bookmarkStart w:id="64" w:name="_Toc163049243"/>
      <w:r>
        <w:rPr>
          <w:rFonts w:hint="eastAsia"/>
        </w:rPr>
        <w:t>单位面积碳储量</w:t>
      </w:r>
      <w:bookmarkEnd w:id="63"/>
      <w:bookmarkEnd w:id="64"/>
    </w:p>
    <w:p>
      <w:pPr>
        <w:pStyle w:val="56"/>
        <w:ind w:firstLine="420"/>
      </w:pPr>
      <w:r>
        <w:rPr>
          <w:rFonts w:hint="eastAsia"/>
        </w:rPr>
        <w:t>草原碳汇量估算采用生物量法将将草原碳库按照碳层分别划分为灌木层、草本层、枯落物层和土壤层，按照各碳层碳汇求和得到包头地区草原碳汇量。采用以下公式获得：</w:t>
      </w:r>
    </w:p>
    <w:p>
      <w:pPr>
        <w:pStyle w:val="113"/>
      </w:pPr>
      <w:r>
        <w:tab/>
      </w: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单</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灌木层</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草本层</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枯落物层</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土壤层</m:t>
            </m:r>
            <m:ctrlPr>
              <w:rPr>
                <w:rFonts w:ascii="Cambria Math" w:hAnsi="Cambria Math"/>
              </w:rPr>
            </m:ctrlPr>
          </m:sub>
        </m:sSub>
        <m:r>
          <m:rPr>
            <m:sty m:val="p"/>
          </m:rPr>
          <w:rPr>
            <w:rFonts w:ascii="Cambria Math" w:hAnsi="Cambria Math"/>
          </w:rPr>
          <m:t xml:space="preserve">) </m:t>
        </m:r>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单</m:t>
            </m:r>
            <m:ctrlPr>
              <w:rPr>
                <w:rFonts w:ascii="Cambria Math" w:hAnsi="Cambria Math"/>
              </w:rPr>
            </m:ctrlPr>
          </m:sub>
        </m:sSub>
      </m:oMath>
      <w:r>
        <w:rPr>
          <w:rFonts w:ascii="Times New Roman"/>
        </w:rPr>
        <w:t xml:space="preserve">       ——为草原总碳储量，单位为吨（t）；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灌木层</m:t>
            </m:r>
            <m:ctrlPr>
              <w:rPr>
                <w:rFonts w:ascii="Cambria Math" w:hAnsi="Cambria Math"/>
              </w:rPr>
            </m:ctrlPr>
          </m:sub>
        </m:sSub>
      </m:oMath>
      <w:r>
        <w:rPr>
          <w:rFonts w:ascii="Times New Roman"/>
        </w:rPr>
        <w:t xml:space="preserve">    ——为草原灌木层单位面积碳储量，单位为吨每公顷（t/hm</w:t>
      </w:r>
      <w:r>
        <w:rPr>
          <w:rFonts w:ascii="Times New Roman"/>
          <w:vertAlign w:val="superscript"/>
        </w:rPr>
        <w:t>2</w:t>
      </w:r>
      <w:r>
        <w:rPr>
          <w:rFonts w:ascii="Times New Roman"/>
        </w:rPr>
        <w: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草本层</m:t>
            </m:r>
            <m:ctrlPr>
              <w:rPr>
                <w:rFonts w:ascii="Cambria Math" w:hAnsi="Cambria Math"/>
              </w:rPr>
            </m:ctrlPr>
          </m:sub>
        </m:sSub>
      </m:oMath>
      <w:r>
        <w:rPr>
          <w:rFonts w:ascii="Times New Roman"/>
        </w:rPr>
        <w:t xml:space="preserve">    ——为草原草本层单位面积碳储量，单位为吨每公顷（t/hm</w:t>
      </w:r>
      <w:r>
        <w:rPr>
          <w:rFonts w:ascii="Times New Roman"/>
          <w:vertAlign w:val="superscript"/>
        </w:rPr>
        <w:t>2</w:t>
      </w:r>
      <w:r>
        <w:rPr>
          <w:rFonts w:ascii="Times New Roman"/>
        </w:rPr>
        <w: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枯落物层</m:t>
            </m:r>
            <m:ctrlPr>
              <w:rPr>
                <w:rFonts w:ascii="Cambria Math" w:hAnsi="Cambria Math"/>
              </w:rPr>
            </m:ctrlPr>
          </m:sub>
        </m:sSub>
      </m:oMath>
      <w:r>
        <w:rPr>
          <w:rFonts w:ascii="Times New Roman"/>
        </w:rPr>
        <w:t xml:space="preserve">   ——为草原枯落物层单位面积碳储量，单位为吨每公顷（t/hm</w:t>
      </w:r>
      <w:r>
        <w:rPr>
          <w:rFonts w:ascii="Times New Roman"/>
          <w:vertAlign w:val="superscript"/>
        </w:rPr>
        <w:t>2</w:t>
      </w:r>
      <w:r>
        <w:rPr>
          <w:rFonts w:ascii="Times New Roman"/>
        </w:rPr>
        <w: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土壤层</m:t>
            </m:r>
            <m:ctrlPr>
              <w:rPr>
                <w:rFonts w:ascii="Cambria Math" w:hAnsi="Cambria Math"/>
              </w:rPr>
            </m:ctrlPr>
          </m:sub>
        </m:sSub>
      </m:oMath>
      <w:r>
        <w:rPr>
          <w:rFonts w:ascii="Times New Roman"/>
        </w:rPr>
        <w:t xml:space="preserve">    ——为草原土壤层单位面积碳储量，单位为吨每公顷（t/hm</w:t>
      </w:r>
      <w:r>
        <w:rPr>
          <w:rFonts w:ascii="Times New Roman"/>
          <w:vertAlign w:val="superscript"/>
        </w:rPr>
        <w:t>2</w:t>
      </w:r>
      <w:r>
        <w:rPr>
          <w:rFonts w:ascii="Times New Roman"/>
        </w:rPr>
        <w:t>）。</w:t>
      </w:r>
    </w:p>
    <w:p>
      <w:pPr>
        <w:pStyle w:val="105"/>
        <w:spacing w:before="156" w:after="156"/>
      </w:pPr>
      <w:bookmarkStart w:id="65" w:name="_Toc168511890"/>
      <w:bookmarkStart w:id="66" w:name="_Toc163049247"/>
      <w:r>
        <w:rPr>
          <w:rFonts w:hint="eastAsia"/>
        </w:rPr>
        <w:t>灌木层碳储量</w:t>
      </w:r>
      <w:bookmarkEnd w:id="65"/>
      <w:bookmarkEnd w:id="66"/>
    </w:p>
    <w:p>
      <w:pPr>
        <w:pStyle w:val="56"/>
        <w:ind w:firstLine="420"/>
      </w:pPr>
      <w:r>
        <w:rPr>
          <w:rFonts w:hint="eastAsia"/>
        </w:rPr>
        <w:t>灌木层碳储量采用全收获法通过实验得到植物生物量和含碳率，参考附录A</w:t>
      </w:r>
      <w:r>
        <w:t>.1</w:t>
      </w:r>
      <w:r>
        <w:rPr>
          <w:rFonts w:hint="eastAsia"/>
        </w:rPr>
        <w:t>灌木层本地参数，采用以下公式获得：</w:t>
      </w:r>
    </w:p>
    <w:p>
      <w:pPr>
        <w:pStyle w:val="113"/>
      </w:pPr>
      <w:r>
        <w:tab/>
      </w:r>
      <m:oMath>
        <m:sSub>
          <m:sSubPr>
            <m:ctrlPr>
              <w:rPr>
                <w:rFonts w:hint="eastAsia" w:ascii="Cambria Math" w:hAnsi="Cambria Math"/>
                <w:kern w:val="0"/>
                <w:szCs w:val="20"/>
              </w:rPr>
            </m:ctrlPr>
          </m:sSubPr>
          <m:e>
            <m:r>
              <m:rPr>
                <m:sty m:val="p"/>
              </m:rPr>
              <w:rPr>
                <w:rFonts w:ascii="Cambria Math" w:hAnsi="Cambria Math"/>
                <w:kern w:val="0"/>
                <w:szCs w:val="20"/>
              </w:rPr>
              <m:t>C</m:t>
            </m:r>
            <m:ctrlPr>
              <w:rPr>
                <w:rFonts w:hint="eastAsia" w:ascii="Cambria Math" w:hAnsi="Cambria Math"/>
                <w:kern w:val="0"/>
                <w:szCs w:val="20"/>
              </w:rPr>
            </m:ctrlPr>
          </m:e>
          <m:sub>
            <m:r>
              <m:rPr>
                <m:sty m:val="p"/>
              </m:rPr>
              <w:rPr>
                <w:rFonts w:hint="eastAsia" w:ascii="Cambria Math" w:hAnsi="Cambria Math"/>
                <w:kern w:val="0"/>
                <w:szCs w:val="20"/>
              </w:rPr>
              <m:t>灌木层</m:t>
            </m:r>
            <m:ctrlPr>
              <w:rPr>
                <w:rFonts w:hint="eastAsia" w:ascii="Cambria Math" w:hAnsi="Cambria Math"/>
                <w:kern w:val="0"/>
                <w:szCs w:val="20"/>
              </w:rPr>
            </m:ctrlPr>
          </m:sub>
        </m:sSub>
        <m:r>
          <m:rPr>
            <m:sty m:val="p"/>
          </m:rPr>
          <w:rPr>
            <w:rFonts w:hint="eastAsia" w:ascii="Cambria Math" w:hAnsi="Cambria Math"/>
            <w:kern w:val="0"/>
            <w:szCs w:val="20"/>
          </w:rPr>
          <m:t>=</m:t>
        </m:r>
        <m:sSub>
          <m:sSubPr>
            <m:ctrlPr>
              <w:rPr>
                <w:rFonts w:ascii="Cambria Math" w:hAnsi="Cambria Math"/>
                <w:kern w:val="0"/>
                <w:szCs w:val="20"/>
              </w:rPr>
            </m:ctrlPr>
          </m:sSubPr>
          <m:e>
            <m:r>
              <m:rPr>
                <m:sty m:val="p"/>
              </m:rPr>
              <w:rPr>
                <w:rFonts w:ascii="Cambria Math" w:hAnsi="Cambria Math"/>
                <w:kern w:val="0"/>
                <w:szCs w:val="20"/>
              </w:rPr>
              <m:t>B</m:t>
            </m:r>
            <m:ctrlPr>
              <w:rPr>
                <w:rFonts w:ascii="Cambria Math" w:hAnsi="Cambria Math"/>
                <w:kern w:val="0"/>
                <w:szCs w:val="20"/>
              </w:rPr>
            </m:ctrlPr>
          </m:e>
          <m:sub>
            <m:r>
              <m:rPr>
                <m:sty m:val="p"/>
              </m:rPr>
              <w:rPr>
                <w:rFonts w:hint="eastAsia" w:ascii="Cambria Math" w:hAnsi="Cambria Math"/>
                <w:kern w:val="0"/>
                <w:szCs w:val="20"/>
              </w:rPr>
              <m:t>灌木层</m:t>
            </m:r>
            <m:ctrlPr>
              <w:rPr>
                <w:rFonts w:ascii="Cambria Math" w:hAnsi="Cambria Math"/>
                <w:kern w:val="0"/>
                <w:szCs w:val="20"/>
              </w:rPr>
            </m:ctrlPr>
          </m:sub>
        </m:sSub>
        <m:r>
          <m:rPr>
            <m:sty m:val="p"/>
          </m:rPr>
          <w:rPr>
            <w:rFonts w:ascii="Cambria Math" w:hAnsi="Cambria Math"/>
            <w:kern w:val="0"/>
            <w:szCs w:val="20"/>
          </w:rPr>
          <m:t>+</m:t>
        </m:r>
        <m:sSub>
          <m:sSubPr>
            <m:ctrlPr>
              <w:rPr>
                <w:rFonts w:ascii="Cambria Math" w:hAnsi="Cambria Math"/>
                <w:kern w:val="0"/>
                <w:szCs w:val="20"/>
              </w:rPr>
            </m:ctrlPr>
          </m:sSubPr>
          <m:e>
            <m:r>
              <m:rPr>
                <m:sty m:val="p"/>
              </m:rPr>
              <w:rPr>
                <w:rFonts w:ascii="Cambria Math" w:hAnsi="Cambria Math"/>
                <w:kern w:val="0"/>
                <w:szCs w:val="20"/>
              </w:rPr>
              <m:t>CF</m:t>
            </m:r>
            <m:ctrlPr>
              <w:rPr>
                <w:rFonts w:ascii="Cambria Math" w:hAnsi="Cambria Math"/>
                <w:kern w:val="0"/>
                <w:szCs w:val="20"/>
              </w:rPr>
            </m:ctrlPr>
          </m:e>
          <m:sub>
            <m:r>
              <m:rPr>
                <m:sty m:val="p"/>
              </m:rPr>
              <w:rPr>
                <w:rFonts w:hint="eastAsia" w:ascii="Cambria Math" w:hAnsi="Cambria Math"/>
                <w:kern w:val="0"/>
                <w:szCs w:val="20"/>
              </w:rPr>
              <m:t>灌木层</m:t>
            </m:r>
            <m:ctrlPr>
              <w:rPr>
                <w:rFonts w:ascii="Cambria Math" w:hAnsi="Cambria Math"/>
                <w:kern w:val="0"/>
                <w:szCs w:val="20"/>
              </w:rPr>
            </m:ctrlPr>
          </m:sub>
        </m:sSub>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灌木层</m:t>
            </m:r>
            <m:ctrlPr>
              <w:rPr>
                <w:rFonts w:ascii="Cambria Math" w:hAnsi="Cambria Math"/>
              </w:rPr>
            </m:ctrlPr>
          </m:sub>
        </m:sSub>
      </m:oMath>
      <w:r>
        <w:rPr>
          <w:rFonts w:ascii="Times New Roman"/>
        </w:rPr>
        <w:t xml:space="preserve">     ——为草原中灌木层的碳储量，单位为吨（t）；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B</m:t>
            </m:r>
            <m:ctrlPr>
              <w:rPr>
                <w:rFonts w:ascii="Cambria Math" w:hAnsi="Cambria Math"/>
              </w:rPr>
            </m:ctrlPr>
          </m:e>
          <m:sub>
            <m:r>
              <m:rPr>
                <m:sty m:val="p"/>
              </m:rPr>
              <w:rPr>
                <w:rFonts w:ascii="Cambria Math" w:hAnsi="Cambria Math"/>
              </w:rPr>
              <m:t>灌木层</m:t>
            </m:r>
            <m:ctrlPr>
              <w:rPr>
                <w:rFonts w:ascii="Cambria Math" w:hAnsi="Cambria Math"/>
              </w:rPr>
            </m:ctrlPr>
          </m:sub>
        </m:sSub>
      </m:oMath>
      <w:r>
        <w:rPr>
          <w:rFonts w:ascii="Times New Roman"/>
        </w:rPr>
        <w:t xml:space="preserve">   ——为草原中灌木层单株生物量，单位为吨每公顷（t/hm</w:t>
      </w:r>
      <w:r>
        <w:rPr>
          <w:rFonts w:ascii="Times New Roman"/>
          <w:vertAlign w:val="superscript"/>
        </w:rPr>
        <w:t>2</w:t>
      </w:r>
      <w:r>
        <w:rPr>
          <w:rFonts w:ascii="Times New Roman"/>
        </w:rPr>
        <w: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CF</m:t>
            </m:r>
            <m:ctrlPr>
              <w:rPr>
                <w:rFonts w:ascii="Cambria Math" w:hAnsi="Cambria Math"/>
              </w:rPr>
            </m:ctrlPr>
          </m:e>
          <m:sub>
            <m:r>
              <m:rPr>
                <m:sty m:val="p"/>
              </m:rPr>
              <w:rPr>
                <w:rFonts w:ascii="Cambria Math" w:hAnsi="Cambria Math"/>
              </w:rPr>
              <m:t>灌木层</m:t>
            </m:r>
            <m:ctrlPr>
              <w:rPr>
                <w:rFonts w:ascii="Cambria Math" w:hAnsi="Cambria Math"/>
              </w:rPr>
            </m:ctrlPr>
          </m:sub>
        </m:sSub>
      </m:oMath>
      <w:r>
        <w:rPr>
          <w:rFonts w:ascii="Times New Roman"/>
        </w:rPr>
        <w:t xml:space="preserve">  ——为灌木层平均含碳率，单位为百分比（%）。</w:t>
      </w:r>
    </w:p>
    <w:p>
      <w:pPr>
        <w:pStyle w:val="105"/>
        <w:spacing w:before="156" w:after="156"/>
      </w:pPr>
      <w:bookmarkStart w:id="67" w:name="_Toc163049248"/>
      <w:bookmarkStart w:id="68" w:name="_Toc168511891"/>
      <w:r>
        <w:rPr>
          <w:rFonts w:hint="eastAsia"/>
        </w:rPr>
        <w:t>草本层碳储量</w:t>
      </w:r>
      <w:bookmarkEnd w:id="67"/>
      <w:bookmarkEnd w:id="68"/>
    </w:p>
    <w:p>
      <w:pPr>
        <w:pStyle w:val="56"/>
        <w:ind w:firstLine="420"/>
      </w:pPr>
      <w:r>
        <w:rPr>
          <w:rFonts w:hint="eastAsia" w:ascii="Calibri" w:hAnsi="Calibri"/>
          <w:kern w:val="2"/>
          <w:szCs w:val="21"/>
        </w:rPr>
        <w:t>草本层碳储量采用全收获法通过实验得到植物生物量和含碳率，</w:t>
      </w:r>
      <w:r>
        <w:rPr>
          <w:rFonts w:hint="eastAsia"/>
        </w:rPr>
        <w:t>参考附录A</w:t>
      </w:r>
      <w:r>
        <w:t>.2</w:t>
      </w:r>
      <w:r>
        <w:rPr>
          <w:rFonts w:hint="eastAsia"/>
        </w:rPr>
        <w:t>草本层本地参数，</w:t>
      </w:r>
      <w:r>
        <w:rPr>
          <w:rFonts w:hint="eastAsia" w:ascii="Calibri" w:hAnsi="Calibri"/>
          <w:kern w:val="2"/>
          <w:szCs w:val="21"/>
        </w:rPr>
        <w:t>采用以下公式获得：</w:t>
      </w:r>
    </w:p>
    <w:p>
      <w:pPr>
        <w:pStyle w:val="113"/>
      </w:pPr>
      <w:r>
        <w:tab/>
      </w:r>
      <m:oMath>
        <m:sSub>
          <m:sSubPr>
            <m:ctrlPr>
              <w:rPr>
                <w:rFonts w:hint="eastAsia" w:ascii="Cambria Math" w:hAnsi="Cambria Math"/>
                <w:kern w:val="0"/>
                <w:szCs w:val="20"/>
              </w:rPr>
            </m:ctrlPr>
          </m:sSubPr>
          <m:e>
            <m:r>
              <m:rPr>
                <m:sty m:val="p"/>
              </m:rPr>
              <w:rPr>
                <w:rFonts w:ascii="Cambria Math" w:hAnsi="Cambria Math"/>
                <w:kern w:val="0"/>
                <w:szCs w:val="20"/>
              </w:rPr>
              <m:t>C</m:t>
            </m:r>
            <m:ctrlPr>
              <w:rPr>
                <w:rFonts w:hint="eastAsia" w:ascii="Cambria Math" w:hAnsi="Cambria Math"/>
                <w:kern w:val="0"/>
                <w:szCs w:val="20"/>
              </w:rPr>
            </m:ctrlPr>
          </m:e>
          <m:sub>
            <m:r>
              <m:rPr>
                <m:sty m:val="p"/>
              </m:rPr>
              <w:rPr>
                <w:rFonts w:hint="eastAsia" w:ascii="Cambria Math" w:hAnsi="Cambria Math"/>
                <w:kern w:val="0"/>
                <w:szCs w:val="20"/>
              </w:rPr>
              <m:t>草本层</m:t>
            </m:r>
            <m:ctrlPr>
              <w:rPr>
                <w:rFonts w:hint="eastAsia" w:ascii="Cambria Math" w:hAnsi="Cambria Math"/>
                <w:kern w:val="0"/>
                <w:szCs w:val="20"/>
              </w:rPr>
            </m:ctrlPr>
          </m:sub>
        </m:sSub>
        <m:r>
          <m:rPr>
            <m:sty m:val="p"/>
          </m:rPr>
          <w:rPr>
            <w:rFonts w:hint="eastAsia" w:ascii="Cambria Math" w:hAnsi="Cambria Math"/>
            <w:kern w:val="0"/>
            <w:szCs w:val="20"/>
          </w:rPr>
          <m:t>=</m:t>
        </m:r>
        <m:sSub>
          <m:sSubPr>
            <m:ctrlPr>
              <w:rPr>
                <w:rFonts w:ascii="Cambria Math" w:hAnsi="Cambria Math"/>
                <w:kern w:val="0"/>
                <w:szCs w:val="20"/>
              </w:rPr>
            </m:ctrlPr>
          </m:sSubPr>
          <m:e>
            <m:r>
              <m:rPr>
                <m:sty m:val="p"/>
              </m:rPr>
              <w:rPr>
                <w:rFonts w:ascii="Cambria Math" w:hAnsi="Cambria Math"/>
                <w:kern w:val="0"/>
                <w:szCs w:val="20"/>
              </w:rPr>
              <m:t>B</m:t>
            </m:r>
            <m:ctrlPr>
              <w:rPr>
                <w:rFonts w:ascii="Cambria Math" w:hAnsi="Cambria Math"/>
                <w:kern w:val="0"/>
                <w:szCs w:val="20"/>
              </w:rPr>
            </m:ctrlPr>
          </m:e>
          <m:sub>
            <m:r>
              <m:rPr>
                <m:sty m:val="p"/>
              </m:rPr>
              <w:rPr>
                <w:rFonts w:hint="eastAsia" w:ascii="Cambria Math" w:hAnsi="Cambria Math"/>
                <w:kern w:val="0"/>
                <w:szCs w:val="20"/>
              </w:rPr>
              <m:t>草本层</m:t>
            </m:r>
            <m:ctrlPr>
              <w:rPr>
                <w:rFonts w:ascii="Cambria Math" w:hAnsi="Cambria Math"/>
                <w:kern w:val="0"/>
                <w:szCs w:val="20"/>
              </w:rPr>
            </m:ctrlPr>
          </m:sub>
        </m:sSub>
        <m:r>
          <m:rPr>
            <m:sty m:val="p"/>
          </m:rPr>
          <w:rPr>
            <w:rFonts w:ascii="Cambria Math" w:hAnsi="Cambria Math"/>
            <w:kern w:val="0"/>
            <w:szCs w:val="20"/>
          </w:rPr>
          <m:t>+</m:t>
        </m:r>
        <m:sSub>
          <m:sSubPr>
            <m:ctrlPr>
              <w:rPr>
                <w:rFonts w:ascii="Cambria Math" w:hAnsi="Cambria Math"/>
                <w:kern w:val="0"/>
                <w:szCs w:val="20"/>
              </w:rPr>
            </m:ctrlPr>
          </m:sSubPr>
          <m:e>
            <m:r>
              <m:rPr>
                <m:sty m:val="p"/>
              </m:rPr>
              <w:rPr>
                <w:rFonts w:ascii="Cambria Math" w:hAnsi="Cambria Math"/>
                <w:kern w:val="0"/>
                <w:szCs w:val="20"/>
              </w:rPr>
              <m:t>CF</m:t>
            </m:r>
            <m:ctrlPr>
              <w:rPr>
                <w:rFonts w:ascii="Cambria Math" w:hAnsi="Cambria Math"/>
                <w:kern w:val="0"/>
                <w:szCs w:val="20"/>
              </w:rPr>
            </m:ctrlPr>
          </m:e>
          <m:sub>
            <m:r>
              <m:rPr>
                <m:sty m:val="p"/>
              </m:rPr>
              <w:rPr>
                <w:rFonts w:hint="eastAsia" w:ascii="Cambria Math" w:hAnsi="Cambria Math"/>
                <w:kern w:val="0"/>
                <w:szCs w:val="20"/>
              </w:rPr>
              <m:t>草本层</m:t>
            </m:r>
            <m:ctrlPr>
              <w:rPr>
                <w:rFonts w:ascii="Cambria Math" w:hAnsi="Cambria Math"/>
                <w:kern w:val="0"/>
                <w:szCs w:val="20"/>
              </w:rPr>
            </m:ctrlPr>
          </m:sub>
        </m:sSub>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草本层</m:t>
            </m:r>
            <m:ctrlPr>
              <w:rPr>
                <w:rFonts w:ascii="Cambria Math" w:hAnsi="Cambria Math"/>
              </w:rPr>
            </m:ctrlPr>
          </m:sub>
        </m:sSub>
      </m:oMath>
      <w:r>
        <w:rPr>
          <w:rFonts w:ascii="Times New Roman"/>
        </w:rPr>
        <w:t xml:space="preserve">    ——为草原中草本层的碳储量，单位为吨（t）；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B</m:t>
            </m:r>
            <m:ctrlPr>
              <w:rPr>
                <w:rFonts w:ascii="Cambria Math" w:hAnsi="Cambria Math"/>
              </w:rPr>
            </m:ctrlPr>
          </m:e>
          <m:sub>
            <m:r>
              <m:rPr>
                <m:sty m:val="p"/>
              </m:rPr>
              <w:rPr>
                <w:rFonts w:ascii="Cambria Math" w:hAnsi="Cambria Math"/>
              </w:rPr>
              <m:t>草本层</m:t>
            </m:r>
            <m:ctrlPr>
              <w:rPr>
                <w:rFonts w:ascii="Cambria Math" w:hAnsi="Cambria Math"/>
              </w:rPr>
            </m:ctrlPr>
          </m:sub>
        </m:sSub>
      </m:oMath>
      <w:r>
        <w:rPr>
          <w:rFonts w:ascii="Times New Roman"/>
        </w:rPr>
        <w:t xml:space="preserve">    ——为草原中草本层平均单位面积生物量，单位为吨每公顷（t/hm</w:t>
      </w:r>
      <w:r>
        <w:rPr>
          <w:rFonts w:ascii="Times New Roman"/>
          <w:vertAlign w:val="superscript"/>
        </w:rPr>
        <w:t>2</w:t>
      </w:r>
      <w:r>
        <w:rPr>
          <w:rFonts w:ascii="Times New Roman"/>
        </w:rPr>
        <w: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CF</m:t>
            </m:r>
            <m:ctrlPr>
              <w:rPr>
                <w:rFonts w:ascii="Cambria Math" w:hAnsi="Cambria Math"/>
              </w:rPr>
            </m:ctrlPr>
          </m:e>
          <m:sub>
            <m:r>
              <m:rPr>
                <m:sty m:val="p"/>
              </m:rPr>
              <w:rPr>
                <w:rFonts w:ascii="Cambria Math" w:hAnsi="Cambria Math"/>
              </w:rPr>
              <m:t>草本层</m:t>
            </m:r>
            <m:ctrlPr>
              <w:rPr>
                <w:rFonts w:ascii="Cambria Math" w:hAnsi="Cambria Math"/>
              </w:rPr>
            </m:ctrlPr>
          </m:sub>
        </m:sSub>
      </m:oMath>
      <w:r>
        <w:rPr>
          <w:rFonts w:ascii="Times New Roman"/>
        </w:rPr>
        <w:t xml:space="preserve">   ——为草本层平均含碳率，单位为百分比（%）。</w:t>
      </w:r>
    </w:p>
    <w:p>
      <w:pPr>
        <w:pStyle w:val="105"/>
        <w:spacing w:before="156" w:after="156"/>
      </w:pPr>
      <w:bookmarkStart w:id="69" w:name="_Toc168511892"/>
      <w:bookmarkStart w:id="70" w:name="_Toc163049249"/>
      <w:r>
        <w:rPr>
          <w:rFonts w:hint="eastAsia"/>
        </w:rPr>
        <w:t>枯落物层碳储量</w:t>
      </w:r>
      <w:bookmarkEnd w:id="69"/>
      <w:bookmarkEnd w:id="70"/>
    </w:p>
    <w:p>
      <w:pPr>
        <w:pStyle w:val="56"/>
        <w:ind w:firstLine="420"/>
      </w:pPr>
      <w:r>
        <w:rPr>
          <w:rFonts w:hint="eastAsia"/>
        </w:rPr>
        <w:t>枯落物层碳储量采用全收获法通过实验得到植物生物量和含碳率，参考附录A</w:t>
      </w:r>
      <w:r>
        <w:t>.3</w:t>
      </w:r>
      <w:r>
        <w:rPr>
          <w:rFonts w:hint="eastAsia"/>
        </w:rPr>
        <w:t>枯落物层本地参数，采用以下公式获得：</w:t>
      </w:r>
    </w:p>
    <w:p>
      <w:pPr>
        <w:pStyle w:val="113"/>
      </w:pPr>
      <w:r>
        <w:tab/>
      </w: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枯落物层</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ctrlPr>
              <w:rPr>
                <w:rFonts w:ascii="Cambria Math" w:hAnsi="Cambria Math"/>
              </w:rPr>
            </m:ctrlPr>
          </m:e>
          <m:sub>
            <m:r>
              <m:rPr>
                <m:sty m:val="p"/>
              </m:rPr>
              <w:rPr>
                <w:rFonts w:hint="eastAsia" w:ascii="Cambria Math" w:hAnsi="Cambria Math"/>
              </w:rPr>
              <m:t>枯落物层</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CF</m:t>
            </m:r>
            <m:ctrlPr>
              <w:rPr>
                <w:rFonts w:ascii="Cambria Math" w:hAnsi="Cambria Math"/>
              </w:rPr>
            </m:ctrlPr>
          </m:e>
          <m:sub>
            <m:r>
              <m:rPr>
                <m:sty m:val="p"/>
              </m:rPr>
              <w:rPr>
                <w:rFonts w:hint="eastAsia" w:ascii="Cambria Math" w:hAnsi="Cambria Math"/>
              </w:rPr>
              <m:t>枯落物层</m:t>
            </m:r>
            <m:ctrlPr>
              <w:rPr>
                <w:rFonts w:ascii="Cambria Math" w:hAnsi="Cambria Math"/>
              </w:rPr>
            </m:ctrlPr>
          </m:sub>
        </m:sSub>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枯落物层</m:t>
            </m:r>
            <m:ctrlPr>
              <w:rPr>
                <w:rFonts w:ascii="Cambria Math" w:hAnsi="Cambria Math"/>
              </w:rPr>
            </m:ctrlPr>
          </m:sub>
        </m:sSub>
      </m:oMath>
      <w:r>
        <w:rPr>
          <w:rFonts w:ascii="Times New Roman"/>
        </w:rPr>
        <w:t xml:space="preserve">    ——为草原中枯落物层的碳储量，单位为吨（t）；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B</m:t>
            </m:r>
            <m:ctrlPr>
              <w:rPr>
                <w:rFonts w:ascii="Cambria Math" w:hAnsi="Cambria Math"/>
              </w:rPr>
            </m:ctrlPr>
          </m:e>
          <m:sub>
            <m:r>
              <m:rPr>
                <m:sty m:val="p"/>
              </m:rPr>
              <w:rPr>
                <w:rFonts w:ascii="Cambria Math" w:hAnsi="Cambria Math"/>
              </w:rPr>
              <m:t>枯落物层</m:t>
            </m:r>
            <m:ctrlPr>
              <w:rPr>
                <w:rFonts w:ascii="Cambria Math" w:hAnsi="Cambria Math"/>
              </w:rPr>
            </m:ctrlPr>
          </m:sub>
        </m:sSub>
      </m:oMath>
      <w:r>
        <w:rPr>
          <w:rFonts w:ascii="Times New Roman"/>
        </w:rPr>
        <w:t xml:space="preserve">    ——为草原中枯落物层平均单位面积生物量，单位为吨每公顷（t/hm</w:t>
      </w:r>
      <w:r>
        <w:rPr>
          <w:rFonts w:ascii="Times New Roman"/>
          <w:vertAlign w:val="superscript"/>
        </w:rPr>
        <w:t>2</w:t>
      </w:r>
      <w:r>
        <w:rPr>
          <w:rFonts w:ascii="Times New Roman"/>
        </w:rPr>
        <w: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CF</m:t>
            </m:r>
            <m:ctrlPr>
              <w:rPr>
                <w:rFonts w:ascii="Cambria Math" w:hAnsi="Cambria Math"/>
              </w:rPr>
            </m:ctrlPr>
          </m:e>
          <m:sub>
            <m:r>
              <m:rPr>
                <m:sty m:val="p"/>
              </m:rPr>
              <w:rPr>
                <w:rFonts w:ascii="Cambria Math" w:hAnsi="Cambria Math"/>
              </w:rPr>
              <m:t>枯落物层</m:t>
            </m:r>
            <m:ctrlPr>
              <w:rPr>
                <w:rFonts w:ascii="Cambria Math" w:hAnsi="Cambria Math"/>
              </w:rPr>
            </m:ctrlPr>
          </m:sub>
        </m:sSub>
      </m:oMath>
      <w:r>
        <w:rPr>
          <w:rFonts w:ascii="Times New Roman"/>
        </w:rPr>
        <w:t xml:space="preserve">   ——为枯落物平均含碳率，单位为百分比（%）。</w:t>
      </w:r>
    </w:p>
    <w:p>
      <w:pPr>
        <w:pStyle w:val="105"/>
        <w:spacing w:before="156" w:after="156"/>
      </w:pPr>
      <w:bookmarkStart w:id="71" w:name="_Toc163049250"/>
      <w:bookmarkStart w:id="72" w:name="_Toc168511893"/>
      <w:r>
        <w:rPr>
          <w:rFonts w:hint="eastAsia"/>
        </w:rPr>
        <w:t>土壤有机碳密度</w:t>
      </w:r>
      <w:bookmarkEnd w:id="71"/>
      <w:bookmarkEnd w:id="72"/>
    </w:p>
    <w:p>
      <w:pPr>
        <w:pStyle w:val="56"/>
        <w:ind w:firstLine="420"/>
      </w:pPr>
      <w:r>
        <w:rPr>
          <w:rFonts w:hint="eastAsia"/>
        </w:rPr>
        <w:t>土壤层碳储量根据土壤有机碳密度计算，参考附录A</w:t>
      </w:r>
      <w:r>
        <w:t>.4</w:t>
      </w:r>
      <w:r>
        <w:rPr>
          <w:rFonts w:hint="eastAsia"/>
        </w:rPr>
        <w:t>土壤层本地参数，采用以下公式获得：</w:t>
      </w:r>
    </w:p>
    <w:p>
      <w:pPr>
        <w:pStyle w:val="56"/>
        <w:ind w:firstLine="199" w:firstLineChars="95"/>
      </w:pPr>
    </w:p>
    <w:p>
      <w:pPr>
        <w:pStyle w:val="113"/>
      </w:pPr>
      <w:r>
        <w:tab/>
      </w: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土壤层</m:t>
            </m:r>
            <m:ctrlPr>
              <w:rPr>
                <w:rFonts w:ascii="Cambria Math" w:hAnsi="Cambria Math"/>
              </w:rPr>
            </m:ctrlPr>
          </m:sub>
        </m:sSub>
        <m:r>
          <m:rPr>
            <m:sty m:val="p"/>
          </m:rPr>
          <w:rPr>
            <w:rFonts w:hint="eastAsia" w:ascii="Cambria Math" w:hAnsi="Cambria Math"/>
          </w:rPr>
          <m:t>=</m:t>
        </m:r>
        <m:nary>
          <m:naryPr>
            <m:chr m:val="∑"/>
            <m:limLoc m:val="undOvr"/>
            <m:ctrlPr>
              <w:rPr>
                <w:rFonts w:ascii="Cambria Math" w:hAnsi="Cambria Math"/>
              </w:rPr>
            </m:ctrlPr>
          </m:naryPr>
          <m:sub>
            <m:r>
              <m:rPr>
                <m:sty m:val="p"/>
              </m:rPr>
              <w:rPr>
                <w:rFonts w:hint="eastAsia" w:ascii="Cambria Math" w:hAnsi="Cambria Math"/>
              </w:rPr>
              <m:t>i</m:t>
            </m:r>
            <m:r>
              <m:rPr>
                <m:sty m:val="p"/>
              </m:rPr>
              <w:rPr>
                <w:rFonts w:ascii="Cambria Math" w:hAnsi="Cambria Math"/>
              </w:rPr>
              <m:t>=1</m:t>
            </m:r>
            <m:ctrlPr>
              <w:rPr>
                <w:rFonts w:ascii="Cambria Math" w:hAnsi="Cambria Math"/>
              </w:rPr>
            </m:ctrlPr>
          </m:sub>
          <m:sup>
            <m:r>
              <m:rPr>
                <m:sty m:val="p"/>
              </m:rPr>
              <w:rPr>
                <w:rFonts w:ascii="Cambria Math" w:hAnsi="Cambria Math"/>
              </w:rPr>
              <m:t>n</m:t>
            </m:r>
            <m:ctrlPr>
              <w:rPr>
                <w:rFonts w:ascii="Cambria Math" w:hAnsi="Cambria Math"/>
              </w:rPr>
            </m:ctrlPr>
          </m:sup>
          <m:e>
            <m:sSub>
              <m:sSubPr>
                <m:ctrlPr>
                  <w:rPr>
                    <w:rFonts w:ascii="Cambria Math" w:hAnsi="Cambria Math"/>
                  </w:rPr>
                </m:ctrlPr>
              </m:sSubPr>
              <m:e>
                <m:r>
                  <m:rPr>
                    <m:sty m:val="p"/>
                  </m:rPr>
                  <w:rPr>
                    <w:rFonts w:ascii="Cambria Math" w:hAnsi="Cambria Math"/>
                  </w:rPr>
                  <m:t>A</m:t>
                </m:r>
                <m:ctrlPr>
                  <w:rPr>
                    <w:rFonts w:ascii="Cambria Math" w:hAnsi="Cambria Math"/>
                  </w:rPr>
                </m:ctrlPr>
              </m:e>
              <m:sub>
                <m:r>
                  <m:rPr>
                    <m:sty m:val="p"/>
                  </m:rPr>
                  <w:rPr>
                    <w:rFonts w:ascii="Cambria Math" w:hAnsi="Cambria Math"/>
                  </w:rPr>
                  <m:t>i</m:t>
                </m:r>
                <m:ctrlPr>
                  <w:rPr>
                    <w:rFonts w:ascii="Cambria Math" w:hAnsi="Cambria Math"/>
                  </w:rPr>
                </m:ctrlPr>
              </m:sub>
            </m:sSub>
            <m:ctrlPr>
              <w:rPr>
                <w:rFonts w:ascii="Cambria Math" w:hAnsi="Cambria Math"/>
              </w:rPr>
            </m:ctrlPr>
          </m:e>
        </m:nary>
        <m:r>
          <m:rPr>
            <m:sty m:val="p"/>
          </m:rPr>
          <w:rPr>
            <w:rFonts w:hint="eastAsia" w:ascii="Cambria Math" w:hAnsi="Cambria Math"/>
          </w:rPr>
          <m:t>×</m:t>
        </m:r>
        <m:sSub>
          <m:sSubPr>
            <m:ctrlPr>
              <w:rPr>
                <w:rFonts w:ascii="Cambria Math" w:hAnsi="Cambria Math"/>
              </w:rPr>
            </m:ctrlPr>
          </m:sSubPr>
          <m:e>
            <m:r>
              <m:rPr>
                <m:sty m:val="p"/>
              </m:rPr>
              <w:rPr>
                <w:rFonts w:ascii="Cambria Math" w:hAnsi="Cambria Math"/>
              </w:rPr>
              <m:t>SOC</m:t>
            </m:r>
            <m:ctrlPr>
              <w:rPr>
                <w:rFonts w:ascii="Cambria Math" w:hAnsi="Cambria Math"/>
              </w:rPr>
            </m:ctrlPr>
          </m:e>
          <m:sub>
            <m:r>
              <m:rPr>
                <m:sty m:val="p"/>
              </m:rPr>
              <w:rPr>
                <w:rFonts w:hint="eastAsia" w:ascii="Cambria Math" w:hAnsi="Cambria Math"/>
              </w:rPr>
              <m:t>i</m:t>
            </m:r>
            <m:ctrlPr>
              <w:rPr>
                <w:rFonts w:ascii="Cambria Math" w:hAnsi="Cambria Math"/>
              </w:rPr>
            </m:ctrlPr>
          </m:sub>
        </m:sSub>
      </m:oMath>
      <w:r>
        <w:rPr>
          <w:rFonts w:hint="eastAsia" w:ascii="Cambria Math" w:hAnsi="Cambria Math"/>
        </w:rPr>
        <w:t xml:space="preserve"> , </w:t>
      </w:r>
      <m:oMath>
        <m:r>
          <m:rPr>
            <m:sty m:val="p"/>
          </m:rPr>
          <w:rPr>
            <w:rFonts w:ascii="Cambria Math" w:hAnsi="Cambria Math"/>
          </w:rPr>
          <m:t>SOC</m:t>
        </m:r>
        <m:r>
          <m:rPr>
            <m:sty m:val="p"/>
          </m:rPr>
          <w:rPr>
            <w:rFonts w:hint="eastAsia" w:ascii="Cambria Math" w:hAnsi="Cambria Math"/>
          </w:rPr>
          <m:t>=</m:t>
        </m:r>
        <m:r>
          <m:rPr>
            <m:sty m:val="p"/>
          </m:rPr>
          <w:rPr>
            <w:rFonts w:ascii="Cambria Math" w:hAnsi="Cambria Math"/>
          </w:rPr>
          <m:t>C</m:t>
        </m:r>
        <m:r>
          <m:rPr>
            <m:sty m:val="p"/>
          </m:rPr>
          <w:rPr>
            <w:rFonts w:hint="eastAsia" w:ascii="Cambria Math" w:hAnsi="Cambria Math"/>
          </w:rPr>
          <m:t>×</m:t>
        </m:r>
        <m:r>
          <m:rPr>
            <m:sty m:val="p"/>
          </m:rPr>
          <w:rPr>
            <w:rFonts w:ascii="Cambria Math" w:hAnsi="Cambria Math"/>
          </w:rPr>
          <m:t>D</m:t>
        </m:r>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w:r>
        <w:rPr>
          <w:rFonts w:ascii="Times New Roman"/>
        </w:rPr>
        <w:t>C</w:t>
      </w:r>
      <w:r>
        <w:rPr>
          <w:rFonts w:ascii="Times New Roman"/>
          <w:vertAlign w:val="subscript"/>
        </w:rPr>
        <w:t>土壤层</w:t>
      </w:r>
      <w:r>
        <w:rPr>
          <w:rFonts w:ascii="Times New Roman"/>
        </w:rPr>
        <w:t xml:space="preserve">   ——为草原中土壤碳储量，单位为吨（t）；  </w:t>
      </w:r>
    </w:p>
    <w:p>
      <w:pPr>
        <w:pStyle w:val="56"/>
        <w:ind w:firstLine="420"/>
        <w:rPr>
          <w:rFonts w:ascii="Times New Roman"/>
        </w:rPr>
      </w:pPr>
      <w:r>
        <w:rPr>
          <w:rFonts w:ascii="Times New Roman"/>
        </w:rPr>
        <w:t>A      ——为单位面积，单位为平方米（m</w:t>
      </w:r>
      <w:r>
        <w:rPr>
          <w:rFonts w:ascii="Times New Roman"/>
          <w:vertAlign w:val="superscript"/>
        </w:rPr>
        <w:t>2</w:t>
      </w:r>
      <w:r>
        <w:rPr>
          <w:rFonts w:ascii="Times New Roman"/>
        </w:rPr>
        <w:t>）；</w:t>
      </w:r>
    </w:p>
    <w:p>
      <w:pPr>
        <w:pStyle w:val="56"/>
        <w:ind w:firstLine="420"/>
        <w:rPr>
          <w:rFonts w:ascii="Times New Roman"/>
        </w:rPr>
      </w:pPr>
      <w:r>
        <w:rPr>
          <w:rFonts w:ascii="Times New Roman"/>
        </w:rPr>
        <w:t>SOC</w:t>
      </w:r>
      <w:r>
        <w:rPr>
          <w:rFonts w:ascii="Times New Roman"/>
          <w:vertAlign w:val="subscript"/>
        </w:rPr>
        <w:t>i</w:t>
      </w:r>
      <w:r>
        <w:rPr>
          <w:rFonts w:ascii="Times New Roman"/>
        </w:rPr>
        <w:t xml:space="preserve">   ——为第i种土壤类型的土壤有机碳密度，单位为吨每公顷（t/hm</w:t>
      </w:r>
      <w:r>
        <w:rPr>
          <w:rFonts w:ascii="Times New Roman"/>
          <w:vertAlign w:val="superscript"/>
        </w:rPr>
        <w:t>2</w:t>
      </w:r>
      <w:r>
        <w:rPr>
          <w:rFonts w:ascii="Times New Roman"/>
        </w:rPr>
        <w:t>）；</w:t>
      </w:r>
    </w:p>
    <w:p>
      <w:pPr>
        <w:pStyle w:val="56"/>
        <w:ind w:firstLine="420"/>
        <w:rPr>
          <w:rFonts w:ascii="Times New Roman"/>
        </w:rPr>
      </w:pPr>
      <w:r>
        <w:rPr>
          <w:rFonts w:ascii="Times New Roman"/>
        </w:rPr>
        <w:t>SOC</w:t>
      </w:r>
      <w:r>
        <w:rPr>
          <w:rFonts w:ascii="Times New Roman"/>
        </w:rPr>
        <w:tab/>
      </w:r>
      <w:r>
        <w:rPr>
          <w:rFonts w:ascii="Times New Roman"/>
        </w:rPr>
        <w:t xml:space="preserve">   ——为土壤有机碳密度,单位为千克每平方米（kg/m</w:t>
      </w:r>
      <w:r>
        <w:rPr>
          <w:rFonts w:ascii="Times New Roman"/>
          <w:vertAlign w:val="superscript"/>
        </w:rPr>
        <w:t>2</w:t>
      </w:r>
      <w:r>
        <w:rPr>
          <w:rFonts w:ascii="Times New Roman"/>
        </w:rPr>
        <w:t>）；</w:t>
      </w:r>
    </w:p>
    <w:p>
      <w:pPr>
        <w:pStyle w:val="56"/>
        <w:ind w:firstLine="420"/>
        <w:rPr>
          <w:rFonts w:ascii="Times New Roman"/>
        </w:rPr>
      </w:pPr>
      <w:r>
        <w:rPr>
          <w:rFonts w:ascii="Times New Roman"/>
        </w:rPr>
        <w:t>C      ——为土壤有机碳含量，单位为可每千克（kg/m</w:t>
      </w:r>
      <w:r>
        <w:rPr>
          <w:rFonts w:ascii="Times New Roman"/>
          <w:vertAlign w:val="superscript"/>
        </w:rPr>
        <w:t>3</w:t>
      </w:r>
      <w:r>
        <w:rPr>
          <w:rFonts w:ascii="Times New Roman"/>
        </w:rPr>
        <w:t xml:space="preserve">）； </w:t>
      </w:r>
    </w:p>
    <w:p>
      <w:pPr>
        <w:pStyle w:val="56"/>
        <w:ind w:firstLine="420"/>
        <w:sectPr>
          <w:pgSz w:w="11906" w:h="16838"/>
          <w:pgMar w:top="1928" w:right="1134" w:bottom="1134" w:left="1134" w:header="1418" w:footer="1134" w:gutter="284"/>
          <w:pgNumType w:start="1"/>
          <w:cols w:space="425" w:num="1"/>
          <w:formProt w:val="0"/>
          <w:docGrid w:type="lines" w:linePitch="312" w:charSpace="0"/>
        </w:sectPr>
      </w:pPr>
      <w:r>
        <w:rPr>
          <w:rFonts w:ascii="Times New Roman"/>
        </w:rPr>
        <w:t xml:space="preserve">D      ——为土壤厚度，单位为米（m）。 </w:t>
      </w:r>
      <w:r>
        <w:t xml:space="preserve">    </w:t>
      </w:r>
    </w:p>
    <w:bookmarkEnd w:id="24"/>
    <w:p>
      <w:pPr>
        <w:pStyle w:val="198"/>
        <w:rPr>
          <w:vanish w:val="0"/>
        </w:rPr>
      </w:pPr>
      <w:bookmarkStart w:id="73" w:name="BookMark5"/>
    </w:p>
    <w:p>
      <w:pPr>
        <w:pStyle w:val="199"/>
        <w:rPr>
          <w:vanish w:val="0"/>
        </w:rPr>
      </w:pPr>
    </w:p>
    <w:p>
      <w:pPr>
        <w:pStyle w:val="76"/>
        <w:spacing w:after="156"/>
      </w:pPr>
      <w:r>
        <w:br w:type="textWrapping"/>
      </w:r>
      <w:bookmarkStart w:id="74" w:name="_Toc163049251"/>
      <w:bookmarkStart w:id="75" w:name="_Toc168511894"/>
      <w:r>
        <w:rPr>
          <w:rFonts w:hint="eastAsia"/>
        </w:rPr>
        <w:t>（资料性）</w:t>
      </w:r>
      <w:r>
        <w:br w:type="textWrapping"/>
      </w:r>
      <w:bookmarkEnd w:id="74"/>
      <w:r>
        <w:rPr>
          <w:rFonts w:hint="eastAsia"/>
        </w:rPr>
        <w:t>包头地区草原各碳层本地参数</w:t>
      </w:r>
      <w:bookmarkEnd w:id="75"/>
    </w:p>
    <w:p>
      <w:pPr>
        <w:pStyle w:val="56"/>
        <w:ind w:firstLine="420"/>
      </w:pPr>
      <w:r>
        <w:rPr>
          <w:rFonts w:hint="eastAsia"/>
        </w:rPr>
        <w:t>灌木层本地参数见表A.1</w:t>
      </w:r>
    </w:p>
    <w:p>
      <w:pPr>
        <w:pStyle w:val="77"/>
        <w:spacing w:before="156" w:after="156"/>
      </w:pPr>
      <w:r>
        <w:rPr>
          <w:rFonts w:hint="eastAsia"/>
        </w:rPr>
        <w:t>灌木层本地参数</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255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优势种</w:t>
            </w:r>
          </w:p>
        </w:tc>
        <w:tc>
          <w:tcPr>
            <w:tcW w:w="3112"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灌木层生物量（kg）</w:t>
            </w:r>
          </w:p>
        </w:tc>
        <w:tc>
          <w:tcPr>
            <w:tcW w:w="2557"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灌木含碳率（%）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vAlign w:val="center"/>
          </w:tcPr>
          <w:p>
            <w:pPr>
              <w:pStyle w:val="178"/>
              <w:rPr>
                <w:rFonts w:ascii="Times New Roman"/>
              </w:rPr>
            </w:pPr>
            <w:r>
              <w:rPr>
                <w:rFonts w:ascii="Times New Roman"/>
              </w:rPr>
              <w:t>柠条</w:t>
            </w:r>
          </w:p>
        </w:tc>
        <w:tc>
          <w:tcPr>
            <w:tcW w:w="3112" w:type="dxa"/>
            <w:tcBorders>
              <w:top w:val="single" w:color="auto" w:sz="8" w:space="0"/>
            </w:tcBorders>
            <w:shd w:val="clear" w:color="auto" w:fill="auto"/>
            <w:vAlign w:val="center"/>
          </w:tcPr>
          <w:p>
            <w:pPr>
              <w:pStyle w:val="178"/>
              <w:rPr>
                <w:rFonts w:ascii="Times New Roman"/>
              </w:rPr>
            </w:pPr>
            <w:r>
              <w:rPr>
                <w:rFonts w:ascii="Times New Roman"/>
              </w:rPr>
              <w:t>0.37</w:t>
            </w:r>
          </w:p>
        </w:tc>
        <w:tc>
          <w:tcPr>
            <w:tcW w:w="2557" w:type="dxa"/>
            <w:tcBorders>
              <w:top w:val="single" w:color="auto" w:sz="8" w:space="0"/>
            </w:tcBorders>
            <w:shd w:val="clear" w:color="auto" w:fill="auto"/>
          </w:tcPr>
          <w:p>
            <w:pPr>
              <w:pStyle w:val="178"/>
              <w:rPr>
                <w:rFonts w:ascii="Times New Roman"/>
              </w:rPr>
            </w:pPr>
            <w:r>
              <w:rPr>
                <w:rFonts w:ascii="Times New Roman"/>
              </w:rPr>
              <w:t>46.45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藏锦鸡儿</w:t>
            </w:r>
          </w:p>
        </w:tc>
        <w:tc>
          <w:tcPr>
            <w:tcW w:w="3112" w:type="dxa"/>
            <w:shd w:val="clear" w:color="auto" w:fill="auto"/>
            <w:vAlign w:val="center"/>
          </w:tcPr>
          <w:p>
            <w:pPr>
              <w:pStyle w:val="178"/>
              <w:rPr>
                <w:rFonts w:ascii="Times New Roman"/>
              </w:rPr>
            </w:pPr>
            <w:r>
              <w:rPr>
                <w:rFonts w:ascii="Times New Roman"/>
              </w:rPr>
              <w:t>0.361</w:t>
            </w:r>
          </w:p>
        </w:tc>
        <w:tc>
          <w:tcPr>
            <w:tcW w:w="2557" w:type="dxa"/>
            <w:shd w:val="clear" w:color="auto" w:fill="auto"/>
          </w:tcPr>
          <w:p>
            <w:pPr>
              <w:pStyle w:val="178"/>
              <w:rPr>
                <w:rFonts w:ascii="Times New Roman"/>
              </w:rPr>
            </w:pPr>
            <w:r>
              <w:rPr>
                <w:rFonts w:ascii="Times New Roman"/>
              </w:rPr>
              <w:t>50.91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红砂</w:t>
            </w:r>
          </w:p>
        </w:tc>
        <w:tc>
          <w:tcPr>
            <w:tcW w:w="3112" w:type="dxa"/>
            <w:shd w:val="clear" w:color="auto" w:fill="auto"/>
            <w:vAlign w:val="center"/>
          </w:tcPr>
          <w:p>
            <w:pPr>
              <w:pStyle w:val="178"/>
              <w:rPr>
                <w:rFonts w:ascii="Times New Roman"/>
              </w:rPr>
            </w:pPr>
            <w:r>
              <w:rPr>
                <w:rFonts w:ascii="Times New Roman"/>
              </w:rPr>
              <w:t>0.352</w:t>
            </w:r>
          </w:p>
        </w:tc>
        <w:tc>
          <w:tcPr>
            <w:tcW w:w="2557" w:type="dxa"/>
            <w:shd w:val="clear" w:color="auto" w:fill="auto"/>
          </w:tcPr>
          <w:p>
            <w:pPr>
              <w:pStyle w:val="178"/>
              <w:rPr>
                <w:rFonts w:ascii="Times New Roman"/>
              </w:rPr>
            </w:pPr>
            <w:r>
              <w:rPr>
                <w:rFonts w:ascii="Times New Roman"/>
              </w:rPr>
              <w:t>48.63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叉子圆柏</w:t>
            </w:r>
          </w:p>
        </w:tc>
        <w:tc>
          <w:tcPr>
            <w:tcW w:w="3112" w:type="dxa"/>
            <w:shd w:val="clear" w:color="auto" w:fill="auto"/>
            <w:vAlign w:val="center"/>
          </w:tcPr>
          <w:p>
            <w:pPr>
              <w:pStyle w:val="178"/>
              <w:rPr>
                <w:rFonts w:ascii="Times New Roman"/>
              </w:rPr>
            </w:pPr>
            <w:r>
              <w:rPr>
                <w:rFonts w:ascii="Times New Roman"/>
              </w:rPr>
              <w:t>0.402</w:t>
            </w:r>
          </w:p>
        </w:tc>
        <w:tc>
          <w:tcPr>
            <w:tcW w:w="2557" w:type="dxa"/>
            <w:shd w:val="clear" w:color="auto" w:fill="auto"/>
          </w:tcPr>
          <w:p>
            <w:pPr>
              <w:pStyle w:val="178"/>
              <w:rPr>
                <w:rFonts w:ascii="Times New Roman"/>
              </w:rPr>
            </w:pPr>
            <w:r>
              <w:rPr>
                <w:rFonts w:ascii="Times New Roman"/>
              </w:rPr>
              <w:t>51.55</w:t>
            </w:r>
          </w:p>
        </w:tc>
      </w:tr>
    </w:tbl>
    <w:p>
      <w:pPr>
        <w:pStyle w:val="56"/>
        <w:ind w:firstLine="420"/>
      </w:pPr>
    </w:p>
    <w:p>
      <w:pPr>
        <w:pStyle w:val="56"/>
        <w:ind w:firstLine="420"/>
      </w:pPr>
    </w:p>
    <w:p>
      <w:pPr>
        <w:pStyle w:val="56"/>
        <w:ind w:firstLine="420"/>
      </w:pPr>
    </w:p>
    <w:p>
      <w:pPr>
        <w:pStyle w:val="56"/>
        <w:ind w:firstLine="420"/>
      </w:pPr>
    </w:p>
    <w:p>
      <w:pPr>
        <w:pStyle w:val="56"/>
        <w:ind w:firstLine="420"/>
      </w:pPr>
      <w:r>
        <w:rPr>
          <w:rFonts w:hint="eastAsia"/>
        </w:rPr>
        <w:t>草本层本地参数见表A</w:t>
      </w:r>
      <w:r>
        <w:t>.2</w:t>
      </w:r>
    </w:p>
    <w:p>
      <w:pPr>
        <w:pStyle w:val="77"/>
        <w:spacing w:before="156" w:after="156"/>
      </w:pPr>
      <w:r>
        <w:rPr>
          <w:rFonts w:hint="eastAsia"/>
        </w:rPr>
        <w:t>草本层本地参数</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269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草原类型</w:t>
            </w:r>
          </w:p>
        </w:tc>
        <w:tc>
          <w:tcPr>
            <w:tcW w:w="3112"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草本层生物量（kg）</w:t>
            </w:r>
          </w:p>
        </w:tc>
        <w:tc>
          <w:tcPr>
            <w:tcW w:w="2699"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草本含碳率（%）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温性典型草原</w:t>
            </w:r>
          </w:p>
        </w:tc>
        <w:tc>
          <w:tcPr>
            <w:tcW w:w="3112" w:type="dxa"/>
            <w:shd w:val="clear" w:color="auto" w:fill="auto"/>
            <w:vAlign w:val="center"/>
          </w:tcPr>
          <w:p>
            <w:pPr>
              <w:pStyle w:val="178"/>
              <w:rPr>
                <w:rFonts w:ascii="Times New Roman"/>
              </w:rPr>
            </w:pPr>
            <w:r>
              <w:rPr>
                <w:rFonts w:ascii="Times New Roman"/>
              </w:rPr>
              <w:t>0.549</w:t>
            </w:r>
          </w:p>
        </w:tc>
        <w:tc>
          <w:tcPr>
            <w:tcW w:w="2699" w:type="dxa"/>
            <w:shd w:val="clear" w:color="auto" w:fill="auto"/>
          </w:tcPr>
          <w:p>
            <w:pPr>
              <w:pStyle w:val="178"/>
              <w:rPr>
                <w:rFonts w:ascii="Times New Roman"/>
              </w:rPr>
            </w:pPr>
            <w:r>
              <w:rPr>
                <w:rFonts w:ascii="Times New Roman"/>
              </w:rPr>
              <w:t>45.46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温性荒漠草原</w:t>
            </w:r>
          </w:p>
        </w:tc>
        <w:tc>
          <w:tcPr>
            <w:tcW w:w="3112" w:type="dxa"/>
            <w:shd w:val="clear" w:color="auto" w:fill="auto"/>
            <w:vAlign w:val="center"/>
          </w:tcPr>
          <w:p>
            <w:pPr>
              <w:pStyle w:val="178"/>
              <w:rPr>
                <w:rFonts w:ascii="Times New Roman"/>
              </w:rPr>
            </w:pPr>
            <w:r>
              <w:rPr>
                <w:rFonts w:ascii="Times New Roman"/>
              </w:rPr>
              <w:t>0.132</w:t>
            </w:r>
          </w:p>
        </w:tc>
        <w:tc>
          <w:tcPr>
            <w:tcW w:w="2699" w:type="dxa"/>
            <w:shd w:val="clear" w:color="auto" w:fill="auto"/>
          </w:tcPr>
          <w:p>
            <w:pPr>
              <w:pStyle w:val="178"/>
              <w:rPr>
                <w:rFonts w:ascii="Times New Roman"/>
              </w:rPr>
            </w:pPr>
            <w:r>
              <w:rPr>
                <w:rFonts w:ascii="Times New Roman"/>
              </w:rPr>
              <w:t>44.41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温性草甸草原</w:t>
            </w:r>
          </w:p>
        </w:tc>
        <w:tc>
          <w:tcPr>
            <w:tcW w:w="3112" w:type="dxa"/>
            <w:shd w:val="clear" w:color="auto" w:fill="auto"/>
            <w:vAlign w:val="center"/>
          </w:tcPr>
          <w:p>
            <w:pPr>
              <w:pStyle w:val="178"/>
              <w:rPr>
                <w:rFonts w:ascii="Times New Roman"/>
              </w:rPr>
            </w:pPr>
            <w:r>
              <w:rPr>
                <w:rFonts w:ascii="Times New Roman"/>
              </w:rPr>
              <w:t>0.205</w:t>
            </w:r>
          </w:p>
        </w:tc>
        <w:tc>
          <w:tcPr>
            <w:tcW w:w="2699" w:type="dxa"/>
            <w:shd w:val="clear" w:color="auto" w:fill="auto"/>
          </w:tcPr>
          <w:p>
            <w:pPr>
              <w:pStyle w:val="178"/>
              <w:rPr>
                <w:rFonts w:ascii="Times New Roman"/>
              </w:rPr>
            </w:pPr>
            <w:r>
              <w:rPr>
                <w:rFonts w:ascii="Times New Roman"/>
              </w:rPr>
              <w:t>45.12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低地草甸</w:t>
            </w:r>
          </w:p>
        </w:tc>
        <w:tc>
          <w:tcPr>
            <w:tcW w:w="3112" w:type="dxa"/>
            <w:shd w:val="clear" w:color="auto" w:fill="auto"/>
            <w:vAlign w:val="center"/>
          </w:tcPr>
          <w:p>
            <w:pPr>
              <w:pStyle w:val="178"/>
              <w:rPr>
                <w:rFonts w:ascii="Times New Roman"/>
              </w:rPr>
            </w:pPr>
            <w:r>
              <w:rPr>
                <w:rFonts w:ascii="Times New Roman"/>
              </w:rPr>
              <w:t>0.32</w:t>
            </w:r>
          </w:p>
        </w:tc>
        <w:tc>
          <w:tcPr>
            <w:tcW w:w="2699" w:type="dxa"/>
            <w:shd w:val="clear" w:color="auto" w:fill="auto"/>
          </w:tcPr>
          <w:p>
            <w:pPr>
              <w:pStyle w:val="178"/>
              <w:rPr>
                <w:rFonts w:ascii="Times New Roman"/>
              </w:rPr>
            </w:pPr>
            <w:r>
              <w:rPr>
                <w:rFonts w:ascii="Times New Roman"/>
              </w:rPr>
              <w:t>47.76</w:t>
            </w:r>
          </w:p>
        </w:tc>
      </w:tr>
    </w:tbl>
    <w:p>
      <w:pPr>
        <w:pStyle w:val="56"/>
        <w:ind w:firstLine="420"/>
      </w:pPr>
    </w:p>
    <w:p>
      <w:pPr>
        <w:pStyle w:val="56"/>
        <w:ind w:firstLine="420"/>
      </w:pPr>
    </w:p>
    <w:p>
      <w:pPr>
        <w:pStyle w:val="56"/>
        <w:ind w:firstLine="420"/>
      </w:pPr>
    </w:p>
    <w:p>
      <w:pPr>
        <w:pStyle w:val="56"/>
        <w:ind w:firstLine="420"/>
      </w:pPr>
    </w:p>
    <w:p>
      <w:pPr>
        <w:pStyle w:val="56"/>
        <w:ind w:firstLine="420"/>
      </w:pPr>
      <w:r>
        <w:rPr>
          <w:rFonts w:hint="eastAsia"/>
        </w:rPr>
        <w:t>枯落物层本地参数见表A</w:t>
      </w:r>
      <w:r>
        <w:t>.3</w:t>
      </w:r>
    </w:p>
    <w:p>
      <w:pPr>
        <w:pStyle w:val="77"/>
        <w:spacing w:before="156" w:after="156"/>
      </w:pPr>
      <w:r>
        <w:rPr>
          <w:rFonts w:hint="eastAsia"/>
        </w:rPr>
        <w:t>枯落物层本地参数</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255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草原类型</w:t>
            </w:r>
          </w:p>
        </w:tc>
        <w:tc>
          <w:tcPr>
            <w:tcW w:w="3112"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枯落物层生物量（kg）</w:t>
            </w:r>
          </w:p>
        </w:tc>
        <w:tc>
          <w:tcPr>
            <w:tcW w:w="2557"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枯落物含碳率（%）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温性典型草原</w:t>
            </w:r>
          </w:p>
        </w:tc>
        <w:tc>
          <w:tcPr>
            <w:tcW w:w="3112" w:type="dxa"/>
            <w:shd w:val="clear" w:color="auto" w:fill="auto"/>
            <w:vAlign w:val="center"/>
          </w:tcPr>
          <w:p>
            <w:pPr>
              <w:pStyle w:val="178"/>
              <w:rPr>
                <w:rFonts w:ascii="Times New Roman"/>
              </w:rPr>
            </w:pPr>
            <w:r>
              <w:rPr>
                <w:rFonts w:ascii="Times New Roman"/>
              </w:rPr>
              <w:t>0.241</w:t>
            </w:r>
          </w:p>
        </w:tc>
        <w:tc>
          <w:tcPr>
            <w:tcW w:w="2557" w:type="dxa"/>
            <w:shd w:val="clear" w:color="auto" w:fill="auto"/>
          </w:tcPr>
          <w:p>
            <w:pPr>
              <w:pStyle w:val="178"/>
              <w:rPr>
                <w:rFonts w:ascii="Times New Roman"/>
              </w:rPr>
            </w:pPr>
            <w:r>
              <w:rPr>
                <w:rFonts w:ascii="Times New Roman"/>
              </w:rPr>
              <w:t>45.17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温性荒漠草原</w:t>
            </w:r>
          </w:p>
        </w:tc>
        <w:tc>
          <w:tcPr>
            <w:tcW w:w="3112" w:type="dxa"/>
            <w:shd w:val="clear" w:color="auto" w:fill="auto"/>
            <w:vAlign w:val="center"/>
          </w:tcPr>
          <w:p>
            <w:pPr>
              <w:pStyle w:val="178"/>
              <w:rPr>
                <w:rFonts w:ascii="Times New Roman"/>
              </w:rPr>
            </w:pPr>
            <w:r>
              <w:rPr>
                <w:rFonts w:ascii="Times New Roman"/>
              </w:rPr>
              <w:t>0.063</w:t>
            </w:r>
          </w:p>
        </w:tc>
        <w:tc>
          <w:tcPr>
            <w:tcW w:w="2557" w:type="dxa"/>
            <w:shd w:val="clear" w:color="auto" w:fill="auto"/>
          </w:tcPr>
          <w:p>
            <w:pPr>
              <w:pStyle w:val="178"/>
              <w:rPr>
                <w:rFonts w:ascii="Times New Roman"/>
              </w:rPr>
            </w:pPr>
            <w:r>
              <w:rPr>
                <w:rFonts w:ascii="Times New Roman"/>
              </w:rPr>
              <w:t>44.34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温性草甸草原</w:t>
            </w:r>
          </w:p>
        </w:tc>
        <w:tc>
          <w:tcPr>
            <w:tcW w:w="3112" w:type="dxa"/>
            <w:shd w:val="clear" w:color="auto" w:fill="auto"/>
            <w:vAlign w:val="center"/>
          </w:tcPr>
          <w:p>
            <w:pPr>
              <w:pStyle w:val="178"/>
              <w:rPr>
                <w:rFonts w:ascii="Times New Roman"/>
              </w:rPr>
            </w:pPr>
            <w:r>
              <w:rPr>
                <w:rFonts w:ascii="Times New Roman"/>
              </w:rPr>
              <w:t>0.093</w:t>
            </w:r>
          </w:p>
        </w:tc>
        <w:tc>
          <w:tcPr>
            <w:tcW w:w="2557" w:type="dxa"/>
            <w:shd w:val="clear" w:color="auto" w:fill="auto"/>
          </w:tcPr>
          <w:p>
            <w:pPr>
              <w:pStyle w:val="178"/>
              <w:rPr>
                <w:rFonts w:ascii="Times New Roman"/>
              </w:rPr>
            </w:pPr>
            <w:r>
              <w:rPr>
                <w:rFonts w:ascii="Times New Roman"/>
              </w:rPr>
              <w:t>46.29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低地草甸</w:t>
            </w:r>
          </w:p>
        </w:tc>
        <w:tc>
          <w:tcPr>
            <w:tcW w:w="3112" w:type="dxa"/>
            <w:shd w:val="clear" w:color="auto" w:fill="auto"/>
            <w:vAlign w:val="center"/>
          </w:tcPr>
          <w:p>
            <w:pPr>
              <w:pStyle w:val="178"/>
              <w:rPr>
                <w:rFonts w:ascii="Times New Roman"/>
              </w:rPr>
            </w:pPr>
            <w:r>
              <w:rPr>
                <w:rFonts w:ascii="Times New Roman"/>
              </w:rPr>
              <w:t>0.088</w:t>
            </w:r>
          </w:p>
        </w:tc>
        <w:tc>
          <w:tcPr>
            <w:tcW w:w="2557" w:type="dxa"/>
            <w:shd w:val="clear" w:color="auto" w:fill="auto"/>
          </w:tcPr>
          <w:p>
            <w:pPr>
              <w:pStyle w:val="178"/>
              <w:rPr>
                <w:rFonts w:ascii="Times New Roman"/>
              </w:rPr>
            </w:pPr>
            <w:r>
              <w:rPr>
                <w:rFonts w:ascii="Times New Roman"/>
              </w:rPr>
              <w:t>45.28</w:t>
            </w:r>
          </w:p>
        </w:tc>
      </w:tr>
    </w:tbl>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r>
        <w:rPr>
          <w:rFonts w:hint="eastAsia"/>
        </w:rPr>
        <w:t>土壤层本地参数见表A</w:t>
      </w:r>
      <w:r>
        <w:t>.4</w:t>
      </w:r>
    </w:p>
    <w:p>
      <w:pPr>
        <w:pStyle w:val="77"/>
        <w:spacing w:before="156" w:after="156"/>
      </w:pPr>
      <w:r>
        <w:rPr>
          <w:rFonts w:hint="eastAsia"/>
        </w:rPr>
        <w:t>土壤层本地参数</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土壤类型</w:t>
            </w:r>
          </w:p>
        </w:tc>
        <w:tc>
          <w:tcPr>
            <w:tcW w:w="3112"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有机碳含量（g/kg）</w:t>
            </w:r>
          </w:p>
        </w:tc>
        <w:tc>
          <w:tcPr>
            <w:tcW w:w="3112" w:type="dxa"/>
            <w:tcBorders>
              <w:top w:val="single" w:color="auto" w:sz="8" w:space="0"/>
              <w:bottom w:val="single" w:color="auto" w:sz="8" w:space="0"/>
            </w:tcBorders>
            <w:shd w:val="clear" w:color="auto" w:fill="auto"/>
          </w:tcPr>
          <w:p>
            <w:pPr>
              <w:pStyle w:val="178"/>
              <w:rPr>
                <w:rFonts w:ascii="Times New Roman"/>
              </w:rPr>
            </w:pPr>
            <w:r>
              <w:rPr>
                <w:rFonts w:ascii="Times New Roman"/>
              </w:rPr>
              <w:t>土壤厚度(m)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vAlign w:val="center"/>
          </w:tcPr>
          <w:p>
            <w:pPr>
              <w:pStyle w:val="178"/>
              <w:rPr>
                <w:rFonts w:ascii="Times New Roman"/>
              </w:rPr>
            </w:pPr>
            <w:r>
              <w:rPr>
                <w:rFonts w:ascii="Times New Roman"/>
              </w:rPr>
              <w:t>栗钙土</w:t>
            </w:r>
          </w:p>
        </w:tc>
        <w:tc>
          <w:tcPr>
            <w:tcW w:w="3112" w:type="dxa"/>
            <w:tcBorders>
              <w:top w:val="single" w:color="auto" w:sz="8" w:space="0"/>
            </w:tcBorders>
            <w:shd w:val="clear" w:color="auto" w:fill="auto"/>
          </w:tcPr>
          <w:p>
            <w:pPr>
              <w:pStyle w:val="178"/>
              <w:rPr>
                <w:rFonts w:ascii="Times New Roman"/>
              </w:rPr>
            </w:pPr>
            <w:r>
              <w:rPr>
                <w:rFonts w:ascii="Times New Roman"/>
              </w:rPr>
              <w:t>65.0508</w:t>
            </w:r>
          </w:p>
        </w:tc>
        <w:tc>
          <w:tcPr>
            <w:tcW w:w="3112" w:type="dxa"/>
            <w:tcBorders>
              <w:top w:val="single" w:color="auto" w:sz="8" w:space="0"/>
            </w:tcBorders>
            <w:shd w:val="clear" w:color="auto" w:fill="auto"/>
          </w:tcPr>
          <w:p>
            <w:pPr>
              <w:pStyle w:val="178"/>
              <w:rPr>
                <w:rFonts w:ascii="Times New Roman"/>
              </w:rPr>
            </w:pPr>
            <w:r>
              <w:rPr>
                <w:rFonts w:ascii="Times New Roman"/>
              </w:rPr>
              <w:t>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棕钙土</w:t>
            </w:r>
          </w:p>
        </w:tc>
        <w:tc>
          <w:tcPr>
            <w:tcW w:w="3112" w:type="dxa"/>
            <w:shd w:val="clear" w:color="auto" w:fill="auto"/>
          </w:tcPr>
          <w:p>
            <w:pPr>
              <w:pStyle w:val="178"/>
              <w:rPr>
                <w:rFonts w:ascii="Times New Roman"/>
              </w:rPr>
            </w:pPr>
            <w:r>
              <w:rPr>
                <w:rFonts w:ascii="Times New Roman"/>
              </w:rPr>
              <w:t>38.2075</w:t>
            </w:r>
          </w:p>
        </w:tc>
        <w:tc>
          <w:tcPr>
            <w:tcW w:w="3112" w:type="dxa"/>
            <w:shd w:val="clear" w:color="auto" w:fill="auto"/>
          </w:tcPr>
          <w:p>
            <w:pPr>
              <w:pStyle w:val="178"/>
              <w:rPr>
                <w:rFonts w:ascii="Times New Roman"/>
              </w:rPr>
            </w:pPr>
            <w:r>
              <w:rPr>
                <w:rFonts w:ascii="Times New Roman"/>
              </w:rPr>
              <w:t>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灰褐土</w:t>
            </w:r>
          </w:p>
        </w:tc>
        <w:tc>
          <w:tcPr>
            <w:tcW w:w="3112" w:type="dxa"/>
            <w:shd w:val="clear" w:color="auto" w:fill="auto"/>
          </w:tcPr>
          <w:p>
            <w:pPr>
              <w:pStyle w:val="178"/>
              <w:rPr>
                <w:rFonts w:ascii="Times New Roman"/>
              </w:rPr>
            </w:pPr>
            <w:r>
              <w:rPr>
                <w:rFonts w:ascii="Times New Roman"/>
              </w:rPr>
              <w:t>63.0475</w:t>
            </w:r>
          </w:p>
        </w:tc>
        <w:tc>
          <w:tcPr>
            <w:tcW w:w="3112" w:type="dxa"/>
            <w:shd w:val="clear" w:color="auto" w:fill="auto"/>
          </w:tcPr>
          <w:p>
            <w:pPr>
              <w:pStyle w:val="178"/>
              <w:rPr>
                <w:rFonts w:ascii="Times New Roman"/>
              </w:rPr>
            </w:pPr>
            <w:r>
              <w:rPr>
                <w:rFonts w:ascii="Times New Roman"/>
              </w:rPr>
              <w:t>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草甸土</w:t>
            </w:r>
          </w:p>
        </w:tc>
        <w:tc>
          <w:tcPr>
            <w:tcW w:w="3112" w:type="dxa"/>
            <w:shd w:val="clear" w:color="auto" w:fill="auto"/>
          </w:tcPr>
          <w:p>
            <w:pPr>
              <w:pStyle w:val="178"/>
              <w:rPr>
                <w:rFonts w:ascii="Times New Roman"/>
              </w:rPr>
            </w:pPr>
            <w:r>
              <w:rPr>
                <w:rFonts w:ascii="Times New Roman"/>
              </w:rPr>
              <w:t>61.9625</w:t>
            </w:r>
          </w:p>
        </w:tc>
        <w:tc>
          <w:tcPr>
            <w:tcW w:w="3112" w:type="dxa"/>
            <w:shd w:val="clear" w:color="auto" w:fill="auto"/>
          </w:tcPr>
          <w:p>
            <w:pPr>
              <w:pStyle w:val="178"/>
              <w:rPr>
                <w:rFonts w:ascii="Times New Roman"/>
              </w:rPr>
            </w:pPr>
            <w:r>
              <w:rPr>
                <w:rFonts w:ascii="Times New Roman"/>
              </w:rPr>
              <w:t>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盐土</w:t>
            </w:r>
          </w:p>
        </w:tc>
        <w:tc>
          <w:tcPr>
            <w:tcW w:w="3112" w:type="dxa"/>
            <w:shd w:val="clear" w:color="auto" w:fill="auto"/>
          </w:tcPr>
          <w:p>
            <w:pPr>
              <w:pStyle w:val="178"/>
              <w:rPr>
                <w:rFonts w:ascii="Times New Roman"/>
              </w:rPr>
            </w:pPr>
            <w:r>
              <w:rPr>
                <w:rFonts w:ascii="Times New Roman"/>
              </w:rPr>
              <w:t>24.48</w:t>
            </w:r>
          </w:p>
        </w:tc>
        <w:tc>
          <w:tcPr>
            <w:tcW w:w="3112" w:type="dxa"/>
            <w:shd w:val="clear" w:color="auto" w:fill="auto"/>
          </w:tcPr>
          <w:p>
            <w:pPr>
              <w:pStyle w:val="178"/>
              <w:rPr>
                <w:rFonts w:ascii="Times New Roman"/>
              </w:rPr>
            </w:pPr>
            <w:r>
              <w:rPr>
                <w:rFonts w:ascii="Times New Roman"/>
              </w:rPr>
              <w:t>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pPr>
              <w:pStyle w:val="178"/>
              <w:rPr>
                <w:rFonts w:ascii="Times New Roman"/>
              </w:rPr>
            </w:pPr>
            <w:r>
              <w:rPr>
                <w:rFonts w:ascii="Times New Roman"/>
              </w:rPr>
              <w:t>风沙土</w:t>
            </w:r>
          </w:p>
        </w:tc>
        <w:tc>
          <w:tcPr>
            <w:tcW w:w="3112" w:type="dxa"/>
            <w:shd w:val="clear" w:color="auto" w:fill="auto"/>
          </w:tcPr>
          <w:p>
            <w:pPr>
              <w:pStyle w:val="178"/>
              <w:rPr>
                <w:rFonts w:ascii="Times New Roman"/>
              </w:rPr>
            </w:pPr>
            <w:r>
              <w:rPr>
                <w:rFonts w:ascii="Times New Roman"/>
              </w:rPr>
              <w:t>14.1732</w:t>
            </w:r>
          </w:p>
        </w:tc>
        <w:tc>
          <w:tcPr>
            <w:tcW w:w="3112" w:type="dxa"/>
            <w:shd w:val="clear" w:color="auto" w:fill="auto"/>
          </w:tcPr>
          <w:p>
            <w:pPr>
              <w:pStyle w:val="178"/>
              <w:rPr>
                <w:rFonts w:ascii="Times New Roman"/>
              </w:rPr>
            </w:pPr>
            <w:r>
              <w:rPr>
                <w:rFonts w:ascii="Times New Roman"/>
              </w:rPr>
              <w:t>0.4</w:t>
            </w:r>
          </w:p>
        </w:tc>
      </w:tr>
    </w:tbl>
    <w:p>
      <w:pPr>
        <w:pStyle w:val="56"/>
        <w:ind w:firstLine="420"/>
      </w:pPr>
    </w:p>
    <w:bookmarkEnd w:id="73"/>
    <w:p>
      <w:pPr>
        <w:pStyle w:val="56"/>
        <w:ind w:firstLine="0" w:firstLineChars="0"/>
        <w:jc w:val="center"/>
      </w:pPr>
      <w:bookmarkStart w:id="76"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6"/>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1502/T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1502/T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567"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NoT1BIcITkf0afT5ri0NMrTOgYnT/nb0LKej/3p7jG7xwnaysvYsz41QfaPSkvz1owQAdY/7Fb93DICrQVk4gA==" w:salt="Hu905EgeeT5GOIwyTDohO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MwOTFiNjkwNmZkZGViMDMxZGEyNTM1ZWZjMjRlZmIifQ=="/>
  </w:docVars>
  <w:rsids>
    <w:rsidRoot w:val="003A7E3E"/>
    <w:rsid w:val="0000040A"/>
    <w:rsid w:val="00000A94"/>
    <w:rsid w:val="00001972"/>
    <w:rsid w:val="00001B16"/>
    <w:rsid w:val="00001D9A"/>
    <w:rsid w:val="00007B3A"/>
    <w:rsid w:val="000107E0"/>
    <w:rsid w:val="00011FDE"/>
    <w:rsid w:val="0001297B"/>
    <w:rsid w:val="00012FFD"/>
    <w:rsid w:val="00014162"/>
    <w:rsid w:val="00014340"/>
    <w:rsid w:val="00016A9C"/>
    <w:rsid w:val="00020DC5"/>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A15"/>
    <w:rsid w:val="00060C2E"/>
    <w:rsid w:val="00061033"/>
    <w:rsid w:val="000619E9"/>
    <w:rsid w:val="000622D4"/>
    <w:rsid w:val="0006357D"/>
    <w:rsid w:val="00067F1E"/>
    <w:rsid w:val="00071CC0"/>
    <w:rsid w:val="00073C8C"/>
    <w:rsid w:val="00077B64"/>
    <w:rsid w:val="00077FC3"/>
    <w:rsid w:val="00080A1C"/>
    <w:rsid w:val="00082317"/>
    <w:rsid w:val="00083D2C"/>
    <w:rsid w:val="00086AA1"/>
    <w:rsid w:val="00087A77"/>
    <w:rsid w:val="00090CA6"/>
    <w:rsid w:val="00092B8A"/>
    <w:rsid w:val="00092FB0"/>
    <w:rsid w:val="000930A6"/>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58D8"/>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505"/>
    <w:rsid w:val="00190087"/>
    <w:rsid w:val="001913C4"/>
    <w:rsid w:val="00192057"/>
    <w:rsid w:val="0019348F"/>
    <w:rsid w:val="00193A07"/>
    <w:rsid w:val="00194C95"/>
    <w:rsid w:val="00195C34"/>
    <w:rsid w:val="00196EF5"/>
    <w:rsid w:val="001A1A53"/>
    <w:rsid w:val="001A234A"/>
    <w:rsid w:val="001A4CF3"/>
    <w:rsid w:val="001B06E8"/>
    <w:rsid w:val="001B6F84"/>
    <w:rsid w:val="001B71D0"/>
    <w:rsid w:val="001B71EE"/>
    <w:rsid w:val="001C04A8"/>
    <w:rsid w:val="001C2C03"/>
    <w:rsid w:val="001C42F7"/>
    <w:rsid w:val="001C49E5"/>
    <w:rsid w:val="001C680C"/>
    <w:rsid w:val="001C7FEA"/>
    <w:rsid w:val="001D0499"/>
    <w:rsid w:val="001D09B6"/>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15AE"/>
    <w:rsid w:val="002142EA"/>
    <w:rsid w:val="002204BB"/>
    <w:rsid w:val="00221B79"/>
    <w:rsid w:val="00221C6B"/>
    <w:rsid w:val="002225FA"/>
    <w:rsid w:val="002253A1"/>
    <w:rsid w:val="00225CF8"/>
    <w:rsid w:val="0022794E"/>
    <w:rsid w:val="00227AC3"/>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6C1"/>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761"/>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5D53"/>
    <w:rsid w:val="00317988"/>
    <w:rsid w:val="003221B4"/>
    <w:rsid w:val="0032258D"/>
    <w:rsid w:val="00322E62"/>
    <w:rsid w:val="00324D13"/>
    <w:rsid w:val="00324D2A"/>
    <w:rsid w:val="00324EDD"/>
    <w:rsid w:val="003331E4"/>
    <w:rsid w:val="00335E22"/>
    <w:rsid w:val="00336C64"/>
    <w:rsid w:val="00337162"/>
    <w:rsid w:val="0034194F"/>
    <w:rsid w:val="00344605"/>
    <w:rsid w:val="00346735"/>
    <w:rsid w:val="003474AA"/>
    <w:rsid w:val="00350D1D"/>
    <w:rsid w:val="00352C83"/>
    <w:rsid w:val="003615D2"/>
    <w:rsid w:val="003631FA"/>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7E3E"/>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0D20"/>
    <w:rsid w:val="003F23D3"/>
    <w:rsid w:val="003F30C2"/>
    <w:rsid w:val="003F3F08"/>
    <w:rsid w:val="003F49F1"/>
    <w:rsid w:val="003F6272"/>
    <w:rsid w:val="00400E72"/>
    <w:rsid w:val="00401400"/>
    <w:rsid w:val="00404869"/>
    <w:rsid w:val="00405884"/>
    <w:rsid w:val="00407D39"/>
    <w:rsid w:val="0041477A"/>
    <w:rsid w:val="004167A3"/>
    <w:rsid w:val="00432DAA"/>
    <w:rsid w:val="00434305"/>
    <w:rsid w:val="00435DF7"/>
    <w:rsid w:val="00436C90"/>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7148"/>
    <w:rsid w:val="004C1FBC"/>
    <w:rsid w:val="004C3F1D"/>
    <w:rsid w:val="004C458D"/>
    <w:rsid w:val="004C7556"/>
    <w:rsid w:val="004C7E8B"/>
    <w:rsid w:val="004C7E9D"/>
    <w:rsid w:val="004C7F67"/>
    <w:rsid w:val="004D0769"/>
    <w:rsid w:val="004D076D"/>
    <w:rsid w:val="004D0EF1"/>
    <w:rsid w:val="004D2253"/>
    <w:rsid w:val="004D4406"/>
    <w:rsid w:val="004D7C42"/>
    <w:rsid w:val="004E0465"/>
    <w:rsid w:val="004E127B"/>
    <w:rsid w:val="004E1C0A"/>
    <w:rsid w:val="004E2B06"/>
    <w:rsid w:val="004E30C5"/>
    <w:rsid w:val="004E4AA5"/>
    <w:rsid w:val="004E4AEE"/>
    <w:rsid w:val="004E4F1D"/>
    <w:rsid w:val="004E59E3"/>
    <w:rsid w:val="004E67C0"/>
    <w:rsid w:val="004F391A"/>
    <w:rsid w:val="004F3CFB"/>
    <w:rsid w:val="004F6456"/>
    <w:rsid w:val="004F696E"/>
    <w:rsid w:val="004F6C71"/>
    <w:rsid w:val="00500B21"/>
    <w:rsid w:val="00501139"/>
    <w:rsid w:val="0050248D"/>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5E43"/>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31F3"/>
    <w:rsid w:val="0056487B"/>
    <w:rsid w:val="00564FB9"/>
    <w:rsid w:val="00565A6C"/>
    <w:rsid w:val="00573D9E"/>
    <w:rsid w:val="005801E3"/>
    <w:rsid w:val="00581802"/>
    <w:rsid w:val="005836A8"/>
    <w:rsid w:val="0058409C"/>
    <w:rsid w:val="00584262"/>
    <w:rsid w:val="00586630"/>
    <w:rsid w:val="00587ADD"/>
    <w:rsid w:val="00591E27"/>
    <w:rsid w:val="005957E3"/>
    <w:rsid w:val="00596160"/>
    <w:rsid w:val="005966E2"/>
    <w:rsid w:val="00597007"/>
    <w:rsid w:val="00597074"/>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F92"/>
    <w:rsid w:val="005D4171"/>
    <w:rsid w:val="005D6A95"/>
    <w:rsid w:val="005D6B2C"/>
    <w:rsid w:val="005D6D9C"/>
    <w:rsid w:val="005D7DF8"/>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D7646"/>
    <w:rsid w:val="006E23EA"/>
    <w:rsid w:val="006E73A4"/>
    <w:rsid w:val="006F03A8"/>
    <w:rsid w:val="006F2ACA"/>
    <w:rsid w:val="006F2ADC"/>
    <w:rsid w:val="006F2BFE"/>
    <w:rsid w:val="006F31E9"/>
    <w:rsid w:val="006F6284"/>
    <w:rsid w:val="006F72D8"/>
    <w:rsid w:val="007002C5"/>
    <w:rsid w:val="00704387"/>
    <w:rsid w:val="00707669"/>
    <w:rsid w:val="00711CBA"/>
    <w:rsid w:val="00711FB5"/>
    <w:rsid w:val="00712A01"/>
    <w:rsid w:val="00714F58"/>
    <w:rsid w:val="00717698"/>
    <w:rsid w:val="00722FBF"/>
    <w:rsid w:val="00722FC2"/>
    <w:rsid w:val="00724879"/>
    <w:rsid w:val="00724E1B"/>
    <w:rsid w:val="00725949"/>
    <w:rsid w:val="00726CE9"/>
    <w:rsid w:val="00727FA2"/>
    <w:rsid w:val="007322D9"/>
    <w:rsid w:val="00732BC0"/>
    <w:rsid w:val="00734754"/>
    <w:rsid w:val="0073720F"/>
    <w:rsid w:val="00737796"/>
    <w:rsid w:val="0074165C"/>
    <w:rsid w:val="00742C35"/>
    <w:rsid w:val="007432CA"/>
    <w:rsid w:val="007439EB"/>
    <w:rsid w:val="00743CB4"/>
    <w:rsid w:val="00743F0A"/>
    <w:rsid w:val="007444E8"/>
    <w:rsid w:val="0074548E"/>
    <w:rsid w:val="00745773"/>
    <w:rsid w:val="00746800"/>
    <w:rsid w:val="00747FC6"/>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ACE"/>
    <w:rsid w:val="00774DA4"/>
    <w:rsid w:val="00776599"/>
    <w:rsid w:val="007805F9"/>
    <w:rsid w:val="0078114B"/>
    <w:rsid w:val="00781DD2"/>
    <w:rsid w:val="00783ECF"/>
    <w:rsid w:val="0078413A"/>
    <w:rsid w:val="007959E8"/>
    <w:rsid w:val="00795E9C"/>
    <w:rsid w:val="007A0521"/>
    <w:rsid w:val="007A2E12"/>
    <w:rsid w:val="007A3475"/>
    <w:rsid w:val="007A41C8"/>
    <w:rsid w:val="007A54CE"/>
    <w:rsid w:val="007A5CD6"/>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6FB6"/>
    <w:rsid w:val="007F0ED8"/>
    <w:rsid w:val="007F0F63"/>
    <w:rsid w:val="007F75CE"/>
    <w:rsid w:val="008013A4"/>
    <w:rsid w:val="008027CE"/>
    <w:rsid w:val="00802F42"/>
    <w:rsid w:val="00803889"/>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74B5"/>
    <w:rsid w:val="00830621"/>
    <w:rsid w:val="0083348C"/>
    <w:rsid w:val="008373D3"/>
    <w:rsid w:val="00840617"/>
    <w:rsid w:val="00840F84"/>
    <w:rsid w:val="00841CC0"/>
    <w:rsid w:val="00842A47"/>
    <w:rsid w:val="008439BB"/>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820"/>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12B"/>
    <w:rsid w:val="008A57E6"/>
    <w:rsid w:val="008A6F81"/>
    <w:rsid w:val="008A769A"/>
    <w:rsid w:val="008B0199"/>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9BE"/>
    <w:rsid w:val="008F4C29"/>
    <w:rsid w:val="008F70BD"/>
    <w:rsid w:val="008F788F"/>
    <w:rsid w:val="008F7EA2"/>
    <w:rsid w:val="00902722"/>
    <w:rsid w:val="009027BC"/>
    <w:rsid w:val="009062E6"/>
    <w:rsid w:val="00910581"/>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39A1"/>
    <w:rsid w:val="0095496B"/>
    <w:rsid w:val="00955622"/>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1AD3"/>
    <w:rsid w:val="00A00563"/>
    <w:rsid w:val="00A0096C"/>
    <w:rsid w:val="00A01757"/>
    <w:rsid w:val="00A028C0"/>
    <w:rsid w:val="00A02BAE"/>
    <w:rsid w:val="00A062A6"/>
    <w:rsid w:val="00A06A6B"/>
    <w:rsid w:val="00A07E47"/>
    <w:rsid w:val="00A129D0"/>
    <w:rsid w:val="00A12C33"/>
    <w:rsid w:val="00A138BA"/>
    <w:rsid w:val="00A14C8E"/>
    <w:rsid w:val="00A153D9"/>
    <w:rsid w:val="00A15F09"/>
    <w:rsid w:val="00A169B6"/>
    <w:rsid w:val="00A2271D"/>
    <w:rsid w:val="00A237D5"/>
    <w:rsid w:val="00A24AD0"/>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102E"/>
    <w:rsid w:val="00A710E7"/>
    <w:rsid w:val="00A723F8"/>
    <w:rsid w:val="00A7282A"/>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0569"/>
    <w:rsid w:val="00AC15F4"/>
    <w:rsid w:val="00AC27A6"/>
    <w:rsid w:val="00AC30F7"/>
    <w:rsid w:val="00AC3A5A"/>
    <w:rsid w:val="00AC4D95"/>
    <w:rsid w:val="00AC5DF4"/>
    <w:rsid w:val="00AD0AEF"/>
    <w:rsid w:val="00AD11B7"/>
    <w:rsid w:val="00AD1A94"/>
    <w:rsid w:val="00AD1C05"/>
    <w:rsid w:val="00AD2F69"/>
    <w:rsid w:val="00AD4126"/>
    <w:rsid w:val="00AD421C"/>
    <w:rsid w:val="00AD44FA"/>
    <w:rsid w:val="00AE070A"/>
    <w:rsid w:val="00AE101C"/>
    <w:rsid w:val="00AE37E5"/>
    <w:rsid w:val="00AE5EB4"/>
    <w:rsid w:val="00AF0C18"/>
    <w:rsid w:val="00AF47C5"/>
    <w:rsid w:val="00AF5398"/>
    <w:rsid w:val="00B044AA"/>
    <w:rsid w:val="00B049AF"/>
    <w:rsid w:val="00B07242"/>
    <w:rsid w:val="00B10534"/>
    <w:rsid w:val="00B113DB"/>
    <w:rsid w:val="00B11D8A"/>
    <w:rsid w:val="00B12981"/>
    <w:rsid w:val="00B147DD"/>
    <w:rsid w:val="00B156FD"/>
    <w:rsid w:val="00B16DF8"/>
    <w:rsid w:val="00B21F61"/>
    <w:rsid w:val="00B261F1"/>
    <w:rsid w:val="00B265BC"/>
    <w:rsid w:val="00B31FB1"/>
    <w:rsid w:val="00B33952"/>
    <w:rsid w:val="00B33C5E"/>
    <w:rsid w:val="00B342F4"/>
    <w:rsid w:val="00B34369"/>
    <w:rsid w:val="00B34DC2"/>
    <w:rsid w:val="00B378E5"/>
    <w:rsid w:val="00B4346D"/>
    <w:rsid w:val="00B440F4"/>
    <w:rsid w:val="00B444A0"/>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1DF2"/>
    <w:rsid w:val="00BC4790"/>
    <w:rsid w:val="00BC5DC7"/>
    <w:rsid w:val="00BC6B8B"/>
    <w:rsid w:val="00BC73D8"/>
    <w:rsid w:val="00BD1E0D"/>
    <w:rsid w:val="00BD52D7"/>
    <w:rsid w:val="00BD5AD2"/>
    <w:rsid w:val="00BE22F3"/>
    <w:rsid w:val="00BE5B52"/>
    <w:rsid w:val="00BE7B8D"/>
    <w:rsid w:val="00BF0993"/>
    <w:rsid w:val="00BF10A9"/>
    <w:rsid w:val="00BF1703"/>
    <w:rsid w:val="00BF231C"/>
    <w:rsid w:val="00BF51E5"/>
    <w:rsid w:val="00BF74A6"/>
    <w:rsid w:val="00C013AD"/>
    <w:rsid w:val="00C028C4"/>
    <w:rsid w:val="00C04904"/>
    <w:rsid w:val="00C056B3"/>
    <w:rsid w:val="00C103E5"/>
    <w:rsid w:val="00C13319"/>
    <w:rsid w:val="00C13EE9"/>
    <w:rsid w:val="00C211A5"/>
    <w:rsid w:val="00C21540"/>
    <w:rsid w:val="00C21906"/>
    <w:rsid w:val="00C21BFA"/>
    <w:rsid w:val="00C22148"/>
    <w:rsid w:val="00C24C8D"/>
    <w:rsid w:val="00C25FE2"/>
    <w:rsid w:val="00C26B53"/>
    <w:rsid w:val="00C279B2"/>
    <w:rsid w:val="00C33E50"/>
    <w:rsid w:val="00C34C20"/>
    <w:rsid w:val="00C35A3E"/>
    <w:rsid w:val="00C37EAA"/>
    <w:rsid w:val="00C42130"/>
    <w:rsid w:val="00C423A4"/>
    <w:rsid w:val="00C44BF5"/>
    <w:rsid w:val="00C47CD0"/>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089"/>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514"/>
    <w:rsid w:val="00CE0C4F"/>
    <w:rsid w:val="00CE30EA"/>
    <w:rsid w:val="00CF048A"/>
    <w:rsid w:val="00CF155A"/>
    <w:rsid w:val="00CF2947"/>
    <w:rsid w:val="00CF686F"/>
    <w:rsid w:val="00CF6E60"/>
    <w:rsid w:val="00CF7BCA"/>
    <w:rsid w:val="00D008FD"/>
    <w:rsid w:val="00D0321C"/>
    <w:rsid w:val="00D035EC"/>
    <w:rsid w:val="00D06AB1"/>
    <w:rsid w:val="00D06C27"/>
    <w:rsid w:val="00D072ED"/>
    <w:rsid w:val="00D07A16"/>
    <w:rsid w:val="00D1067E"/>
    <w:rsid w:val="00D10F50"/>
    <w:rsid w:val="00D11272"/>
    <w:rsid w:val="00D126F5"/>
    <w:rsid w:val="00D1489E"/>
    <w:rsid w:val="00D20737"/>
    <w:rsid w:val="00D21E81"/>
    <w:rsid w:val="00D223DE"/>
    <w:rsid w:val="00D25E37"/>
    <w:rsid w:val="00D2661A"/>
    <w:rsid w:val="00D27582"/>
    <w:rsid w:val="00D27905"/>
    <w:rsid w:val="00D27EC4"/>
    <w:rsid w:val="00D32719"/>
    <w:rsid w:val="00D33333"/>
    <w:rsid w:val="00D33457"/>
    <w:rsid w:val="00D352A2"/>
    <w:rsid w:val="00D3660F"/>
    <w:rsid w:val="00D4162B"/>
    <w:rsid w:val="00D4514F"/>
    <w:rsid w:val="00D451E2"/>
    <w:rsid w:val="00D45370"/>
    <w:rsid w:val="00D45E89"/>
    <w:rsid w:val="00D45E8D"/>
    <w:rsid w:val="00D466AE"/>
    <w:rsid w:val="00D4734F"/>
    <w:rsid w:val="00D51BF3"/>
    <w:rsid w:val="00D62A30"/>
    <w:rsid w:val="00D66846"/>
    <w:rsid w:val="00D675FB"/>
    <w:rsid w:val="00D71F25"/>
    <w:rsid w:val="00D72A9C"/>
    <w:rsid w:val="00D77031"/>
    <w:rsid w:val="00D802EE"/>
    <w:rsid w:val="00D830D3"/>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2AD4"/>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1E17"/>
    <w:rsid w:val="00DF44DE"/>
    <w:rsid w:val="00DF4A67"/>
    <w:rsid w:val="00DF5F11"/>
    <w:rsid w:val="00E01138"/>
    <w:rsid w:val="00E02DFB"/>
    <w:rsid w:val="00E030F9"/>
    <w:rsid w:val="00E0311A"/>
    <w:rsid w:val="00E03138"/>
    <w:rsid w:val="00E038EC"/>
    <w:rsid w:val="00E0571E"/>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5FB3"/>
    <w:rsid w:val="00EE613F"/>
    <w:rsid w:val="00EE7295"/>
    <w:rsid w:val="00EE7869"/>
    <w:rsid w:val="00EF054A"/>
    <w:rsid w:val="00EF3235"/>
    <w:rsid w:val="00EF7E72"/>
    <w:rsid w:val="00F06D37"/>
    <w:rsid w:val="00F07B9D"/>
    <w:rsid w:val="00F11586"/>
    <w:rsid w:val="00F1183B"/>
    <w:rsid w:val="00F11C9F"/>
    <w:rsid w:val="00F12263"/>
    <w:rsid w:val="00F13B92"/>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3ADD"/>
    <w:rsid w:val="00F84FD0"/>
    <w:rsid w:val="00F859A8"/>
    <w:rsid w:val="00F86D87"/>
    <w:rsid w:val="00F9108B"/>
    <w:rsid w:val="00F91349"/>
    <w:rsid w:val="00F93A8A"/>
    <w:rsid w:val="00F95248"/>
    <w:rsid w:val="00F956A9"/>
    <w:rsid w:val="00F963ED"/>
    <w:rsid w:val="00F966CF"/>
    <w:rsid w:val="00F96CAE"/>
    <w:rsid w:val="00F97C99"/>
    <w:rsid w:val="00FA1E37"/>
    <w:rsid w:val="00FA4DAC"/>
    <w:rsid w:val="00FA662D"/>
    <w:rsid w:val="00FA73B1"/>
    <w:rsid w:val="00FB0CB9"/>
    <w:rsid w:val="00FB231D"/>
    <w:rsid w:val="00FB343A"/>
    <w:rsid w:val="00FB45F1"/>
    <w:rsid w:val="00FB4A72"/>
    <w:rsid w:val="00FB54E8"/>
    <w:rsid w:val="00FB7054"/>
    <w:rsid w:val="00FC17B7"/>
    <w:rsid w:val="00FC2CB7"/>
    <w:rsid w:val="00FC4090"/>
    <w:rsid w:val="00FC55B4"/>
    <w:rsid w:val="00FC71A4"/>
    <w:rsid w:val="00FD00E6"/>
    <w:rsid w:val="00FD09A1"/>
    <w:rsid w:val="00FD2A7C"/>
    <w:rsid w:val="00FD59EB"/>
    <w:rsid w:val="00FD5FCE"/>
    <w:rsid w:val="00FD7299"/>
    <w:rsid w:val="00FE1FBE"/>
    <w:rsid w:val="00FE3901"/>
    <w:rsid w:val="00FE39D3"/>
    <w:rsid w:val="00FE4BCE"/>
    <w:rsid w:val="00FE54AE"/>
    <w:rsid w:val="00FE576A"/>
    <w:rsid w:val="00FE7E79"/>
    <w:rsid w:val="00FF3BDD"/>
    <w:rsid w:val="00FF3E7D"/>
    <w:rsid w:val="00FF5B99"/>
    <w:rsid w:val="00FF730C"/>
    <w:rsid w:val="00FF73F4"/>
    <w:rsid w:val="00FF7CE4"/>
    <w:rsid w:val="00FF7E39"/>
    <w:rsid w:val="4A402A97"/>
    <w:rsid w:val="681651BA"/>
    <w:rsid w:val="75FD2F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ind w:left="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5E2FA65F6EE4E8A942778FCFAB3691D"/>
        <w:style w:val=""/>
        <w:category>
          <w:name w:val="常规"/>
          <w:gallery w:val="placeholder"/>
        </w:category>
        <w:types>
          <w:type w:val="bbPlcHdr"/>
        </w:types>
        <w:behaviors>
          <w:behavior w:val="content"/>
        </w:behaviors>
        <w:description w:val=""/>
        <w:guid w:val="{18B6BC36-09F3-4AFE-BD26-4880353BAA86}"/>
      </w:docPartPr>
      <w:docPartBody>
        <w:p>
          <w:pPr>
            <w:pStyle w:val="5"/>
          </w:pPr>
          <w:r>
            <w:rPr>
              <w:rStyle w:val="4"/>
              <w:rFonts w:hint="eastAsia"/>
            </w:rPr>
            <w:t>单击或点击此处输入文字。</w:t>
          </w:r>
        </w:p>
      </w:docPartBody>
    </w:docPart>
    <w:docPart>
      <w:docPartPr>
        <w:name w:val="C626C5BA1350452B96FF5CCA0F81AB65"/>
        <w:style w:val=""/>
        <w:category>
          <w:name w:val="常规"/>
          <w:gallery w:val="placeholder"/>
        </w:category>
        <w:types>
          <w:type w:val="bbPlcHdr"/>
        </w:types>
        <w:behaviors>
          <w:behavior w:val="content"/>
        </w:behaviors>
        <w:description w:val=""/>
        <w:guid w:val="{D53B689E-9387-4E96-97CF-25FDBE2361BA}"/>
      </w:docPartPr>
      <w:docPartBody>
        <w:p>
          <w:pPr>
            <w:pStyle w:val="6"/>
          </w:pPr>
          <w:r>
            <w:rPr>
              <w:rStyle w:val="4"/>
              <w:rFonts w:hint="eastAsia"/>
            </w:rPr>
            <w:t>选择一项。</w:t>
          </w:r>
        </w:p>
      </w:docPartBody>
    </w:docPart>
    <w:docPart>
      <w:docPartPr>
        <w:name w:val="F9DC43C29C8B4BD1851E348D43898303"/>
        <w:style w:val=""/>
        <w:category>
          <w:name w:val="常规"/>
          <w:gallery w:val="placeholder"/>
        </w:category>
        <w:types>
          <w:type w:val="bbPlcHdr"/>
        </w:types>
        <w:behaviors>
          <w:behavior w:val="content"/>
        </w:behaviors>
        <w:description w:val=""/>
        <w:guid w:val="{6F62BD42-2908-4296-A079-9C336750FDC5}"/>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B9D"/>
    <w:rsid w:val="0000752D"/>
    <w:rsid w:val="0017545C"/>
    <w:rsid w:val="001D2CE0"/>
    <w:rsid w:val="003C4981"/>
    <w:rsid w:val="00542777"/>
    <w:rsid w:val="00713B9D"/>
    <w:rsid w:val="008C714D"/>
    <w:rsid w:val="009D630C"/>
    <w:rsid w:val="00B310B4"/>
    <w:rsid w:val="00C31123"/>
    <w:rsid w:val="00CD05A3"/>
    <w:rsid w:val="00D17534"/>
    <w:rsid w:val="00EC2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45E2FA65F6EE4E8A942778FCFAB3691D"/>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C626C5BA1350452B96FF5CCA0F81AB65"/>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F9DC43C29C8B4BD1851E348D43898303"/>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5ABAA7-7CE8-426A-A8D0-F687C8C45B65}">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8</Pages>
  <Words>2107</Words>
  <Characters>2553</Characters>
  <Lines>31</Lines>
  <Paragraphs>8</Paragraphs>
  <TotalTime>192</TotalTime>
  <ScaleCrop>false</ScaleCrop>
  <LinksUpToDate>false</LinksUpToDate>
  <CharactersWithSpaces>2757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2024-04-02T13:58:00Z</dcterms:created>
  <dc:creator>吴乐</dc:creator>
  <dc:description>&lt;config cover="true" show_menu="true" version="1.0.0" doctype="SDKXY"&gt;_x000d_
&lt;/config&gt;</dc:description>
  <cp:lastModifiedBy>YY</cp:lastModifiedBy>
  <cp:lastPrinted>2020-08-30T10:00:00Z</cp:lastPrinted>
  <dcterms:modified xsi:type="dcterms:W3CDTF">2024-06-24T08:21:47Z</dcterms:modified>
  <dc:title>地方标准</dc:title>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3F4249E01F0F40FE8513AAB21A45FE50_12</vt:lpwstr>
  </property>
</Properties>
</file>