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65.020.01</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B</w:t>
            </w:r>
            <w:r>
              <w:rPr>
                <w:rFonts w:hint="eastAsia" w:ascii="黑体" w:hAnsi="黑体" w:eastAsia="黑体"/>
                <w:sz w:val="21"/>
                <w:szCs w:val="21"/>
                <w:lang w:val="en-US" w:eastAsia="zh-CN"/>
              </w:rPr>
              <w:t xml:space="preserve"> 60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XX</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包头市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1502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包头地区湿地植被碳储量计量标准</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Measuring standard </w:t>
      </w:r>
      <w:r>
        <w:rPr>
          <w:rFonts w:hint="eastAsia" w:ascii="黑体" w:hAnsi="黑体" w:eastAsia="黑体"/>
          <w:szCs w:val="28"/>
        </w:rPr>
        <w:t>for</w:t>
      </w:r>
      <w:r>
        <w:rPr>
          <w:rFonts w:ascii="黑体" w:hAnsi="黑体" w:eastAsia="黑体"/>
          <w:szCs w:val="28"/>
        </w:rPr>
        <w:t xml:space="preserve"> </w:t>
      </w:r>
      <w:r>
        <w:rPr>
          <w:rFonts w:hint="eastAsia" w:ascii="黑体" w:hAnsi="黑体" w:eastAsia="黑体"/>
          <w:szCs w:val="28"/>
        </w:rPr>
        <w:t>wetland</w:t>
      </w:r>
      <w:r>
        <w:rPr>
          <w:rFonts w:ascii="黑体" w:hAnsi="黑体" w:eastAsia="黑体"/>
          <w:szCs w:val="28"/>
        </w:rPr>
        <w:t xml:space="preserve"> vegetation carbon storage </w:t>
      </w:r>
      <w:r>
        <w:rPr>
          <w:rFonts w:hint="eastAsia" w:ascii="黑体" w:hAnsi="黑体" w:eastAsia="黑体"/>
          <w:szCs w:val="28"/>
        </w:rPr>
        <w:t>in</w:t>
      </w:r>
      <w:r>
        <w:rPr>
          <w:rFonts w:ascii="黑体" w:hAnsi="黑体" w:eastAsia="黑体"/>
          <w:szCs w:val="28"/>
        </w:rPr>
        <w:t xml:space="preserve"> B</w:t>
      </w:r>
      <w:r>
        <w:rPr>
          <w:rFonts w:hint="eastAsia" w:ascii="黑体" w:hAnsi="黑体" w:eastAsia="黑体"/>
          <w:szCs w:val="28"/>
        </w:rPr>
        <w:t>aotou</w:t>
      </w:r>
      <w:r>
        <w:rPr>
          <w:rFonts w:ascii="黑体" w:hAnsi="黑体" w:eastAsia="黑体"/>
          <w:szCs w:val="28"/>
        </w:rPr>
        <w:t xml:space="preserve"> </w:t>
      </w:r>
      <w:r>
        <w:rPr>
          <w:rFonts w:hint="eastAsia" w:ascii="黑体" w:hAnsi="黑体" w:eastAsia="黑体"/>
          <w:szCs w:val="28"/>
        </w:rPr>
        <w:t>area</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包头市市场监督管理局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75" w:name="_GoBack"/>
      <w:bookmarkEnd w:id="75"/>
      <w:bookmarkStart w:id="21" w:name="BookMark1"/>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"_Toc168520263" </w:instrText>
      </w:r>
      <w:r>
        <w:fldChar w:fldCharType="separate"/>
      </w:r>
      <w:r>
        <w:rPr>
          <w:rStyle w:val="32"/>
        </w:rPr>
        <w:t>前言</w:t>
      </w:r>
      <w:r>
        <w:tab/>
      </w:r>
      <w:r>
        <w:fldChar w:fldCharType="begin"/>
      </w:r>
      <w:r>
        <w:instrText xml:space="preserve"> PAGEREF _Toc168520263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"_Toc168520264" </w:instrText>
      </w:r>
      <w:r>
        <w:fldChar w:fldCharType="separate"/>
      </w:r>
      <w:r>
        <w:rPr>
          <w:rStyle w:val="32"/>
        </w:rPr>
        <w:t>1  范围</w:t>
      </w:r>
      <w:r>
        <w:tab/>
      </w:r>
      <w:r>
        <w:fldChar w:fldCharType="begin"/>
      </w:r>
      <w:r>
        <w:instrText xml:space="preserve"> PAGEREF _Toc168520264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"_Toc168520265" </w:instrText>
      </w:r>
      <w:r>
        <w:fldChar w:fldCharType="separate"/>
      </w:r>
      <w:r>
        <w:rPr>
          <w:rStyle w:val="32"/>
        </w:rPr>
        <w:t>2  规范性引用文件</w:t>
      </w:r>
      <w:r>
        <w:tab/>
      </w:r>
      <w:r>
        <w:fldChar w:fldCharType="begin"/>
      </w:r>
      <w:r>
        <w:instrText xml:space="preserve"> PAGEREF _Toc168520265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"_Toc168520266" </w:instrText>
      </w:r>
      <w:r>
        <w:fldChar w:fldCharType="separate"/>
      </w:r>
      <w:r>
        <w:rPr>
          <w:rStyle w:val="32"/>
        </w:rPr>
        <w:t>3  术语和定义</w:t>
      </w:r>
      <w:r>
        <w:tab/>
      </w:r>
      <w:r>
        <w:fldChar w:fldCharType="begin"/>
      </w:r>
      <w:r>
        <w:instrText xml:space="preserve"> PAGEREF _Toc168520266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"_Toc168520267" </w:instrText>
      </w:r>
      <w:r>
        <w:fldChar w:fldCharType="separate"/>
      </w:r>
      <w:r>
        <w:rPr>
          <w:rStyle w:val="32"/>
        </w:rPr>
        <w:t>4  计量对象</w:t>
      </w:r>
      <w:r>
        <w:tab/>
      </w:r>
      <w:r>
        <w:fldChar w:fldCharType="begin"/>
      </w:r>
      <w:r>
        <w:instrText xml:space="preserve"> PAGEREF _Toc168520267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"_Toc168520268" </w:instrText>
      </w:r>
      <w:r>
        <w:fldChar w:fldCharType="separate"/>
      </w:r>
      <w:r>
        <w:rPr>
          <w:rStyle w:val="32"/>
        </w:rPr>
        <w:t>5  计量内容</w:t>
      </w:r>
      <w:r>
        <w:tab/>
      </w:r>
      <w:r>
        <w:fldChar w:fldCharType="begin"/>
      </w:r>
      <w:r>
        <w:instrText xml:space="preserve"> PAGEREF _Toc168520268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"_Toc168520269" </w:instrText>
      </w:r>
      <w:r>
        <w:fldChar w:fldCharType="separate"/>
      </w:r>
      <w:r>
        <w:rPr>
          <w:rStyle w:val="32"/>
        </w:rPr>
        <w:t>6  计量方法</w:t>
      </w:r>
      <w:r>
        <w:tab/>
      </w:r>
      <w:r>
        <w:fldChar w:fldCharType="begin"/>
      </w:r>
      <w:r>
        <w:instrText xml:space="preserve"> PAGEREF _Toc168520269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"_Toc168520270" </w:instrText>
      </w:r>
      <w:r>
        <w:fldChar w:fldCharType="separate"/>
      </w:r>
      <w:r>
        <w:rPr>
          <w:rStyle w:val="32"/>
          <w14:scene3d>
            <w14:lightRig w14:rig="threePt" w14:dir="t">
              <w14:rot w14:lat="0" w14:lon="0" w14:rev="0"/>
            </w14:lightRig>
          </w14:scene3d>
        </w:rPr>
        <w:t xml:space="preserve">6.1 </w:t>
      </w:r>
      <w:r>
        <w:rPr>
          <w:rStyle w:val="32"/>
        </w:rPr>
        <w:t xml:space="preserve"> 调查取样与测定</w:t>
      </w:r>
      <w:r>
        <w:tab/>
      </w:r>
      <w:r>
        <w:fldChar w:fldCharType="begin"/>
      </w:r>
      <w:r>
        <w:instrText xml:space="preserve"> PAGEREF _Toc168520270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"_Toc168520271" </w:instrText>
      </w:r>
      <w:r>
        <w:fldChar w:fldCharType="separate"/>
      </w:r>
      <w:r>
        <w:rPr>
          <w:rStyle w:val="32"/>
          <w14:scene3d>
            <w14:lightRig w14:rig="threePt" w14:dir="t">
              <w14:rot w14:lat="0" w14:lon="0" w14:rev="0"/>
            </w14:lightRig>
          </w14:scene3d>
        </w:rPr>
        <w:t xml:space="preserve">6.2 </w:t>
      </w:r>
      <w:r>
        <w:rPr>
          <w:rStyle w:val="32"/>
        </w:rPr>
        <w:t xml:space="preserve"> 碳储量计量</w:t>
      </w:r>
      <w:r>
        <w:tab/>
      </w:r>
      <w:r>
        <w:fldChar w:fldCharType="begin"/>
      </w:r>
      <w:r>
        <w:instrText xml:space="preserve"> PAGEREF _Toc168520271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"_Toc168520272" </w:instrText>
      </w:r>
      <w:r>
        <w:fldChar w:fldCharType="separate"/>
      </w:r>
      <w:r>
        <w:rPr>
          <w:rStyle w:val="32"/>
          <w14:scene3d>
            <w14:lightRig w14:rig="threePt" w14:dir="t">
              <w14:rot w14:lat="0" w14:lon="0" w14:rev="0"/>
            </w14:lightRig>
          </w14:scene3d>
        </w:rPr>
        <w:t xml:space="preserve">6.3 </w:t>
      </w:r>
      <w:r>
        <w:rPr>
          <w:rStyle w:val="32"/>
        </w:rPr>
        <w:t xml:space="preserve"> 单位面积碳储量</w:t>
      </w:r>
      <w:r>
        <w:tab/>
      </w:r>
      <w:r>
        <w:fldChar w:fldCharType="begin"/>
      </w:r>
      <w:r>
        <w:instrText xml:space="preserve"> PAGEREF _Toc168520272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"_Toc168520273" </w:instrText>
      </w:r>
      <w:r>
        <w:fldChar w:fldCharType="separate"/>
      </w:r>
      <w:r>
        <w:rPr>
          <w:rStyle w:val="32"/>
          <w14:scene3d>
            <w14:lightRig w14:rig="threePt" w14:dir="t">
              <w14:rot w14:lat="0" w14:lon="0" w14:rev="0"/>
            </w14:lightRig>
          </w14:scene3d>
        </w:rPr>
        <w:t xml:space="preserve">6.4 </w:t>
      </w:r>
      <w:r>
        <w:rPr>
          <w:rStyle w:val="32"/>
        </w:rPr>
        <w:t xml:space="preserve"> 灌木层碳储量</w:t>
      </w:r>
      <w:r>
        <w:tab/>
      </w:r>
      <w:r>
        <w:fldChar w:fldCharType="begin"/>
      </w:r>
      <w:r>
        <w:instrText xml:space="preserve"> PAGEREF _Toc168520273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"_Toc168520274" </w:instrText>
      </w:r>
      <w:r>
        <w:fldChar w:fldCharType="separate"/>
      </w:r>
      <w:r>
        <w:rPr>
          <w:rStyle w:val="32"/>
          <w14:scene3d>
            <w14:lightRig w14:rig="threePt" w14:dir="t">
              <w14:rot w14:lat="0" w14:lon="0" w14:rev="0"/>
            </w14:lightRig>
          </w14:scene3d>
        </w:rPr>
        <w:t xml:space="preserve">6.5 </w:t>
      </w:r>
      <w:r>
        <w:rPr>
          <w:rStyle w:val="32"/>
        </w:rPr>
        <w:t xml:space="preserve"> 草本层碳储量</w:t>
      </w:r>
      <w:r>
        <w:tab/>
      </w:r>
      <w:r>
        <w:fldChar w:fldCharType="begin"/>
      </w:r>
      <w:r>
        <w:instrText xml:space="preserve"> PAGEREF _Toc168520274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"_Toc168520275" </w:instrText>
      </w:r>
      <w:r>
        <w:fldChar w:fldCharType="separate"/>
      </w:r>
      <w:r>
        <w:rPr>
          <w:rStyle w:val="32"/>
          <w14:scene3d>
            <w14:lightRig w14:rig="threePt" w14:dir="t">
              <w14:rot w14:lat="0" w14:lon="0" w14:rev="0"/>
            </w14:lightRig>
          </w14:scene3d>
        </w:rPr>
        <w:t xml:space="preserve">6.6 </w:t>
      </w:r>
      <w:r>
        <w:rPr>
          <w:rStyle w:val="32"/>
        </w:rPr>
        <w:t xml:space="preserve"> 枯落物层碳储量</w:t>
      </w:r>
      <w:r>
        <w:tab/>
      </w:r>
      <w:r>
        <w:fldChar w:fldCharType="begin"/>
      </w:r>
      <w:r>
        <w:instrText xml:space="preserve"> PAGEREF _Toc168520275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"_Toc168520276" </w:instrText>
      </w:r>
      <w:r>
        <w:fldChar w:fldCharType="separate"/>
      </w:r>
      <w:r>
        <w:rPr>
          <w:rStyle w:val="32"/>
          <w14:scene3d>
            <w14:lightRig w14:rig="threePt" w14:dir="t">
              <w14:rot w14:lat="0" w14:lon="0" w14:rev="0"/>
            </w14:lightRig>
          </w14:scene3d>
        </w:rPr>
        <w:t xml:space="preserve">6.7 </w:t>
      </w:r>
      <w:r>
        <w:rPr>
          <w:rStyle w:val="32"/>
        </w:rPr>
        <w:t xml:space="preserve"> 土壤有机碳密度</w:t>
      </w:r>
      <w:r>
        <w:tab/>
      </w:r>
      <w:r>
        <w:fldChar w:fldCharType="begin"/>
      </w:r>
      <w:r>
        <w:instrText xml:space="preserve"> PAGEREF _Toc168520276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"_Toc168520277" </w:instrText>
      </w:r>
      <w:r>
        <w:fldChar w:fldCharType="separate"/>
      </w:r>
      <w:r>
        <w:rPr>
          <w:rStyle w:val="32"/>
        </w:rPr>
        <w:t>附录A（资料性）  包头地区湿地各碳层本地参数</w:t>
      </w:r>
      <w:r>
        <w:tab/>
      </w:r>
      <w:r>
        <w:fldChar w:fldCharType="begin"/>
      </w:r>
      <w:r>
        <w:instrText xml:space="preserve"> PAGEREF _Toc168520277 \h </w:instrText>
      </w:r>
      <w:r>
        <w:fldChar w:fldCharType="separate"/>
      </w:r>
      <w:r>
        <w:t>4</w:t>
      </w:r>
      <w:r>
        <w:fldChar w:fldCharType="end"/>
      </w:r>
      <w:r>
        <w:fldChar w:fldCharType="end"/>
      </w:r>
    </w:p>
    <w:p>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2" w:name="_Toc168520263"/>
      <w:bookmarkStart w:id="23" w:name="BookMark2"/>
      <w:r>
        <w:rPr>
          <w:spacing w:val="320"/>
        </w:rPr>
        <w:t>前</w:t>
      </w:r>
      <w:r>
        <w:t>言</w:t>
      </w:r>
      <w:bookmarkEnd w:id="22"/>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本文件由包头市林业和草原局提出并归口。</w:t>
      </w:r>
    </w:p>
    <w:p>
      <w:pPr>
        <w:pStyle w:val="56"/>
        <w:ind w:firstLine="420"/>
        <w:rPr>
          <w:rFonts w:hint="eastAsia" w:eastAsia="宋体"/>
          <w:lang w:eastAsia="zh-CN"/>
        </w:rPr>
      </w:pPr>
      <w:r>
        <w:rPr>
          <w:rFonts w:hint="eastAsia"/>
        </w:rPr>
        <w:t>本文件起草单位：内蒙古农业大学、包头市林业和草原工作站、包头市湿地保护中心、包头市林业和草原局、东河区阿善国有林场</w:t>
      </w:r>
      <w:r>
        <w:rPr>
          <w:rFonts w:hint="eastAsia"/>
          <w:lang w:eastAsia="zh-CN"/>
        </w:rPr>
        <w:t>。</w:t>
      </w:r>
    </w:p>
    <w:p>
      <w:pPr>
        <w:pStyle w:val="56"/>
        <w:ind w:firstLine="420"/>
      </w:pPr>
      <w:r>
        <w:rPr>
          <w:rFonts w:hint="eastAsia"/>
        </w:rPr>
        <w:t>本文件主要起草人：冀鹏浩、高润红、张瑞、杨文静、郝静颐、刘瑞龙、吴乐、韩淑敏、李茂森、张文英、冯小东、吕整荣、姚瑶、杜娟、陈晓青、范雪娇。</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45E2FA65F6EE4E8A942778FCFAB3691D"/>
        </w:placeholder>
      </w:sdtPr>
      <w:sdtContent>
        <w:p>
          <w:pPr>
            <w:pStyle w:val="177"/>
            <w:spacing w:before="3" w:beforeLines="1" w:after="686" w:afterLines="220"/>
          </w:pPr>
          <w:bookmarkStart w:id="25" w:name="NEW_STAND_NAME"/>
          <w:r>
            <w:rPr>
              <w:rFonts w:hint="eastAsia"/>
            </w:rPr>
            <w:t>包头地区湿地植被碳储量计量标准</w:t>
          </w:r>
        </w:p>
      </w:sdtContent>
    </w:sdt>
    <w:bookmarkEnd w:id="25"/>
    <w:p>
      <w:pPr>
        <w:pStyle w:val="104"/>
        <w:spacing w:before="312" w:after="312"/>
      </w:pPr>
      <w:bookmarkStart w:id="26" w:name="_Toc26986530"/>
      <w:bookmarkStart w:id="27" w:name="_Toc17233325"/>
      <w:bookmarkStart w:id="28" w:name="_Toc24884218"/>
      <w:bookmarkStart w:id="29" w:name="_Toc163049235"/>
      <w:bookmarkStart w:id="30" w:name="_Toc26986771"/>
      <w:bookmarkStart w:id="31" w:name="_Toc26718930"/>
      <w:bookmarkStart w:id="32" w:name="_Toc24884211"/>
      <w:bookmarkStart w:id="33" w:name="_Toc17233333"/>
      <w:bookmarkStart w:id="34" w:name="_Toc168520264"/>
      <w:bookmarkStart w:id="35" w:name="_Toc97191423"/>
      <w:bookmarkStart w:id="36" w:name="_Toc26648465"/>
      <w:r>
        <w:rPr>
          <w:rFonts w:hint="eastAsia"/>
        </w:rPr>
        <w:t>范围</w:t>
      </w:r>
      <w:bookmarkEnd w:id="26"/>
      <w:bookmarkEnd w:id="27"/>
      <w:bookmarkEnd w:id="28"/>
      <w:bookmarkEnd w:id="29"/>
      <w:bookmarkEnd w:id="30"/>
      <w:bookmarkEnd w:id="31"/>
      <w:bookmarkEnd w:id="32"/>
      <w:bookmarkEnd w:id="33"/>
      <w:bookmarkEnd w:id="34"/>
      <w:bookmarkEnd w:id="35"/>
      <w:bookmarkEnd w:id="36"/>
    </w:p>
    <w:p>
      <w:pPr>
        <w:pStyle w:val="56"/>
        <w:ind w:firstLine="420"/>
      </w:pPr>
      <w:bookmarkStart w:id="37" w:name="_Toc17233334"/>
      <w:bookmarkStart w:id="38" w:name="_Toc17233326"/>
      <w:bookmarkStart w:id="39" w:name="_Toc24884212"/>
      <w:bookmarkStart w:id="40" w:name="_Toc24884219"/>
      <w:bookmarkStart w:id="41" w:name="_Toc26648466"/>
      <w:r>
        <w:rPr>
          <w:rFonts w:hint="eastAsia"/>
        </w:rPr>
        <w:t>本文件规定了包头地区湿地植被碳储量的计量对象、计量内容、计量方法与相关要求。</w:t>
      </w:r>
    </w:p>
    <w:p>
      <w:pPr>
        <w:pStyle w:val="56"/>
        <w:ind w:firstLine="420"/>
      </w:pPr>
      <w:r>
        <w:rPr>
          <w:rFonts w:hint="eastAsia"/>
        </w:rPr>
        <w:t>本文件适用于包头地区湿地植被生物量、含碳率和碳储量的计量核算。</w:t>
      </w:r>
    </w:p>
    <w:p>
      <w:pPr>
        <w:pStyle w:val="104"/>
        <w:spacing w:before="312" w:after="312"/>
      </w:pPr>
      <w:bookmarkStart w:id="42" w:name="_Toc26718931"/>
      <w:bookmarkStart w:id="43" w:name="_Toc26986531"/>
      <w:bookmarkStart w:id="44" w:name="_Toc26986772"/>
      <w:bookmarkStart w:id="45" w:name="_Toc168520265"/>
      <w:bookmarkStart w:id="46" w:name="_Toc163049236"/>
      <w:bookmarkStart w:id="47" w:name="_Toc97191424"/>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C626C5BA1350452B96FF5CCA0F81AB6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D</w:t>
      </w:r>
      <w:r>
        <w:t xml:space="preserve">B 1502/T 024 </w:t>
      </w:r>
      <w:r>
        <w:rPr>
          <w:rFonts w:hint="eastAsia"/>
        </w:rPr>
        <w:t>湿地植被碳汇调查与监测技术规程</w:t>
      </w:r>
    </w:p>
    <w:p>
      <w:pPr>
        <w:pStyle w:val="104"/>
        <w:spacing w:before="312" w:after="312"/>
      </w:pPr>
      <w:bookmarkStart w:id="48" w:name="_Toc97191425"/>
      <w:bookmarkStart w:id="49" w:name="_Toc163049237"/>
      <w:bookmarkStart w:id="50" w:name="_Toc168520266"/>
      <w:r>
        <w:rPr>
          <w:rFonts w:hint="eastAsia"/>
          <w:szCs w:val="21"/>
        </w:rPr>
        <w:t>术语和定义</w:t>
      </w:r>
      <w:bookmarkEnd w:id="48"/>
      <w:bookmarkEnd w:id="49"/>
      <w:bookmarkEnd w:id="50"/>
    </w:p>
    <w:sdt>
      <w:sdtPr>
        <w:id w:val="-1909835108"/>
        <w:placeholder>
          <w:docPart w:val="F9DC43C29C8B4BD1851E348D4389830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1" w:name="_Toc26986532"/>
          <w:bookmarkEnd w:id="51"/>
          <w: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湿地植被碳储量 forest carbon storage</w:t>
      </w:r>
    </w:p>
    <w:p>
      <w:pPr>
        <w:pStyle w:val="56"/>
        <w:ind w:firstLine="420"/>
      </w:pPr>
      <w:r>
        <w:rPr>
          <w:rFonts w:hint="eastAsia"/>
        </w:rPr>
        <w:t>在特定时间内保留在湿地植被碳库中碳的质量。</w:t>
      </w:r>
    </w:p>
    <w:p>
      <w:pPr>
        <w:pStyle w:val="223"/>
        <w:ind w:left="420" w:hanging="420" w:hangingChars="200"/>
        <w:rPr>
          <w:rFonts w:ascii="黑体" w:hAnsi="黑体" w:eastAsia="黑体"/>
        </w:rPr>
      </w:pPr>
    </w:p>
    <w:p>
      <w:pPr>
        <w:pStyle w:val="223"/>
        <w:numPr>
          <w:ilvl w:val="0"/>
          <w:numId w:val="0"/>
        </w:numPr>
        <w:ind w:left="420"/>
        <w:rPr>
          <w:rFonts w:ascii="黑体" w:hAnsi="黑体" w:eastAsia="黑体"/>
        </w:rPr>
      </w:pPr>
      <w:r>
        <w:rPr>
          <w:rFonts w:hint="eastAsia" w:ascii="黑体" w:hAnsi="黑体" w:eastAsia="黑体"/>
        </w:rPr>
        <w:t>生物量 biomass</w:t>
      </w:r>
    </w:p>
    <w:p>
      <w:pPr>
        <w:pStyle w:val="56"/>
        <w:ind w:firstLine="420"/>
      </w:pPr>
      <w:r>
        <w:rPr>
          <w:rFonts w:hint="eastAsia"/>
        </w:rPr>
        <w:t>单位面积内所有植物种群的总干物质重量。　</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含碳率 carbon content</w:t>
      </w:r>
    </w:p>
    <w:p>
      <w:pPr>
        <w:pStyle w:val="56"/>
        <w:ind w:firstLine="420"/>
      </w:pPr>
      <w:r>
        <w:rPr>
          <w:rFonts w:hint="eastAsia"/>
        </w:rPr>
        <w:t>植物体内碳元素所占的比例。</w:t>
      </w:r>
    </w:p>
    <w:p>
      <w:pPr>
        <w:pStyle w:val="104"/>
        <w:spacing w:before="312" w:after="312"/>
      </w:pPr>
      <w:bookmarkStart w:id="52" w:name="_Toc168520267"/>
      <w:bookmarkStart w:id="53" w:name="_Toc163049238"/>
      <w:r>
        <w:rPr>
          <w:rFonts w:hint="eastAsia"/>
        </w:rPr>
        <w:t>计量对象</w:t>
      </w:r>
      <w:bookmarkEnd w:id="52"/>
      <w:bookmarkEnd w:id="53"/>
    </w:p>
    <w:p>
      <w:pPr>
        <w:pStyle w:val="56"/>
        <w:ind w:firstLine="420"/>
      </w:pPr>
      <w:r>
        <w:rPr>
          <w:rFonts w:hint="eastAsia"/>
        </w:rPr>
        <w:t>计量对象为不同土地类型湿地植被。</w:t>
      </w:r>
    </w:p>
    <w:p>
      <w:pPr>
        <w:pStyle w:val="104"/>
        <w:spacing w:before="312" w:after="312"/>
      </w:pPr>
      <w:bookmarkStart w:id="54" w:name="_Toc168520268"/>
      <w:bookmarkStart w:id="55" w:name="_Toc155607309"/>
      <w:bookmarkStart w:id="56" w:name="_Toc163049239"/>
      <w:bookmarkStart w:id="57" w:name="_Toc155379553"/>
      <w:r>
        <w:rPr>
          <w:rFonts w:hint="eastAsia"/>
        </w:rPr>
        <w:t>计量内容</w:t>
      </w:r>
      <w:bookmarkEnd w:id="54"/>
      <w:bookmarkEnd w:id="55"/>
      <w:bookmarkEnd w:id="56"/>
      <w:bookmarkEnd w:id="57"/>
    </w:p>
    <w:p>
      <w:pPr>
        <w:pStyle w:val="56"/>
        <w:ind w:firstLine="420"/>
      </w:pPr>
      <w:r>
        <w:rPr>
          <w:rFonts w:hint="eastAsia"/>
        </w:rPr>
        <w:t>不同土地类型湿地植被的生物量、含碳率和碳储量。</w:t>
      </w:r>
    </w:p>
    <w:p>
      <w:pPr>
        <w:pStyle w:val="104"/>
        <w:spacing w:before="312" w:after="312"/>
      </w:pPr>
      <w:bookmarkStart w:id="58" w:name="_Toc168520269"/>
      <w:bookmarkStart w:id="59" w:name="_Toc163049240"/>
      <w:r>
        <w:rPr>
          <w:rFonts w:hint="eastAsia"/>
        </w:rPr>
        <w:t>计量方法</w:t>
      </w:r>
      <w:bookmarkEnd w:id="58"/>
      <w:bookmarkEnd w:id="59"/>
    </w:p>
    <w:p>
      <w:pPr>
        <w:pStyle w:val="105"/>
        <w:spacing w:before="156" w:after="156"/>
      </w:pPr>
      <w:bookmarkStart w:id="60" w:name="_Toc168520270"/>
      <w:r>
        <w:rPr>
          <w:rFonts w:hint="eastAsia"/>
        </w:rPr>
        <w:t>调查取样与测定</w:t>
      </w:r>
      <w:bookmarkEnd w:id="60"/>
    </w:p>
    <w:p>
      <w:pPr>
        <w:pStyle w:val="56"/>
        <w:ind w:firstLine="420"/>
      </w:pPr>
      <w:r>
        <w:rPr>
          <w:rFonts w:hint="eastAsia"/>
        </w:rPr>
        <w:t>按照D</w:t>
      </w:r>
      <w:r>
        <w:t>B 1502/T 024</w:t>
      </w:r>
      <w:r>
        <w:rPr>
          <w:rFonts w:hint="eastAsia"/>
        </w:rPr>
        <w:t>进行调查取样与测定。</w:t>
      </w:r>
    </w:p>
    <w:p>
      <w:pPr>
        <w:pStyle w:val="105"/>
        <w:spacing w:before="156" w:after="156"/>
      </w:pPr>
      <w:bookmarkStart w:id="61" w:name="_Toc163049241"/>
      <w:bookmarkStart w:id="62" w:name="_Toc168520271"/>
      <w:r>
        <w:rPr>
          <w:rFonts w:hint="eastAsia"/>
        </w:rPr>
        <w:t>碳储量</w:t>
      </w:r>
      <w:bookmarkEnd w:id="61"/>
      <w:r>
        <w:rPr>
          <w:rFonts w:hint="eastAsia"/>
        </w:rPr>
        <w:t>计量</w:t>
      </w:r>
      <w:bookmarkEnd w:id="62"/>
    </w:p>
    <w:p>
      <w:pPr>
        <w:pStyle w:val="162"/>
        <w:numPr>
          <w:ilvl w:val="0"/>
          <w:numId w:val="0"/>
        </w:numPr>
        <w:ind w:firstLine="420" w:firstLineChars="200"/>
      </w:pPr>
      <w:r>
        <w:rPr>
          <w:rFonts w:hint="eastAsia"/>
        </w:rPr>
        <w:t>根据不同湿地类型按照各碳层单位面积碳储量与总面积的乘积得到包头地区湿地总碳储量。采用以下公式获得：</w:t>
      </w:r>
    </w:p>
    <w:p>
      <w:pPr>
        <w:pStyle w:val="113"/>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总</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单</m:t>
            </m:r>
            <m:ctrlPr>
              <w:rPr>
                <w:rFonts w:ascii="Cambria Math" w:hAnsi="Cambria Math"/>
              </w:rPr>
            </m:ctrlPr>
          </m:sub>
        </m:sSub>
        <m:r>
          <m:rPr>
            <m:sty m:val="p"/>
          </m:rPr>
          <w:rPr>
            <w:rFonts w:ascii="Cambria Math" w:hAnsi="Cambria Math"/>
          </w:rPr>
          <m:t>×S</m:t>
        </m:r>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5"/>
        <w:ind w:firstLine="420"/>
        <w:rPr>
          <w:rFonts w:ascii="Times New Roman" w:hAnsi="Times New Roman"/>
        </w:rPr>
      </w:pPr>
      <m:oMath>
        <m:sSub>
          <m:sSubPr>
            <m:ctrlPr>
              <w:rPr>
                <w:rFonts w:ascii="Cambria Math" w:hAnsi="Cambria Math"/>
                <w:kern w:val="2"/>
              </w:rPr>
            </m:ctrlPr>
          </m:sSubPr>
          <m:e>
            <m:r>
              <m:rPr>
                <m:sty m:val="p"/>
              </m:rPr>
              <w:rPr>
                <w:rFonts w:ascii="Cambria Math" w:hAnsi="Cambria Math"/>
              </w:rPr>
              <m:t>C</m:t>
            </m:r>
            <m:ctrlPr>
              <w:rPr>
                <w:rFonts w:ascii="Cambria Math" w:hAnsi="Cambria Math"/>
                <w:kern w:val="2"/>
              </w:rPr>
            </m:ctrlPr>
          </m:e>
          <m:sub>
            <m:r>
              <m:rPr>
                <m:sty m:val="p"/>
              </m:rPr>
              <w:rPr>
                <w:rFonts w:ascii="Cambria Math" w:hAnsi="Cambria Math"/>
                <w:kern w:val="2"/>
              </w:rPr>
              <m:t>总</m:t>
            </m:r>
            <m:ctrlPr>
              <w:rPr>
                <w:rFonts w:ascii="Cambria Math" w:hAnsi="Cambria Math"/>
                <w:kern w:val="2"/>
              </w:rPr>
            </m:ctrlPr>
          </m:sub>
        </m:sSub>
      </m:oMath>
      <w:r>
        <w:rPr>
          <w:rFonts w:ascii="Times New Roman" w:hAnsi="Times New Roman"/>
          <w:kern w:val="2"/>
        </w:rPr>
        <w:t xml:space="preserve">    </w:t>
      </w:r>
      <w:r>
        <w:rPr>
          <w:rFonts w:ascii="Times New Roman" w:hAnsi="Times New Roman"/>
        </w:rPr>
        <w:t>——为湿地总碳储量，单位为吨（t）；</w:t>
      </w:r>
    </w:p>
    <w:p>
      <w:pPr>
        <w:pStyle w:val="56"/>
        <w:ind w:firstLine="420"/>
        <w:rPr>
          <w:rFonts w:ascii="Times New Roman"/>
        </w:rPr>
      </w:pPr>
      <m:oMath>
        <m:sSub>
          <m:sSubPr>
            <m:ctrlPr>
              <w:rPr>
                <w:rFonts w:ascii="Cambria Math" w:hAnsi="Cambria Math"/>
                <w:kern w:val="2"/>
                <w:szCs w:val="21"/>
              </w:rPr>
            </m:ctrlPr>
          </m:sSubPr>
          <m:e>
            <m:r>
              <m:rPr>
                <m:sty m:val="p"/>
              </m:rPr>
              <w:rPr>
                <w:rFonts w:ascii="Cambria Math" w:hAnsi="Cambria Math"/>
              </w:rPr>
              <m:t>C</m:t>
            </m:r>
            <m:ctrlPr>
              <w:rPr>
                <w:rFonts w:ascii="Cambria Math" w:hAnsi="Cambria Math"/>
                <w:kern w:val="2"/>
                <w:szCs w:val="21"/>
              </w:rPr>
            </m:ctrlPr>
          </m:e>
          <m:sub>
            <m:r>
              <m:rPr>
                <m:sty m:val="p"/>
              </m:rPr>
              <w:rPr>
                <w:rFonts w:ascii="Cambria Math" w:hAnsi="Cambria Math"/>
              </w:rPr>
              <m:t>单</m:t>
            </m:r>
            <m:ctrlPr>
              <w:rPr>
                <w:rFonts w:ascii="Cambria Math" w:hAnsi="Cambria Math"/>
                <w:kern w:val="2"/>
                <w:szCs w:val="21"/>
              </w:rPr>
            </m:ctrlPr>
          </m:sub>
        </m:sSub>
        <m:r>
          <m:rPr>
            <m:sty m:val="p"/>
          </m:rPr>
          <w:rPr>
            <w:rFonts w:ascii="Cambria Math" w:hAnsi="Cambria Math"/>
            <w:kern w:val="2"/>
            <w:szCs w:val="21"/>
          </w:rPr>
          <m:t xml:space="preserve"> </m:t>
        </m:r>
      </m:oMath>
      <w:r>
        <w:rPr>
          <w:rFonts w:ascii="Times New Roman"/>
          <w:kern w:val="2"/>
          <w:szCs w:val="21"/>
        </w:rPr>
        <w:t xml:space="preserve">   </w:t>
      </w:r>
      <w:r>
        <w:rPr>
          <w:rFonts w:ascii="Times New Roman"/>
        </w:rPr>
        <w:t>——为单位面积湿地碳储量，单位为吨（t）；</w:t>
      </w:r>
    </w:p>
    <w:p>
      <w:pPr>
        <w:pStyle w:val="56"/>
        <w:ind w:firstLine="420"/>
        <w:rPr>
          <w:rFonts w:ascii="Times New Roman"/>
        </w:rPr>
      </w:pPr>
      <m:oMath>
        <m:r>
          <m:rPr>
            <m:sty m:val="p"/>
          </m:rPr>
          <w:rPr>
            <w:rFonts w:ascii="Cambria Math" w:hAnsi="Cambria Math"/>
          </w:rPr>
          <m:t>S</m:t>
        </m:r>
      </m:oMath>
      <w:r>
        <w:rPr>
          <w:rFonts w:ascii="Times New Roman"/>
        </w:rPr>
        <w:t xml:space="preserve">     ——为面积，单位为平方千米（km</w:t>
      </w:r>
      <w:r>
        <w:rPr>
          <w:rFonts w:ascii="Times New Roman"/>
          <w:vertAlign w:val="superscript"/>
        </w:rPr>
        <w:t>2</w:t>
      </w:r>
      <w:r>
        <w:rPr>
          <w:rFonts w:ascii="Times New Roman"/>
        </w:rPr>
        <w:t>）。</w:t>
      </w:r>
    </w:p>
    <w:p>
      <w:pPr>
        <w:pStyle w:val="105"/>
        <w:spacing w:before="156" w:after="156"/>
      </w:pPr>
      <w:bookmarkStart w:id="63" w:name="_Toc163049243"/>
      <w:bookmarkStart w:id="64" w:name="_Toc168520272"/>
      <w:r>
        <w:rPr>
          <w:rFonts w:hint="eastAsia"/>
        </w:rPr>
        <w:t>单位面积碳储量</w:t>
      </w:r>
      <w:bookmarkEnd w:id="63"/>
      <w:bookmarkEnd w:id="64"/>
    </w:p>
    <w:p>
      <w:pPr>
        <w:pStyle w:val="56"/>
        <w:ind w:firstLine="420"/>
      </w:pPr>
      <w:r>
        <w:rPr>
          <w:rFonts w:hint="eastAsia"/>
        </w:rPr>
        <w:t>湿地碳汇量估算采用生物量法将将湿地碳库按照碳层分别划分为灌木层、草本层和枯落物层，按照各碳层碳汇求和得到包头地区湿地碳汇量。采用以下公式获得：</w:t>
      </w:r>
    </w:p>
    <w:p>
      <w:pPr>
        <w:pStyle w:val="113"/>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s</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灌木层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草本层</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枯落物层</m:t>
            </m:r>
            <m:ctrlPr>
              <w:rPr>
                <w:rFonts w:ascii="Cambria Math" w:hAnsi="Cambria Math"/>
              </w:rPr>
            </m:ctrlPr>
          </m:sub>
        </m:sSub>
        <m:r>
          <m:rPr>
            <m:sty m:val="p"/>
          </m:rPr>
          <w:rPr>
            <w:rFonts w:ascii="Cambria Math" w:hAnsi="Cambria Math"/>
          </w:rPr>
          <m:t xml:space="preserve">) </m:t>
        </m:r>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s</m:t>
            </m:r>
            <m:ctrlPr>
              <w:rPr>
                <w:rFonts w:ascii="Cambria Math" w:hAnsi="Cambria Math"/>
              </w:rPr>
            </m:ctrlPr>
          </m:sub>
        </m:sSub>
      </m:oMath>
      <w:r>
        <w:rPr>
          <w:rFonts w:ascii="Times New Roman"/>
        </w:rPr>
        <w:t xml:space="preserve">       ——为湿地总碳储量，单位为吨（t）；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灌木层</m:t>
            </m:r>
            <m:ctrlPr>
              <w:rPr>
                <w:rFonts w:ascii="Cambria Math" w:hAnsi="Cambria Math"/>
              </w:rPr>
            </m:ctrlPr>
          </m:sub>
        </m:sSub>
      </m:oMath>
      <w:r>
        <w:rPr>
          <w:rFonts w:ascii="Times New Roman"/>
        </w:rPr>
        <w:t xml:space="preserve">    ——为湿地灌木层单位面积碳储量，单位为吨每公顷（t/hm</w:t>
      </w:r>
      <w:r>
        <w:rPr>
          <w:rFonts w:ascii="Times New Roman"/>
          <w:vertAlign w:val="superscript"/>
        </w:rPr>
        <w:t>2</w:t>
      </w:r>
      <w:r>
        <w:rPr>
          <w:rFonts w:ascii="Times New Roman"/>
        </w:rPr>
        <w: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草本层</m:t>
            </m:r>
            <m:ctrlPr>
              <w:rPr>
                <w:rFonts w:ascii="Cambria Math" w:hAnsi="Cambria Math"/>
              </w:rPr>
            </m:ctrlPr>
          </m:sub>
        </m:sSub>
      </m:oMath>
      <w:r>
        <w:rPr>
          <w:rFonts w:ascii="Times New Roman"/>
        </w:rPr>
        <w:t xml:space="preserve">    ——为湿地草本层单位面积碳储量，单位为吨每公顷（t/hm</w:t>
      </w:r>
      <w:r>
        <w:rPr>
          <w:rFonts w:ascii="Times New Roman"/>
          <w:vertAlign w:val="superscript"/>
        </w:rPr>
        <w:t>2</w:t>
      </w:r>
      <w:r>
        <w:rPr>
          <w:rFonts w:ascii="Times New Roman"/>
        </w:rPr>
        <w: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枯落物层</m:t>
            </m:r>
            <m:ctrlPr>
              <w:rPr>
                <w:rFonts w:ascii="Cambria Math" w:hAnsi="Cambria Math"/>
              </w:rPr>
            </m:ctrlPr>
          </m:sub>
        </m:sSub>
      </m:oMath>
      <w:r>
        <w:rPr>
          <w:rFonts w:ascii="Times New Roman"/>
        </w:rPr>
        <w:t xml:space="preserve">   ——为湿地枯落物层单位面积碳储量，单位为吨每公顷（t/hm</w:t>
      </w:r>
      <w:r>
        <w:rPr>
          <w:rFonts w:ascii="Times New Roman"/>
          <w:vertAlign w:val="superscript"/>
        </w:rPr>
        <w:t>2</w:t>
      </w:r>
      <w:r>
        <w:rPr>
          <w:rFonts w:ascii="Times New Roman"/>
        </w:rPr>
        <w:t>）。</w:t>
      </w:r>
    </w:p>
    <w:p>
      <w:pPr>
        <w:pStyle w:val="105"/>
        <w:spacing w:before="156" w:after="156"/>
      </w:pPr>
      <w:bookmarkStart w:id="65" w:name="_Toc163049247"/>
      <w:bookmarkStart w:id="66" w:name="_Toc168520273"/>
      <w:r>
        <w:rPr>
          <w:rFonts w:hint="eastAsia"/>
        </w:rPr>
        <w:t>灌木层碳储量</w:t>
      </w:r>
      <w:bookmarkEnd w:id="65"/>
      <w:bookmarkEnd w:id="66"/>
    </w:p>
    <w:p>
      <w:pPr>
        <w:pStyle w:val="56"/>
        <w:ind w:firstLine="420"/>
      </w:pPr>
      <w:r>
        <w:rPr>
          <w:rFonts w:hint="eastAsia"/>
        </w:rPr>
        <w:t>灌木层碳储量采用全收获法通过实验得到植物生物量和含碳率，参考附录A</w:t>
      </w:r>
      <w:r>
        <w:t>.1</w:t>
      </w:r>
      <w:r>
        <w:rPr>
          <w:rFonts w:hint="eastAsia"/>
        </w:rPr>
        <w:t>灌木层本地参数，采用以下公式获得：</w:t>
      </w:r>
    </w:p>
    <w:p>
      <w:pPr>
        <w:pStyle w:val="113"/>
      </w:pPr>
      <w:r>
        <w:tab/>
      </w:r>
      <m:oMath>
        <m:sSub>
          <m:sSubPr>
            <m:ctrlPr>
              <w:rPr>
                <w:rFonts w:hint="eastAsia" w:ascii="Cambria Math" w:hAnsi="Cambria Math"/>
                <w:kern w:val="0"/>
                <w:szCs w:val="20"/>
              </w:rPr>
            </m:ctrlPr>
          </m:sSubPr>
          <m:e>
            <m:r>
              <m:rPr>
                <m:sty m:val="p"/>
              </m:rPr>
              <w:rPr>
                <w:rFonts w:ascii="Cambria Math" w:hAnsi="Cambria Math"/>
                <w:kern w:val="0"/>
                <w:szCs w:val="20"/>
              </w:rPr>
              <m:t>C</m:t>
            </m:r>
            <m:ctrlPr>
              <w:rPr>
                <w:rFonts w:hint="eastAsia" w:ascii="Cambria Math" w:hAnsi="Cambria Math"/>
                <w:kern w:val="0"/>
                <w:szCs w:val="20"/>
              </w:rPr>
            </m:ctrlPr>
          </m:e>
          <m:sub>
            <m:r>
              <m:rPr>
                <m:sty m:val="p"/>
              </m:rPr>
              <w:rPr>
                <w:rFonts w:hint="eastAsia" w:ascii="Cambria Math" w:hAnsi="Cambria Math"/>
                <w:kern w:val="0"/>
                <w:szCs w:val="20"/>
              </w:rPr>
              <m:t>灌木层</m:t>
            </m:r>
            <m:ctrlPr>
              <w:rPr>
                <w:rFonts w:hint="eastAsia" w:ascii="Cambria Math" w:hAnsi="Cambria Math"/>
                <w:kern w:val="0"/>
                <w:szCs w:val="20"/>
              </w:rPr>
            </m:ctrlPr>
          </m:sub>
        </m:sSub>
        <m:r>
          <m:rPr>
            <m:sty m:val="p"/>
          </m:rPr>
          <w:rPr>
            <w:rFonts w:hint="eastAsia" w:ascii="Cambria Math" w:hAnsi="Cambria Math"/>
            <w:kern w:val="0"/>
            <w:szCs w:val="20"/>
          </w:rPr>
          <m:t>=</m:t>
        </m:r>
        <m:sSub>
          <m:sSubPr>
            <m:ctrlPr>
              <w:rPr>
                <w:rFonts w:ascii="Cambria Math" w:hAnsi="Cambria Math"/>
                <w:kern w:val="0"/>
                <w:szCs w:val="20"/>
              </w:rPr>
            </m:ctrlPr>
          </m:sSubPr>
          <m:e>
            <m:r>
              <m:rPr>
                <m:sty m:val="p"/>
              </m:rPr>
              <w:rPr>
                <w:rFonts w:ascii="Cambria Math" w:hAnsi="Cambria Math"/>
                <w:kern w:val="0"/>
                <w:szCs w:val="20"/>
              </w:rPr>
              <m:t>B</m:t>
            </m:r>
            <m:ctrlPr>
              <w:rPr>
                <w:rFonts w:ascii="Cambria Math" w:hAnsi="Cambria Math"/>
                <w:kern w:val="0"/>
                <w:szCs w:val="20"/>
              </w:rPr>
            </m:ctrlPr>
          </m:e>
          <m:sub>
            <m:r>
              <m:rPr>
                <m:sty m:val="p"/>
              </m:rPr>
              <w:rPr>
                <w:rFonts w:hint="eastAsia" w:ascii="Cambria Math" w:hAnsi="Cambria Math"/>
                <w:kern w:val="0"/>
                <w:szCs w:val="20"/>
              </w:rPr>
              <m:t>灌木层</m:t>
            </m:r>
            <m:ctrlPr>
              <w:rPr>
                <w:rFonts w:ascii="Cambria Math" w:hAnsi="Cambria Math"/>
                <w:kern w:val="0"/>
                <w:szCs w:val="20"/>
              </w:rPr>
            </m:ctrlPr>
          </m:sub>
        </m:sSub>
        <m:r>
          <m:rPr>
            <m:sty m:val="p"/>
          </m:rPr>
          <w:rPr>
            <w:rFonts w:ascii="Cambria Math" w:hAnsi="Cambria Math"/>
            <w:kern w:val="0"/>
            <w:szCs w:val="20"/>
          </w:rPr>
          <m:t>+</m:t>
        </m:r>
        <m:sSub>
          <m:sSubPr>
            <m:ctrlPr>
              <w:rPr>
                <w:rFonts w:ascii="Cambria Math" w:hAnsi="Cambria Math"/>
                <w:kern w:val="0"/>
                <w:szCs w:val="20"/>
              </w:rPr>
            </m:ctrlPr>
          </m:sSubPr>
          <m:e>
            <m:r>
              <m:rPr>
                <m:sty m:val="p"/>
              </m:rPr>
              <w:rPr>
                <w:rFonts w:ascii="Cambria Math" w:hAnsi="Cambria Math"/>
                <w:kern w:val="0"/>
                <w:szCs w:val="20"/>
              </w:rPr>
              <m:t>CF</m:t>
            </m:r>
            <m:ctrlPr>
              <w:rPr>
                <w:rFonts w:ascii="Cambria Math" w:hAnsi="Cambria Math"/>
                <w:kern w:val="0"/>
                <w:szCs w:val="20"/>
              </w:rPr>
            </m:ctrlPr>
          </m:e>
          <m:sub>
            <m:r>
              <m:rPr>
                <m:sty m:val="p"/>
              </m:rPr>
              <w:rPr>
                <w:rFonts w:hint="eastAsia" w:ascii="Cambria Math" w:hAnsi="Cambria Math"/>
                <w:kern w:val="0"/>
                <w:szCs w:val="20"/>
              </w:rPr>
              <m:t>灌木层</m:t>
            </m:r>
            <m:ctrlPr>
              <w:rPr>
                <w:rFonts w:ascii="Cambria Math" w:hAnsi="Cambria Math"/>
                <w:kern w:val="0"/>
                <w:szCs w:val="20"/>
              </w:rPr>
            </m:ctrlPr>
          </m:sub>
        </m:sSub>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灌木层</m:t>
            </m:r>
            <m:ctrlPr>
              <w:rPr>
                <w:rFonts w:ascii="Cambria Math" w:hAnsi="Cambria Math"/>
              </w:rPr>
            </m:ctrlPr>
          </m:sub>
        </m:sSub>
      </m:oMath>
      <w:r>
        <w:rPr>
          <w:rFonts w:ascii="Times New Roman"/>
        </w:rPr>
        <w:t xml:space="preserve">   ——为湿地中灌木层的碳储量，单位为吨（t）；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ascii="Cambria Math" w:hAnsi="Cambria Math"/>
              </w:rPr>
              <m:t>灌木层</m:t>
            </m:r>
            <m:ctrlPr>
              <w:rPr>
                <w:rFonts w:ascii="Cambria Math" w:hAnsi="Cambria Math"/>
              </w:rPr>
            </m:ctrlPr>
          </m:sub>
        </m:sSub>
      </m:oMath>
      <w:r>
        <w:rPr>
          <w:rFonts w:ascii="Times New Roman"/>
        </w:rPr>
        <w:t xml:space="preserve">   ——为湿地中灌木层单株生物量，单位为吨每公顷（t/hm</w:t>
      </w:r>
      <w:r>
        <w:rPr>
          <w:rFonts w:ascii="Times New Roman"/>
          <w:vertAlign w:val="superscript"/>
        </w:rPr>
        <w:t>2</w:t>
      </w:r>
      <w:r>
        <w:rPr>
          <w:rFonts w:ascii="Times New Roman"/>
        </w:rPr>
        <w: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CF</m:t>
            </m:r>
            <m:ctrlPr>
              <w:rPr>
                <w:rFonts w:ascii="Cambria Math" w:hAnsi="Cambria Math"/>
              </w:rPr>
            </m:ctrlPr>
          </m:e>
          <m:sub>
            <m:r>
              <m:rPr>
                <m:sty m:val="p"/>
              </m:rPr>
              <w:rPr>
                <w:rFonts w:ascii="Cambria Math" w:hAnsi="Cambria Math"/>
              </w:rPr>
              <m:t>灌木层</m:t>
            </m:r>
            <m:ctrlPr>
              <w:rPr>
                <w:rFonts w:ascii="Cambria Math" w:hAnsi="Cambria Math"/>
              </w:rPr>
            </m:ctrlPr>
          </m:sub>
        </m:sSub>
      </m:oMath>
      <w:r>
        <w:rPr>
          <w:rFonts w:ascii="Times New Roman"/>
        </w:rPr>
        <w:t xml:space="preserve">  ——为湿地层平均含碳率，单位为百分比（%）。</w:t>
      </w:r>
    </w:p>
    <w:p>
      <w:pPr>
        <w:pStyle w:val="105"/>
        <w:spacing w:before="156" w:after="156"/>
      </w:pPr>
      <w:bookmarkStart w:id="67" w:name="_Toc163049248"/>
      <w:bookmarkStart w:id="68" w:name="_Toc168520274"/>
      <w:r>
        <w:rPr>
          <w:rFonts w:hint="eastAsia"/>
        </w:rPr>
        <w:t>草本层碳储量</w:t>
      </w:r>
      <w:bookmarkEnd w:id="67"/>
      <w:bookmarkEnd w:id="68"/>
    </w:p>
    <w:p>
      <w:pPr>
        <w:pStyle w:val="56"/>
        <w:ind w:firstLine="420"/>
      </w:pPr>
      <w:r>
        <w:rPr>
          <w:rFonts w:hint="eastAsia" w:ascii="Calibri" w:hAnsi="Calibri"/>
          <w:kern w:val="2"/>
          <w:szCs w:val="21"/>
        </w:rPr>
        <w:t>草本层碳储量采用全收获法通过实验得到植物生物量和含碳率，</w:t>
      </w:r>
      <w:r>
        <w:rPr>
          <w:rFonts w:hint="eastAsia"/>
        </w:rPr>
        <w:t>参考附录A</w:t>
      </w:r>
      <w:r>
        <w:t>.2</w:t>
      </w:r>
      <w:r>
        <w:rPr>
          <w:rFonts w:hint="eastAsia"/>
        </w:rPr>
        <w:t>草本层本地参数，</w:t>
      </w:r>
      <w:r>
        <w:rPr>
          <w:rFonts w:hint="eastAsia" w:ascii="Calibri" w:hAnsi="Calibri"/>
          <w:kern w:val="2"/>
          <w:szCs w:val="21"/>
        </w:rPr>
        <w:t>采用以下公式获得：</w:t>
      </w:r>
    </w:p>
    <w:p>
      <w:pPr>
        <w:pStyle w:val="113"/>
      </w:pPr>
      <w:r>
        <w:tab/>
      </w:r>
      <m:oMath>
        <m:sSub>
          <m:sSubPr>
            <m:ctrlPr>
              <w:rPr>
                <w:rFonts w:hint="eastAsia" w:ascii="Cambria Math" w:hAnsi="Cambria Math"/>
                <w:kern w:val="0"/>
                <w:szCs w:val="20"/>
              </w:rPr>
            </m:ctrlPr>
          </m:sSubPr>
          <m:e>
            <m:r>
              <m:rPr>
                <m:sty m:val="p"/>
              </m:rPr>
              <w:rPr>
                <w:rFonts w:ascii="Cambria Math" w:hAnsi="Cambria Math"/>
                <w:kern w:val="0"/>
                <w:szCs w:val="20"/>
              </w:rPr>
              <m:t>C</m:t>
            </m:r>
            <m:ctrlPr>
              <w:rPr>
                <w:rFonts w:hint="eastAsia" w:ascii="Cambria Math" w:hAnsi="Cambria Math"/>
                <w:kern w:val="0"/>
                <w:szCs w:val="20"/>
              </w:rPr>
            </m:ctrlPr>
          </m:e>
          <m:sub>
            <m:r>
              <m:rPr>
                <m:sty m:val="p"/>
              </m:rPr>
              <w:rPr>
                <w:rFonts w:hint="eastAsia" w:ascii="Cambria Math" w:hAnsi="Cambria Math"/>
                <w:kern w:val="0"/>
                <w:szCs w:val="20"/>
              </w:rPr>
              <m:t>草本层</m:t>
            </m:r>
            <m:ctrlPr>
              <w:rPr>
                <w:rFonts w:hint="eastAsia" w:ascii="Cambria Math" w:hAnsi="Cambria Math"/>
                <w:kern w:val="0"/>
                <w:szCs w:val="20"/>
              </w:rPr>
            </m:ctrlPr>
          </m:sub>
        </m:sSub>
        <m:r>
          <m:rPr>
            <m:sty m:val="p"/>
          </m:rPr>
          <w:rPr>
            <w:rFonts w:hint="eastAsia" w:ascii="Cambria Math" w:hAnsi="Cambria Math"/>
            <w:kern w:val="0"/>
            <w:szCs w:val="20"/>
          </w:rPr>
          <m:t>=</m:t>
        </m:r>
        <m:sSub>
          <m:sSubPr>
            <m:ctrlPr>
              <w:rPr>
                <w:rFonts w:ascii="Cambria Math" w:hAnsi="Cambria Math"/>
                <w:kern w:val="0"/>
                <w:szCs w:val="20"/>
              </w:rPr>
            </m:ctrlPr>
          </m:sSubPr>
          <m:e>
            <m:r>
              <m:rPr>
                <m:sty m:val="p"/>
              </m:rPr>
              <w:rPr>
                <w:rFonts w:ascii="Cambria Math" w:hAnsi="Cambria Math"/>
                <w:kern w:val="0"/>
                <w:szCs w:val="20"/>
              </w:rPr>
              <m:t>B</m:t>
            </m:r>
            <m:ctrlPr>
              <w:rPr>
                <w:rFonts w:ascii="Cambria Math" w:hAnsi="Cambria Math"/>
                <w:kern w:val="0"/>
                <w:szCs w:val="20"/>
              </w:rPr>
            </m:ctrlPr>
          </m:e>
          <m:sub>
            <m:r>
              <m:rPr>
                <m:sty m:val="p"/>
              </m:rPr>
              <w:rPr>
                <w:rFonts w:hint="eastAsia" w:ascii="Cambria Math" w:hAnsi="Cambria Math"/>
                <w:kern w:val="0"/>
                <w:szCs w:val="20"/>
              </w:rPr>
              <m:t>草本层</m:t>
            </m:r>
            <m:ctrlPr>
              <w:rPr>
                <w:rFonts w:ascii="Cambria Math" w:hAnsi="Cambria Math"/>
                <w:kern w:val="0"/>
                <w:szCs w:val="20"/>
              </w:rPr>
            </m:ctrlPr>
          </m:sub>
        </m:sSub>
        <m:r>
          <m:rPr>
            <m:sty m:val="p"/>
          </m:rPr>
          <w:rPr>
            <w:rFonts w:ascii="Cambria Math" w:hAnsi="Cambria Math"/>
            <w:kern w:val="0"/>
            <w:szCs w:val="20"/>
          </w:rPr>
          <m:t>+</m:t>
        </m:r>
        <m:sSub>
          <m:sSubPr>
            <m:ctrlPr>
              <w:rPr>
                <w:rFonts w:ascii="Cambria Math" w:hAnsi="Cambria Math"/>
                <w:kern w:val="0"/>
                <w:szCs w:val="20"/>
              </w:rPr>
            </m:ctrlPr>
          </m:sSubPr>
          <m:e>
            <m:r>
              <m:rPr>
                <m:sty m:val="p"/>
              </m:rPr>
              <w:rPr>
                <w:rFonts w:ascii="Cambria Math" w:hAnsi="Cambria Math"/>
                <w:kern w:val="0"/>
                <w:szCs w:val="20"/>
              </w:rPr>
              <m:t>CF</m:t>
            </m:r>
            <m:ctrlPr>
              <w:rPr>
                <w:rFonts w:ascii="Cambria Math" w:hAnsi="Cambria Math"/>
                <w:kern w:val="0"/>
                <w:szCs w:val="20"/>
              </w:rPr>
            </m:ctrlPr>
          </m:e>
          <m:sub>
            <m:r>
              <m:rPr>
                <m:sty m:val="p"/>
              </m:rPr>
              <w:rPr>
                <w:rFonts w:hint="eastAsia" w:ascii="Cambria Math" w:hAnsi="Cambria Math"/>
                <w:kern w:val="0"/>
                <w:szCs w:val="20"/>
              </w:rPr>
              <m:t>草本层</m:t>
            </m:r>
            <m:ctrlPr>
              <w:rPr>
                <w:rFonts w:ascii="Cambria Math" w:hAnsi="Cambria Math"/>
                <w:kern w:val="0"/>
                <w:szCs w:val="20"/>
              </w:rPr>
            </m:ctrlPr>
          </m:sub>
        </m:sSub>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草本层</m:t>
            </m:r>
            <m:ctrlPr>
              <w:rPr>
                <w:rFonts w:ascii="Cambria Math" w:hAnsi="Cambria Math"/>
              </w:rPr>
            </m:ctrlPr>
          </m:sub>
        </m:sSub>
      </m:oMath>
      <w:r>
        <w:rPr>
          <w:rFonts w:ascii="Times New Roman"/>
        </w:rPr>
        <w:t xml:space="preserve">     ——为湿地中草本层的碳储量，单位为吨（t）；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ascii="Cambria Math" w:hAnsi="Cambria Math"/>
              </w:rPr>
              <m:t>草本层</m:t>
            </m:r>
            <m:ctrlPr>
              <w:rPr>
                <w:rFonts w:ascii="Cambria Math" w:hAnsi="Cambria Math"/>
              </w:rPr>
            </m:ctrlPr>
          </m:sub>
        </m:sSub>
      </m:oMath>
      <w:r>
        <w:rPr>
          <w:rFonts w:ascii="Times New Roman"/>
        </w:rPr>
        <w:t xml:space="preserve">    ——为湿地中草本层平均单位面积生物量，单位为吨每公顷（t/hm</w:t>
      </w:r>
      <w:r>
        <w:rPr>
          <w:rFonts w:ascii="Times New Roman"/>
          <w:vertAlign w:val="superscript"/>
        </w:rPr>
        <w:t>2</w:t>
      </w:r>
      <w:r>
        <w:rPr>
          <w:rFonts w:ascii="Times New Roman"/>
        </w:rPr>
        <w: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CF</m:t>
            </m:r>
            <m:ctrlPr>
              <w:rPr>
                <w:rFonts w:ascii="Cambria Math" w:hAnsi="Cambria Math"/>
              </w:rPr>
            </m:ctrlPr>
          </m:e>
          <m:sub>
            <m:r>
              <m:rPr>
                <m:sty m:val="p"/>
              </m:rPr>
              <w:rPr>
                <w:rFonts w:ascii="Cambria Math" w:hAnsi="Cambria Math"/>
              </w:rPr>
              <m:t>草本层</m:t>
            </m:r>
            <m:ctrlPr>
              <w:rPr>
                <w:rFonts w:ascii="Cambria Math" w:hAnsi="Cambria Math"/>
              </w:rPr>
            </m:ctrlPr>
          </m:sub>
        </m:sSub>
      </m:oMath>
      <w:r>
        <w:rPr>
          <w:rFonts w:ascii="Times New Roman"/>
        </w:rPr>
        <w:t xml:space="preserve">   ——为湿地层平均含碳率，单位为百分比（%）。</w:t>
      </w:r>
    </w:p>
    <w:p>
      <w:pPr>
        <w:pStyle w:val="56"/>
        <w:ind w:firstLine="420"/>
      </w:pPr>
    </w:p>
    <w:p>
      <w:pPr>
        <w:pStyle w:val="105"/>
        <w:spacing w:before="156" w:after="156"/>
      </w:pPr>
      <w:bookmarkStart w:id="69" w:name="_Toc163049249"/>
      <w:bookmarkStart w:id="70" w:name="_Toc168520275"/>
      <w:r>
        <w:rPr>
          <w:rFonts w:hint="eastAsia"/>
        </w:rPr>
        <w:t>枯落物层碳储量</w:t>
      </w:r>
      <w:bookmarkEnd w:id="69"/>
      <w:bookmarkEnd w:id="70"/>
    </w:p>
    <w:p>
      <w:pPr>
        <w:pStyle w:val="56"/>
        <w:ind w:firstLine="420"/>
      </w:pPr>
      <w:r>
        <w:rPr>
          <w:rFonts w:hint="eastAsia"/>
        </w:rPr>
        <w:t>枯落物层碳储量采用全收获法通过实验得到植物生物量和含碳率，参考附录A</w:t>
      </w:r>
      <w:r>
        <w:t>.3</w:t>
      </w:r>
      <w:r>
        <w:rPr>
          <w:rFonts w:hint="eastAsia"/>
        </w:rPr>
        <w:t>枯落物层本地参数，采用以下公式获得：</w:t>
      </w:r>
    </w:p>
    <w:p>
      <w:pPr>
        <w:pStyle w:val="113"/>
      </w:pPr>
      <w:r>
        <w:tab/>
      </w: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hint="eastAsia" w:ascii="Cambria Math" w:hAnsi="Cambria Math"/>
              </w:rPr>
              <m:t>枯落物</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hint="eastAsia" w:ascii="Cambria Math" w:hAnsi="Cambria Math"/>
              </w:rPr>
              <m:t>枯落物</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CF</m:t>
            </m:r>
            <m:ctrlPr>
              <w:rPr>
                <w:rFonts w:ascii="Cambria Math" w:hAnsi="Cambria Math"/>
              </w:rPr>
            </m:ctrlPr>
          </m:e>
          <m:sub>
            <m:r>
              <m:rPr>
                <m:sty m:val="p"/>
              </m:rPr>
              <w:rPr>
                <w:rFonts w:hint="eastAsia" w:ascii="Cambria Math" w:hAnsi="Cambria Math"/>
              </w:rPr>
              <m:t>枯落物</m:t>
            </m:r>
            <m:ctrlPr>
              <w:rPr>
                <w:rFonts w:ascii="Cambria Math" w:hAnsi="Cambria Math"/>
              </w:rPr>
            </m:ctrlPr>
          </m:sub>
        </m:sSub>
      </m:oMath>
      <w:r>
        <w:rPr>
          <w:rFonts w:ascii="微软雅黑" w:hAnsi="微软雅黑" w:eastAsia="微软雅黑"/>
        </w:rPr>
        <w:tab/>
      </w:r>
      <w:r>
        <w:t>(</w:t>
      </w:r>
      <w:r>
        <w:fldChar w:fldCharType="begin"/>
      </w:r>
      <w:r>
        <w:instrText xml:space="preserve"> AUTONUM </w:instrText>
      </w:r>
      <w:r>
        <w:fldChar w:fldCharType="end"/>
      </w:r>
      <w:r>
        <w:t>)</w:t>
      </w:r>
    </w:p>
    <w:p>
      <w:pPr>
        <w:pStyle w:val="55"/>
        <w:ind w:firstLine="420"/>
      </w:pPr>
      <w:r>
        <w:rPr>
          <w:rFonts w:hint="eastAsia"/>
        </w:rPr>
        <w:t>式中：</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m:t>
            </m:r>
            <m:ctrlPr>
              <w:rPr>
                <w:rFonts w:ascii="Cambria Math" w:hAnsi="Cambria Math"/>
              </w:rPr>
            </m:ctrlPr>
          </m:e>
          <m:sub>
            <m:r>
              <m:rPr>
                <m:sty m:val="p"/>
              </m:rPr>
              <w:rPr>
                <w:rFonts w:ascii="Cambria Math" w:hAnsi="Cambria Math"/>
              </w:rPr>
              <m:t>枯落物层</m:t>
            </m:r>
            <m:ctrlPr>
              <w:rPr>
                <w:rFonts w:ascii="Cambria Math" w:hAnsi="Cambria Math"/>
              </w:rPr>
            </m:ctrlPr>
          </m:sub>
        </m:sSub>
      </m:oMath>
      <w:r>
        <w:rPr>
          <w:rFonts w:ascii="Times New Roman"/>
        </w:rPr>
        <w:t xml:space="preserve">    ——为湿地中枯落物层的碳储量，单位为吨（t）；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B</m:t>
            </m:r>
            <m:ctrlPr>
              <w:rPr>
                <w:rFonts w:ascii="Cambria Math" w:hAnsi="Cambria Math"/>
              </w:rPr>
            </m:ctrlPr>
          </m:e>
          <m:sub>
            <m:r>
              <m:rPr>
                <m:sty m:val="p"/>
              </m:rPr>
              <w:rPr>
                <w:rFonts w:ascii="Cambria Math" w:hAnsi="Cambria Math"/>
              </w:rPr>
              <m:t>枯落物层</m:t>
            </m:r>
            <m:ctrlPr>
              <w:rPr>
                <w:rFonts w:ascii="Cambria Math" w:hAnsi="Cambria Math"/>
              </w:rPr>
            </m:ctrlPr>
          </m:sub>
        </m:sSub>
      </m:oMath>
      <w:r>
        <w:rPr>
          <w:rFonts w:ascii="Times New Roman"/>
        </w:rPr>
        <w:t xml:space="preserve">    ——为湿地中枯落物层平均单位面积生物量，单位为吨每公顷（t/hm</w:t>
      </w:r>
      <w:r>
        <w:rPr>
          <w:rFonts w:ascii="Times New Roman"/>
          <w:vertAlign w:val="superscript"/>
        </w:rPr>
        <w:t>2</w:t>
      </w:r>
      <w:r>
        <w:rPr>
          <w:rFonts w:ascii="Times New Roman"/>
        </w:rPr>
        <w:t>）；</w:t>
      </w:r>
    </w:p>
    <w:p>
      <w:pPr>
        <w:pStyle w:val="56"/>
        <w:ind w:firstLine="420"/>
        <w:rPr>
          <w:rFonts w:ascii="Times New Roman"/>
        </w:rPr>
      </w:pPr>
      <m:oMath>
        <m:sSub>
          <m:sSubPr>
            <m:ctrlPr>
              <w:rPr>
                <w:rFonts w:ascii="Cambria Math" w:hAnsi="Cambria Math"/>
              </w:rPr>
            </m:ctrlPr>
          </m:sSubPr>
          <m:e>
            <m:r>
              <m:rPr>
                <m:sty m:val="p"/>
              </m:rPr>
              <w:rPr>
                <w:rFonts w:ascii="Cambria Math" w:hAnsi="Cambria Math"/>
              </w:rPr>
              <m:t>CF</m:t>
            </m:r>
            <m:ctrlPr>
              <w:rPr>
                <w:rFonts w:ascii="Cambria Math" w:hAnsi="Cambria Math"/>
              </w:rPr>
            </m:ctrlPr>
          </m:e>
          <m:sub>
            <m:r>
              <m:rPr>
                <m:sty m:val="p"/>
              </m:rPr>
              <w:rPr>
                <w:rFonts w:ascii="Cambria Math" w:hAnsi="Cambria Math"/>
              </w:rPr>
              <m:t>枯落物层</m:t>
            </m:r>
            <m:ctrlPr>
              <w:rPr>
                <w:rFonts w:ascii="Cambria Math" w:hAnsi="Cambria Math"/>
              </w:rPr>
            </m:ctrlPr>
          </m:sub>
        </m:sSub>
      </m:oMath>
      <w:r>
        <w:rPr>
          <w:rFonts w:ascii="Times New Roman"/>
        </w:rPr>
        <w:t xml:space="preserve">   ——为枯落物平均含碳率，单位为百分比（%）。</w:t>
      </w:r>
    </w:p>
    <w:p>
      <w:pPr>
        <w:pStyle w:val="56"/>
        <w:ind w:firstLine="420"/>
        <w:rPr>
          <w:rFonts w:ascii="Times New Roman"/>
        </w:rPr>
      </w:pPr>
    </w:p>
    <w:p>
      <w:pPr>
        <w:pStyle w:val="56"/>
        <w:ind w:firstLine="420"/>
        <w:sectPr>
          <w:pgSz w:w="11906" w:h="16838"/>
          <w:pgMar w:top="1928" w:right="1134" w:bottom="1134" w:left="1134" w:header="1418" w:footer="1134" w:gutter="284"/>
          <w:pgNumType w:start="1"/>
          <w:cols w:space="425" w:num="1"/>
          <w:formProt w:val="0"/>
          <w:docGrid w:type="lines" w:linePitch="312" w:charSpace="0"/>
        </w:sectPr>
      </w:pPr>
      <w:r>
        <w:t xml:space="preserve">   </w:t>
      </w:r>
    </w:p>
    <w:bookmarkEnd w:id="24"/>
    <w:p>
      <w:pPr>
        <w:pStyle w:val="198"/>
        <w:rPr>
          <w:vanish w:val="0"/>
        </w:rPr>
      </w:pPr>
      <w:bookmarkStart w:id="71" w:name="BookMark5"/>
    </w:p>
    <w:p>
      <w:pPr>
        <w:pStyle w:val="199"/>
        <w:rPr>
          <w:vanish w:val="0"/>
        </w:rPr>
      </w:pPr>
    </w:p>
    <w:p>
      <w:pPr>
        <w:pStyle w:val="76"/>
        <w:spacing w:after="156"/>
      </w:pPr>
      <w:r>
        <w:br w:type="textWrapping"/>
      </w:r>
      <w:bookmarkStart w:id="72" w:name="_Toc163049251"/>
      <w:bookmarkStart w:id="73" w:name="_Toc168520277"/>
      <w:r>
        <w:rPr>
          <w:rFonts w:hint="eastAsia"/>
        </w:rPr>
        <w:t>（资料性）</w:t>
      </w:r>
      <w:r>
        <w:br w:type="textWrapping"/>
      </w:r>
      <w:bookmarkEnd w:id="72"/>
      <w:r>
        <w:rPr>
          <w:rFonts w:hint="eastAsia"/>
        </w:rPr>
        <w:t>包头地区湿地各碳层本地参数</w:t>
      </w:r>
      <w:bookmarkEnd w:id="73"/>
    </w:p>
    <w:p>
      <w:pPr>
        <w:pStyle w:val="56"/>
        <w:ind w:firstLine="420"/>
      </w:pPr>
      <w:r>
        <w:rPr>
          <w:rFonts w:hint="eastAsia"/>
        </w:rPr>
        <w:t>灌木层本地参数见表A.1</w:t>
      </w:r>
    </w:p>
    <w:p>
      <w:pPr>
        <w:pStyle w:val="77"/>
        <w:spacing w:before="156" w:after="156"/>
      </w:pPr>
      <w:r>
        <w:rPr>
          <w:rFonts w:hint="eastAsia"/>
        </w:rPr>
        <w:t>灌木层本地参数</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湿地类型</w:t>
            </w:r>
          </w:p>
        </w:tc>
        <w:tc>
          <w:tcPr>
            <w:tcW w:w="3112"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灌木层生物量（kg）</w:t>
            </w:r>
          </w:p>
        </w:tc>
        <w:tc>
          <w:tcPr>
            <w:tcW w:w="3112"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灌木含碳率（%）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78"/>
              <w:rPr>
                <w:rFonts w:ascii="Times New Roman"/>
              </w:rPr>
            </w:pPr>
            <w:r>
              <w:rPr>
                <w:rFonts w:ascii="Times New Roman"/>
              </w:rPr>
              <w:t xml:space="preserve">灌丛沼泽 </w:t>
            </w:r>
          </w:p>
        </w:tc>
        <w:tc>
          <w:tcPr>
            <w:tcW w:w="3112" w:type="dxa"/>
            <w:shd w:val="clear" w:color="auto" w:fill="auto"/>
            <w:vAlign w:val="center"/>
          </w:tcPr>
          <w:p>
            <w:pPr>
              <w:pStyle w:val="178"/>
              <w:rPr>
                <w:rFonts w:ascii="Times New Roman"/>
              </w:rPr>
            </w:pPr>
            <w:r>
              <w:rPr>
                <w:rFonts w:ascii="Times New Roman"/>
              </w:rPr>
              <w:t>0.107</w:t>
            </w:r>
          </w:p>
        </w:tc>
        <w:tc>
          <w:tcPr>
            <w:tcW w:w="3112" w:type="dxa"/>
            <w:shd w:val="clear" w:color="auto" w:fill="auto"/>
          </w:tcPr>
          <w:p>
            <w:pPr>
              <w:pStyle w:val="178"/>
              <w:rPr>
                <w:rFonts w:ascii="Times New Roman"/>
              </w:rPr>
            </w:pPr>
            <w:r>
              <w:rPr>
                <w:rFonts w:ascii="Times New Roman"/>
              </w:rPr>
              <w:t>48.68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78"/>
              <w:rPr>
                <w:rFonts w:ascii="Times New Roman"/>
              </w:rPr>
            </w:pPr>
            <w:r>
              <w:rPr>
                <w:rFonts w:ascii="Times New Roman"/>
              </w:rPr>
              <w:t xml:space="preserve">湖泊水面 </w:t>
            </w:r>
          </w:p>
        </w:tc>
        <w:tc>
          <w:tcPr>
            <w:tcW w:w="3112" w:type="dxa"/>
            <w:shd w:val="clear" w:color="auto" w:fill="auto"/>
            <w:vAlign w:val="center"/>
          </w:tcPr>
          <w:p>
            <w:pPr>
              <w:pStyle w:val="178"/>
              <w:rPr>
                <w:rFonts w:ascii="Times New Roman"/>
              </w:rPr>
            </w:pPr>
            <w:r>
              <w:rPr>
                <w:rFonts w:ascii="Times New Roman"/>
              </w:rPr>
              <w:t>0.275</w:t>
            </w:r>
          </w:p>
        </w:tc>
        <w:tc>
          <w:tcPr>
            <w:tcW w:w="3112" w:type="dxa"/>
            <w:shd w:val="clear" w:color="auto" w:fill="auto"/>
          </w:tcPr>
          <w:p>
            <w:pPr>
              <w:pStyle w:val="178"/>
              <w:rPr>
                <w:rFonts w:ascii="Times New Roman"/>
              </w:rPr>
            </w:pPr>
            <w:r>
              <w:rPr>
                <w:rFonts w:ascii="Times New Roman"/>
              </w:rPr>
              <w:t>49.64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78"/>
              <w:rPr>
                <w:rFonts w:ascii="Times New Roman"/>
              </w:rPr>
            </w:pPr>
            <w:r>
              <w:rPr>
                <w:rFonts w:ascii="Times New Roman"/>
              </w:rPr>
              <w:t xml:space="preserve">坑塘水面 </w:t>
            </w:r>
          </w:p>
        </w:tc>
        <w:tc>
          <w:tcPr>
            <w:tcW w:w="3112" w:type="dxa"/>
            <w:shd w:val="clear" w:color="auto" w:fill="auto"/>
            <w:vAlign w:val="center"/>
          </w:tcPr>
          <w:p>
            <w:pPr>
              <w:pStyle w:val="178"/>
              <w:rPr>
                <w:rFonts w:ascii="Times New Roman"/>
              </w:rPr>
            </w:pPr>
            <w:r>
              <w:rPr>
                <w:rFonts w:ascii="Times New Roman"/>
              </w:rPr>
              <w:t>0.183</w:t>
            </w:r>
          </w:p>
        </w:tc>
        <w:tc>
          <w:tcPr>
            <w:tcW w:w="3112" w:type="dxa"/>
            <w:shd w:val="clear" w:color="auto" w:fill="auto"/>
          </w:tcPr>
          <w:p>
            <w:pPr>
              <w:pStyle w:val="178"/>
              <w:rPr>
                <w:rFonts w:ascii="Times New Roman"/>
              </w:rPr>
            </w:pPr>
            <w:r>
              <w:rPr>
                <w:rFonts w:ascii="Times New Roman"/>
              </w:rPr>
              <w:t>47.26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78"/>
              <w:rPr>
                <w:rFonts w:ascii="Times New Roman"/>
              </w:rPr>
            </w:pPr>
            <w:r>
              <w:rPr>
                <w:rFonts w:ascii="Times New Roman"/>
              </w:rPr>
              <w:t xml:space="preserve">内陆滩涂 </w:t>
            </w:r>
          </w:p>
        </w:tc>
        <w:tc>
          <w:tcPr>
            <w:tcW w:w="3112" w:type="dxa"/>
            <w:shd w:val="clear" w:color="auto" w:fill="auto"/>
            <w:vAlign w:val="center"/>
          </w:tcPr>
          <w:p>
            <w:pPr>
              <w:pStyle w:val="178"/>
              <w:rPr>
                <w:rFonts w:ascii="Times New Roman"/>
              </w:rPr>
            </w:pPr>
            <w:r>
              <w:rPr>
                <w:rFonts w:ascii="Times New Roman"/>
              </w:rPr>
              <w:t>0.426</w:t>
            </w:r>
          </w:p>
        </w:tc>
        <w:tc>
          <w:tcPr>
            <w:tcW w:w="3112" w:type="dxa"/>
            <w:shd w:val="clear" w:color="auto" w:fill="auto"/>
          </w:tcPr>
          <w:p>
            <w:pPr>
              <w:pStyle w:val="178"/>
              <w:rPr>
                <w:rFonts w:ascii="Times New Roman"/>
              </w:rPr>
            </w:pPr>
            <w:r>
              <w:rPr>
                <w:rFonts w:ascii="Times New Roman"/>
              </w:rPr>
              <w:t>44.27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78"/>
              <w:rPr>
                <w:rFonts w:ascii="Times New Roman"/>
              </w:rPr>
            </w:pPr>
            <w:r>
              <w:rPr>
                <w:rFonts w:ascii="Times New Roman"/>
              </w:rPr>
              <w:t xml:space="preserve">沼泽地 </w:t>
            </w:r>
          </w:p>
        </w:tc>
        <w:tc>
          <w:tcPr>
            <w:tcW w:w="3112" w:type="dxa"/>
            <w:shd w:val="clear" w:color="auto" w:fill="auto"/>
            <w:vAlign w:val="center"/>
          </w:tcPr>
          <w:p>
            <w:pPr>
              <w:pStyle w:val="178"/>
              <w:rPr>
                <w:rFonts w:ascii="Times New Roman"/>
              </w:rPr>
            </w:pPr>
            <w:r>
              <w:rPr>
                <w:rFonts w:ascii="Times New Roman"/>
              </w:rPr>
              <w:t>0.171</w:t>
            </w:r>
          </w:p>
        </w:tc>
        <w:tc>
          <w:tcPr>
            <w:tcW w:w="3112" w:type="dxa"/>
            <w:shd w:val="clear" w:color="auto" w:fill="auto"/>
          </w:tcPr>
          <w:p>
            <w:pPr>
              <w:pStyle w:val="178"/>
              <w:rPr>
                <w:rFonts w:ascii="Times New Roman"/>
              </w:rPr>
            </w:pPr>
            <w:r>
              <w:rPr>
                <w:rFonts w:ascii="Times New Roman"/>
              </w:rPr>
              <w:t>48.56</w:t>
            </w:r>
          </w:p>
        </w:tc>
      </w:tr>
    </w:tbl>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r>
        <w:rPr>
          <w:rFonts w:hint="eastAsia"/>
        </w:rPr>
        <w:t>草本层本地参数见表A.</w:t>
      </w:r>
      <w:r>
        <w:t>2</w:t>
      </w:r>
    </w:p>
    <w:p>
      <w:pPr>
        <w:pStyle w:val="77"/>
        <w:spacing w:before="156" w:after="156"/>
      </w:pPr>
      <w:r>
        <w:rPr>
          <w:rFonts w:hint="eastAsia"/>
        </w:rPr>
        <w:t>草本层本地参数</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湿地类型</w:t>
            </w:r>
          </w:p>
        </w:tc>
        <w:tc>
          <w:tcPr>
            <w:tcW w:w="3112"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草本层生物量（kg）</w:t>
            </w:r>
          </w:p>
        </w:tc>
        <w:tc>
          <w:tcPr>
            <w:tcW w:w="3112"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草本含碳率（%）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tcPr>
          <w:p>
            <w:pPr>
              <w:pStyle w:val="178"/>
              <w:rPr>
                <w:rFonts w:ascii="Times New Roman"/>
              </w:rPr>
            </w:pPr>
            <w:r>
              <w:rPr>
                <w:rFonts w:ascii="Times New Roman"/>
              </w:rPr>
              <w:t xml:space="preserve">沟渠 </w:t>
            </w:r>
          </w:p>
        </w:tc>
        <w:tc>
          <w:tcPr>
            <w:tcW w:w="3112" w:type="dxa"/>
            <w:tcBorders>
              <w:top w:val="single" w:color="auto" w:sz="8" w:space="0"/>
            </w:tcBorders>
            <w:shd w:val="clear" w:color="auto" w:fill="auto"/>
            <w:vAlign w:val="center"/>
          </w:tcPr>
          <w:p>
            <w:pPr>
              <w:pStyle w:val="178"/>
              <w:rPr>
                <w:rFonts w:ascii="Times New Roman"/>
              </w:rPr>
            </w:pPr>
            <w:r>
              <w:rPr>
                <w:rFonts w:ascii="Times New Roman"/>
              </w:rPr>
              <w:t>0.170</w:t>
            </w:r>
          </w:p>
        </w:tc>
        <w:tc>
          <w:tcPr>
            <w:tcW w:w="3112" w:type="dxa"/>
            <w:tcBorders>
              <w:top w:val="single" w:color="auto" w:sz="8" w:space="0"/>
            </w:tcBorders>
            <w:shd w:val="clear" w:color="auto" w:fill="auto"/>
          </w:tcPr>
          <w:p>
            <w:pPr>
              <w:pStyle w:val="178"/>
              <w:rPr>
                <w:rFonts w:ascii="Times New Roman"/>
              </w:rPr>
            </w:pPr>
            <w:r>
              <w:rPr>
                <w:rFonts w:ascii="Times New Roman"/>
              </w:rPr>
              <w:t>50.05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78"/>
              <w:rPr>
                <w:rFonts w:ascii="Times New Roman"/>
              </w:rPr>
            </w:pPr>
            <w:r>
              <w:rPr>
                <w:rFonts w:ascii="Times New Roman"/>
              </w:rPr>
              <w:t xml:space="preserve">灌丛沼泽 </w:t>
            </w:r>
          </w:p>
        </w:tc>
        <w:tc>
          <w:tcPr>
            <w:tcW w:w="3112" w:type="dxa"/>
            <w:shd w:val="clear" w:color="auto" w:fill="auto"/>
            <w:vAlign w:val="center"/>
          </w:tcPr>
          <w:p>
            <w:pPr>
              <w:pStyle w:val="178"/>
              <w:rPr>
                <w:rFonts w:ascii="Times New Roman"/>
              </w:rPr>
            </w:pPr>
            <w:r>
              <w:rPr>
                <w:rFonts w:ascii="Times New Roman"/>
              </w:rPr>
              <w:t>0.122</w:t>
            </w:r>
          </w:p>
        </w:tc>
        <w:tc>
          <w:tcPr>
            <w:tcW w:w="3112" w:type="dxa"/>
            <w:shd w:val="clear" w:color="auto" w:fill="auto"/>
          </w:tcPr>
          <w:p>
            <w:pPr>
              <w:pStyle w:val="178"/>
              <w:rPr>
                <w:rFonts w:ascii="Times New Roman"/>
              </w:rPr>
            </w:pPr>
            <w:r>
              <w:rPr>
                <w:rFonts w:ascii="Times New Roman"/>
              </w:rPr>
              <w:t>51.68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78"/>
              <w:rPr>
                <w:rFonts w:ascii="Times New Roman"/>
              </w:rPr>
            </w:pPr>
            <w:r>
              <w:rPr>
                <w:rFonts w:ascii="Times New Roman"/>
              </w:rPr>
              <w:t xml:space="preserve">河流水面 </w:t>
            </w:r>
          </w:p>
        </w:tc>
        <w:tc>
          <w:tcPr>
            <w:tcW w:w="3112" w:type="dxa"/>
            <w:shd w:val="clear" w:color="auto" w:fill="auto"/>
            <w:vAlign w:val="center"/>
          </w:tcPr>
          <w:p>
            <w:pPr>
              <w:pStyle w:val="178"/>
              <w:rPr>
                <w:rFonts w:ascii="Times New Roman"/>
              </w:rPr>
            </w:pPr>
            <w:r>
              <w:rPr>
                <w:rFonts w:ascii="Times New Roman"/>
              </w:rPr>
              <w:t>0.178</w:t>
            </w:r>
          </w:p>
        </w:tc>
        <w:tc>
          <w:tcPr>
            <w:tcW w:w="3112" w:type="dxa"/>
            <w:shd w:val="clear" w:color="auto" w:fill="auto"/>
          </w:tcPr>
          <w:p>
            <w:pPr>
              <w:pStyle w:val="178"/>
              <w:rPr>
                <w:rFonts w:ascii="Times New Roman"/>
              </w:rPr>
            </w:pPr>
            <w:r>
              <w:rPr>
                <w:rFonts w:ascii="Times New Roman"/>
              </w:rPr>
              <w:t>50.91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78"/>
              <w:rPr>
                <w:rFonts w:ascii="Times New Roman"/>
              </w:rPr>
            </w:pPr>
            <w:r>
              <w:rPr>
                <w:rFonts w:ascii="Times New Roman"/>
              </w:rPr>
              <w:t xml:space="preserve">湖泊水面 </w:t>
            </w:r>
          </w:p>
        </w:tc>
        <w:tc>
          <w:tcPr>
            <w:tcW w:w="3112" w:type="dxa"/>
            <w:shd w:val="clear" w:color="auto" w:fill="auto"/>
            <w:vAlign w:val="center"/>
          </w:tcPr>
          <w:p>
            <w:pPr>
              <w:pStyle w:val="178"/>
              <w:rPr>
                <w:rFonts w:ascii="Times New Roman"/>
              </w:rPr>
            </w:pPr>
            <w:r>
              <w:rPr>
                <w:rFonts w:ascii="Times New Roman"/>
              </w:rPr>
              <w:t>0.117</w:t>
            </w:r>
          </w:p>
        </w:tc>
        <w:tc>
          <w:tcPr>
            <w:tcW w:w="3112" w:type="dxa"/>
            <w:shd w:val="clear" w:color="auto" w:fill="auto"/>
          </w:tcPr>
          <w:p>
            <w:pPr>
              <w:pStyle w:val="178"/>
              <w:rPr>
                <w:rFonts w:ascii="Times New Roman"/>
              </w:rPr>
            </w:pPr>
            <w:r>
              <w:rPr>
                <w:rFonts w:ascii="Times New Roman"/>
              </w:rPr>
              <w:t>50.48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78"/>
              <w:rPr>
                <w:rFonts w:ascii="Times New Roman"/>
              </w:rPr>
            </w:pPr>
            <w:r>
              <w:rPr>
                <w:rFonts w:ascii="Times New Roman"/>
              </w:rPr>
              <w:t xml:space="preserve">坑塘水面 </w:t>
            </w:r>
          </w:p>
        </w:tc>
        <w:tc>
          <w:tcPr>
            <w:tcW w:w="3112" w:type="dxa"/>
            <w:shd w:val="clear" w:color="auto" w:fill="auto"/>
            <w:vAlign w:val="center"/>
          </w:tcPr>
          <w:p>
            <w:pPr>
              <w:pStyle w:val="178"/>
              <w:rPr>
                <w:rFonts w:ascii="Times New Roman"/>
              </w:rPr>
            </w:pPr>
            <w:r>
              <w:rPr>
                <w:rFonts w:ascii="Times New Roman"/>
              </w:rPr>
              <w:t>0.182</w:t>
            </w:r>
          </w:p>
        </w:tc>
        <w:tc>
          <w:tcPr>
            <w:tcW w:w="3112" w:type="dxa"/>
            <w:shd w:val="clear" w:color="auto" w:fill="auto"/>
          </w:tcPr>
          <w:p>
            <w:pPr>
              <w:pStyle w:val="178"/>
              <w:rPr>
                <w:rFonts w:ascii="Times New Roman"/>
              </w:rPr>
            </w:pPr>
            <w:r>
              <w:rPr>
                <w:rFonts w:ascii="Times New Roman"/>
              </w:rPr>
              <w:t>50.68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78"/>
              <w:rPr>
                <w:rFonts w:ascii="Times New Roman"/>
              </w:rPr>
            </w:pPr>
            <w:r>
              <w:rPr>
                <w:rFonts w:ascii="Times New Roman"/>
              </w:rPr>
              <w:t xml:space="preserve">内陆滩涂 </w:t>
            </w:r>
          </w:p>
        </w:tc>
        <w:tc>
          <w:tcPr>
            <w:tcW w:w="3112" w:type="dxa"/>
            <w:shd w:val="clear" w:color="auto" w:fill="auto"/>
            <w:vAlign w:val="center"/>
          </w:tcPr>
          <w:p>
            <w:pPr>
              <w:pStyle w:val="178"/>
              <w:rPr>
                <w:rFonts w:ascii="Times New Roman"/>
              </w:rPr>
            </w:pPr>
            <w:r>
              <w:rPr>
                <w:rFonts w:ascii="Times New Roman"/>
              </w:rPr>
              <w:t>0.426</w:t>
            </w:r>
          </w:p>
        </w:tc>
        <w:tc>
          <w:tcPr>
            <w:tcW w:w="3112" w:type="dxa"/>
            <w:shd w:val="clear" w:color="auto" w:fill="auto"/>
          </w:tcPr>
          <w:p>
            <w:pPr>
              <w:pStyle w:val="178"/>
              <w:rPr>
                <w:rFonts w:ascii="Times New Roman"/>
              </w:rPr>
            </w:pPr>
            <w:r>
              <w:rPr>
                <w:rFonts w:ascii="Times New Roman"/>
              </w:rPr>
              <w:t>51.74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78"/>
              <w:rPr>
                <w:rFonts w:ascii="Times New Roman"/>
              </w:rPr>
            </w:pPr>
            <w:r>
              <w:rPr>
                <w:rFonts w:ascii="Times New Roman"/>
              </w:rPr>
              <w:t xml:space="preserve">水库水面 </w:t>
            </w:r>
          </w:p>
        </w:tc>
        <w:tc>
          <w:tcPr>
            <w:tcW w:w="3112" w:type="dxa"/>
            <w:shd w:val="clear" w:color="auto" w:fill="auto"/>
            <w:vAlign w:val="center"/>
          </w:tcPr>
          <w:p>
            <w:pPr>
              <w:pStyle w:val="178"/>
              <w:rPr>
                <w:rFonts w:ascii="Times New Roman"/>
              </w:rPr>
            </w:pPr>
            <w:r>
              <w:rPr>
                <w:rFonts w:ascii="Times New Roman"/>
              </w:rPr>
              <w:t>0.191</w:t>
            </w:r>
          </w:p>
        </w:tc>
        <w:tc>
          <w:tcPr>
            <w:tcW w:w="3112" w:type="dxa"/>
            <w:shd w:val="clear" w:color="auto" w:fill="auto"/>
          </w:tcPr>
          <w:p>
            <w:pPr>
              <w:pStyle w:val="178"/>
              <w:rPr>
                <w:rFonts w:ascii="Times New Roman"/>
              </w:rPr>
            </w:pPr>
            <w:r>
              <w:rPr>
                <w:rFonts w:ascii="Times New Roman"/>
              </w:rPr>
              <w:t>47.85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bottom w:val="single" w:color="auto" w:sz="4" w:space="0"/>
            </w:tcBorders>
            <w:shd w:val="clear" w:color="auto" w:fill="auto"/>
          </w:tcPr>
          <w:p>
            <w:pPr>
              <w:pStyle w:val="178"/>
              <w:rPr>
                <w:rFonts w:ascii="Times New Roman"/>
              </w:rPr>
            </w:pPr>
            <w:r>
              <w:rPr>
                <w:rFonts w:ascii="Times New Roman"/>
              </w:rPr>
              <w:t xml:space="preserve">沼泽草地 </w:t>
            </w:r>
          </w:p>
        </w:tc>
        <w:tc>
          <w:tcPr>
            <w:tcW w:w="3112" w:type="dxa"/>
            <w:tcBorders>
              <w:bottom w:val="single" w:color="auto" w:sz="4" w:space="0"/>
            </w:tcBorders>
            <w:shd w:val="clear" w:color="auto" w:fill="auto"/>
            <w:vAlign w:val="center"/>
          </w:tcPr>
          <w:p>
            <w:pPr>
              <w:pStyle w:val="178"/>
              <w:rPr>
                <w:rFonts w:ascii="Times New Roman"/>
              </w:rPr>
            </w:pPr>
            <w:r>
              <w:rPr>
                <w:rFonts w:ascii="Times New Roman"/>
              </w:rPr>
              <w:t>0.103</w:t>
            </w:r>
          </w:p>
        </w:tc>
        <w:tc>
          <w:tcPr>
            <w:tcW w:w="3112" w:type="dxa"/>
            <w:tcBorders>
              <w:bottom w:val="single" w:color="auto" w:sz="4" w:space="0"/>
            </w:tcBorders>
            <w:shd w:val="clear" w:color="auto" w:fill="auto"/>
          </w:tcPr>
          <w:p>
            <w:pPr>
              <w:pStyle w:val="178"/>
              <w:rPr>
                <w:rFonts w:ascii="Times New Roman"/>
              </w:rPr>
            </w:pPr>
            <w:r>
              <w:rPr>
                <w:rFonts w:ascii="Times New Roman"/>
              </w:rPr>
              <w:t>52.41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4" w:space="0"/>
              <w:bottom w:val="single" w:color="auto" w:sz="8" w:space="0"/>
            </w:tcBorders>
            <w:shd w:val="clear" w:color="auto" w:fill="auto"/>
          </w:tcPr>
          <w:p>
            <w:pPr>
              <w:pStyle w:val="178"/>
              <w:rPr>
                <w:rFonts w:ascii="Times New Roman"/>
              </w:rPr>
            </w:pPr>
            <w:r>
              <w:rPr>
                <w:rFonts w:ascii="Times New Roman"/>
              </w:rPr>
              <w:t>沼泽地</w:t>
            </w:r>
          </w:p>
        </w:tc>
        <w:tc>
          <w:tcPr>
            <w:tcW w:w="3112" w:type="dxa"/>
            <w:tcBorders>
              <w:top w:val="single" w:color="auto" w:sz="4" w:space="0"/>
              <w:bottom w:val="single" w:color="auto" w:sz="8" w:space="0"/>
            </w:tcBorders>
            <w:shd w:val="clear" w:color="auto" w:fill="auto"/>
            <w:vAlign w:val="center"/>
          </w:tcPr>
          <w:p>
            <w:pPr>
              <w:pStyle w:val="178"/>
              <w:rPr>
                <w:rFonts w:ascii="Times New Roman"/>
              </w:rPr>
            </w:pPr>
            <w:r>
              <w:rPr>
                <w:rFonts w:ascii="Times New Roman"/>
              </w:rPr>
              <w:t>0.083</w:t>
            </w:r>
          </w:p>
        </w:tc>
        <w:tc>
          <w:tcPr>
            <w:tcW w:w="3112" w:type="dxa"/>
            <w:tcBorders>
              <w:top w:val="single" w:color="auto" w:sz="4" w:space="0"/>
              <w:bottom w:val="single" w:color="auto" w:sz="8" w:space="0"/>
            </w:tcBorders>
            <w:shd w:val="clear" w:color="auto" w:fill="auto"/>
          </w:tcPr>
          <w:p>
            <w:pPr>
              <w:pStyle w:val="178"/>
              <w:rPr>
                <w:rFonts w:ascii="Times New Roman"/>
              </w:rPr>
            </w:pPr>
            <w:r>
              <w:rPr>
                <w:rFonts w:ascii="Times New Roman"/>
              </w:rPr>
              <w:t>50.48</w:t>
            </w:r>
          </w:p>
        </w:tc>
      </w:tr>
    </w:tbl>
    <w:p>
      <w:pPr>
        <w:pStyle w:val="56"/>
        <w:ind w:firstLine="420"/>
      </w:pPr>
    </w:p>
    <w:p>
      <w:pPr>
        <w:pStyle w:val="56"/>
        <w:ind w:firstLine="420"/>
      </w:pPr>
    </w:p>
    <w:p>
      <w:pPr>
        <w:pStyle w:val="56"/>
        <w:ind w:firstLine="420"/>
      </w:pPr>
    </w:p>
    <w:p>
      <w:pPr>
        <w:pStyle w:val="56"/>
        <w:ind w:firstLine="0" w:firstLineChars="0"/>
      </w:pPr>
    </w:p>
    <w:p>
      <w:pPr>
        <w:pStyle w:val="56"/>
        <w:ind w:firstLine="0" w:firstLineChars="0"/>
      </w:pPr>
    </w:p>
    <w:p>
      <w:pPr>
        <w:pStyle w:val="56"/>
        <w:ind w:firstLine="0" w:firstLineChars="0"/>
      </w:pPr>
    </w:p>
    <w:p>
      <w:pPr>
        <w:pStyle w:val="56"/>
        <w:ind w:firstLine="0" w:firstLineChars="0"/>
      </w:pPr>
    </w:p>
    <w:p>
      <w:pPr>
        <w:pStyle w:val="56"/>
        <w:ind w:firstLine="420"/>
      </w:pPr>
      <w:r>
        <w:rPr>
          <w:rFonts w:hint="eastAsia"/>
        </w:rPr>
        <w:t>枯落物层本地参数见表A.</w:t>
      </w:r>
      <w:r>
        <w:t>3</w:t>
      </w:r>
    </w:p>
    <w:p>
      <w:pPr>
        <w:pStyle w:val="77"/>
        <w:spacing w:before="156" w:after="156"/>
      </w:pPr>
      <w:r>
        <w:rPr>
          <w:rFonts w:hint="eastAsia"/>
        </w:rPr>
        <w:t>枯落物层本地参数</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湿地类型</w:t>
            </w:r>
          </w:p>
        </w:tc>
        <w:tc>
          <w:tcPr>
            <w:tcW w:w="3112"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枯落物层生物量（kg）</w:t>
            </w:r>
          </w:p>
        </w:tc>
        <w:tc>
          <w:tcPr>
            <w:tcW w:w="3112"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枯落物含碳率（%）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78"/>
              <w:rPr>
                <w:rFonts w:ascii="Times New Roman"/>
              </w:rPr>
            </w:pPr>
            <w:r>
              <w:rPr>
                <w:rFonts w:ascii="Times New Roman"/>
              </w:rPr>
              <w:t xml:space="preserve">灌丛沼泽 </w:t>
            </w:r>
          </w:p>
        </w:tc>
        <w:tc>
          <w:tcPr>
            <w:tcW w:w="3112" w:type="dxa"/>
            <w:shd w:val="clear" w:color="auto" w:fill="auto"/>
            <w:vAlign w:val="center"/>
          </w:tcPr>
          <w:p>
            <w:pPr>
              <w:pStyle w:val="178"/>
              <w:rPr>
                <w:rFonts w:ascii="Times New Roman"/>
              </w:rPr>
            </w:pPr>
            <w:r>
              <w:rPr>
                <w:rFonts w:ascii="Times New Roman"/>
              </w:rPr>
              <w:t>0.431</w:t>
            </w:r>
          </w:p>
        </w:tc>
        <w:tc>
          <w:tcPr>
            <w:tcW w:w="3112" w:type="dxa"/>
            <w:shd w:val="clear" w:color="auto" w:fill="auto"/>
          </w:tcPr>
          <w:p>
            <w:pPr>
              <w:pStyle w:val="178"/>
              <w:rPr>
                <w:rFonts w:ascii="Times New Roman"/>
              </w:rPr>
            </w:pPr>
            <w:r>
              <w:rPr>
                <w:rFonts w:ascii="Times New Roman"/>
              </w:rPr>
              <w:t>46.58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78"/>
              <w:rPr>
                <w:rFonts w:ascii="Times New Roman"/>
              </w:rPr>
            </w:pPr>
            <w:r>
              <w:rPr>
                <w:rFonts w:ascii="Times New Roman"/>
              </w:rPr>
              <w:t xml:space="preserve">河流水面 </w:t>
            </w:r>
          </w:p>
        </w:tc>
        <w:tc>
          <w:tcPr>
            <w:tcW w:w="3112" w:type="dxa"/>
            <w:shd w:val="clear" w:color="auto" w:fill="auto"/>
            <w:vAlign w:val="center"/>
          </w:tcPr>
          <w:p>
            <w:pPr>
              <w:pStyle w:val="178"/>
              <w:rPr>
                <w:rFonts w:ascii="Times New Roman"/>
              </w:rPr>
            </w:pPr>
            <w:r>
              <w:rPr>
                <w:rFonts w:ascii="Times New Roman"/>
              </w:rPr>
              <w:t>0.265</w:t>
            </w:r>
          </w:p>
        </w:tc>
        <w:tc>
          <w:tcPr>
            <w:tcW w:w="3112" w:type="dxa"/>
            <w:shd w:val="clear" w:color="auto" w:fill="auto"/>
          </w:tcPr>
          <w:p>
            <w:pPr>
              <w:pStyle w:val="178"/>
              <w:rPr>
                <w:rFonts w:ascii="Times New Roman"/>
              </w:rPr>
            </w:pPr>
            <w:r>
              <w:rPr>
                <w:rFonts w:ascii="Times New Roman"/>
              </w:rPr>
              <w:t>47.15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78"/>
              <w:rPr>
                <w:rFonts w:ascii="Times New Roman"/>
              </w:rPr>
            </w:pPr>
            <w:r>
              <w:rPr>
                <w:rFonts w:ascii="Times New Roman"/>
              </w:rPr>
              <w:t xml:space="preserve">湖泊水面 </w:t>
            </w:r>
          </w:p>
        </w:tc>
        <w:tc>
          <w:tcPr>
            <w:tcW w:w="3112" w:type="dxa"/>
            <w:shd w:val="clear" w:color="auto" w:fill="auto"/>
            <w:vAlign w:val="center"/>
          </w:tcPr>
          <w:p>
            <w:pPr>
              <w:pStyle w:val="178"/>
              <w:rPr>
                <w:rFonts w:ascii="Times New Roman"/>
              </w:rPr>
            </w:pPr>
            <w:r>
              <w:rPr>
                <w:rFonts w:ascii="Times New Roman"/>
              </w:rPr>
              <w:t>0.030</w:t>
            </w:r>
          </w:p>
        </w:tc>
        <w:tc>
          <w:tcPr>
            <w:tcW w:w="3112" w:type="dxa"/>
            <w:shd w:val="clear" w:color="auto" w:fill="auto"/>
          </w:tcPr>
          <w:p>
            <w:pPr>
              <w:pStyle w:val="178"/>
              <w:rPr>
                <w:rFonts w:ascii="Times New Roman"/>
              </w:rPr>
            </w:pPr>
            <w:r>
              <w:rPr>
                <w:rFonts w:ascii="Times New Roman"/>
              </w:rPr>
              <w:t>48.43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78"/>
              <w:rPr>
                <w:rFonts w:ascii="Times New Roman"/>
              </w:rPr>
            </w:pPr>
            <w:r>
              <w:rPr>
                <w:rFonts w:ascii="Times New Roman"/>
              </w:rPr>
              <w:t xml:space="preserve">坑塘水面 </w:t>
            </w:r>
          </w:p>
        </w:tc>
        <w:tc>
          <w:tcPr>
            <w:tcW w:w="3112" w:type="dxa"/>
            <w:shd w:val="clear" w:color="auto" w:fill="auto"/>
            <w:vAlign w:val="center"/>
          </w:tcPr>
          <w:p>
            <w:pPr>
              <w:pStyle w:val="178"/>
              <w:rPr>
                <w:rFonts w:ascii="Times New Roman"/>
              </w:rPr>
            </w:pPr>
            <w:r>
              <w:rPr>
                <w:rFonts w:ascii="Times New Roman"/>
              </w:rPr>
              <w:t>0.0133</w:t>
            </w:r>
          </w:p>
        </w:tc>
        <w:tc>
          <w:tcPr>
            <w:tcW w:w="3112" w:type="dxa"/>
            <w:shd w:val="clear" w:color="auto" w:fill="auto"/>
          </w:tcPr>
          <w:p>
            <w:pPr>
              <w:pStyle w:val="178"/>
              <w:rPr>
                <w:rFonts w:ascii="Times New Roman"/>
              </w:rPr>
            </w:pPr>
            <w:r>
              <w:rPr>
                <w:rFonts w:ascii="Times New Roman"/>
              </w:rPr>
              <w:t>46.76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78"/>
              <w:rPr>
                <w:rFonts w:ascii="Times New Roman"/>
              </w:rPr>
            </w:pPr>
            <w:r>
              <w:rPr>
                <w:rFonts w:ascii="Times New Roman"/>
              </w:rPr>
              <w:t xml:space="preserve">内陆滩涂 </w:t>
            </w:r>
          </w:p>
        </w:tc>
        <w:tc>
          <w:tcPr>
            <w:tcW w:w="3112" w:type="dxa"/>
            <w:shd w:val="clear" w:color="auto" w:fill="auto"/>
            <w:vAlign w:val="center"/>
          </w:tcPr>
          <w:p>
            <w:pPr>
              <w:pStyle w:val="178"/>
              <w:rPr>
                <w:rFonts w:ascii="Times New Roman"/>
              </w:rPr>
            </w:pPr>
            <w:r>
              <w:rPr>
                <w:rFonts w:ascii="Times New Roman"/>
              </w:rPr>
              <w:t>0.024</w:t>
            </w:r>
          </w:p>
        </w:tc>
        <w:tc>
          <w:tcPr>
            <w:tcW w:w="3112" w:type="dxa"/>
            <w:shd w:val="clear" w:color="auto" w:fill="auto"/>
          </w:tcPr>
          <w:p>
            <w:pPr>
              <w:pStyle w:val="178"/>
              <w:rPr>
                <w:rFonts w:ascii="Times New Roman"/>
              </w:rPr>
            </w:pPr>
            <w:r>
              <w:rPr>
                <w:rFonts w:ascii="Times New Roman"/>
              </w:rPr>
              <w:t>46.53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78"/>
              <w:rPr>
                <w:rFonts w:ascii="Times New Roman"/>
              </w:rPr>
            </w:pPr>
            <w:r>
              <w:rPr>
                <w:rFonts w:ascii="Times New Roman"/>
              </w:rPr>
              <w:t xml:space="preserve">沼泽草地 </w:t>
            </w:r>
          </w:p>
        </w:tc>
        <w:tc>
          <w:tcPr>
            <w:tcW w:w="3112" w:type="dxa"/>
            <w:shd w:val="clear" w:color="auto" w:fill="auto"/>
            <w:vAlign w:val="center"/>
          </w:tcPr>
          <w:p>
            <w:pPr>
              <w:pStyle w:val="178"/>
              <w:rPr>
                <w:rFonts w:ascii="Times New Roman"/>
              </w:rPr>
            </w:pPr>
            <w:r>
              <w:rPr>
                <w:rFonts w:ascii="Times New Roman"/>
              </w:rPr>
              <w:t>0.124</w:t>
            </w:r>
          </w:p>
        </w:tc>
        <w:tc>
          <w:tcPr>
            <w:tcW w:w="3112" w:type="dxa"/>
            <w:shd w:val="clear" w:color="auto" w:fill="auto"/>
          </w:tcPr>
          <w:p>
            <w:pPr>
              <w:pStyle w:val="178"/>
              <w:rPr>
                <w:rFonts w:ascii="Times New Roman"/>
              </w:rPr>
            </w:pPr>
            <w:r>
              <w:rPr>
                <w:rFonts w:ascii="Times New Roman"/>
              </w:rPr>
              <w:t>47.32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pPr>
              <w:pStyle w:val="178"/>
              <w:rPr>
                <w:rFonts w:ascii="Times New Roman"/>
              </w:rPr>
            </w:pPr>
            <w:r>
              <w:rPr>
                <w:rFonts w:ascii="Times New Roman"/>
              </w:rPr>
              <w:t xml:space="preserve">沼泽地 </w:t>
            </w:r>
          </w:p>
        </w:tc>
        <w:tc>
          <w:tcPr>
            <w:tcW w:w="3112" w:type="dxa"/>
            <w:shd w:val="clear" w:color="auto" w:fill="auto"/>
            <w:vAlign w:val="center"/>
          </w:tcPr>
          <w:p>
            <w:pPr>
              <w:pStyle w:val="178"/>
              <w:rPr>
                <w:rFonts w:ascii="Times New Roman"/>
              </w:rPr>
            </w:pPr>
            <w:r>
              <w:rPr>
                <w:rFonts w:ascii="Times New Roman"/>
              </w:rPr>
              <w:t>0.087</w:t>
            </w:r>
          </w:p>
        </w:tc>
        <w:tc>
          <w:tcPr>
            <w:tcW w:w="3112" w:type="dxa"/>
            <w:shd w:val="clear" w:color="auto" w:fill="auto"/>
          </w:tcPr>
          <w:p>
            <w:pPr>
              <w:pStyle w:val="178"/>
              <w:rPr>
                <w:rFonts w:ascii="Times New Roman"/>
              </w:rPr>
            </w:pPr>
            <w:r>
              <w:rPr>
                <w:rFonts w:ascii="Times New Roman"/>
              </w:rPr>
              <w:t>47.65</w:t>
            </w:r>
          </w:p>
        </w:tc>
      </w:tr>
    </w:tbl>
    <w:p>
      <w:pPr>
        <w:pStyle w:val="56"/>
        <w:ind w:firstLine="420"/>
      </w:pPr>
    </w:p>
    <w:p>
      <w:pPr>
        <w:pStyle w:val="56"/>
        <w:ind w:firstLine="420"/>
      </w:pPr>
    </w:p>
    <w:bookmarkEnd w:id="71"/>
    <w:p>
      <w:pPr>
        <w:pStyle w:val="56"/>
        <w:ind w:firstLine="0" w:firstLineChars="0"/>
        <w:jc w:val="center"/>
      </w:pPr>
      <w:bookmarkStart w:id="74"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4"/>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1502/T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1502/T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GutKHXktUBFFyxfwvI+OJ6XZnng54dimYrmK73pML00xTn5LxU1U6P0hM7boDgJ0L6YaotQjZS/uy7qNmpdmOg==" w:salt="JEL6mnT6skRh/ppiPmKGM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wOTFiNjkwNmZkZGViMDMxZGEyNTM1ZWZjMjRlZmIifQ=="/>
  </w:docVars>
  <w:rsids>
    <w:rsidRoot w:val="003A7E3E"/>
    <w:rsid w:val="0000040A"/>
    <w:rsid w:val="00000A94"/>
    <w:rsid w:val="00001972"/>
    <w:rsid w:val="00001D9A"/>
    <w:rsid w:val="00007B3A"/>
    <w:rsid w:val="000107E0"/>
    <w:rsid w:val="00011FDE"/>
    <w:rsid w:val="00012FFD"/>
    <w:rsid w:val="00014162"/>
    <w:rsid w:val="00014340"/>
    <w:rsid w:val="00016A9C"/>
    <w:rsid w:val="00020DC5"/>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18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82A"/>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58D8"/>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78F"/>
    <w:rsid w:val="00193A07"/>
    <w:rsid w:val="00194C95"/>
    <w:rsid w:val="00195C34"/>
    <w:rsid w:val="00196EF5"/>
    <w:rsid w:val="001A1A53"/>
    <w:rsid w:val="001A234A"/>
    <w:rsid w:val="001A4CF3"/>
    <w:rsid w:val="001B06E8"/>
    <w:rsid w:val="001B6F84"/>
    <w:rsid w:val="001B71D0"/>
    <w:rsid w:val="001B71EE"/>
    <w:rsid w:val="001C04A8"/>
    <w:rsid w:val="001C2C03"/>
    <w:rsid w:val="001C42F7"/>
    <w:rsid w:val="001C49E5"/>
    <w:rsid w:val="001C680C"/>
    <w:rsid w:val="001C7FEA"/>
    <w:rsid w:val="001D0499"/>
    <w:rsid w:val="001D0BBE"/>
    <w:rsid w:val="001D0ED4"/>
    <w:rsid w:val="001D212F"/>
    <w:rsid w:val="001D2878"/>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15AE"/>
    <w:rsid w:val="002131D6"/>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44C"/>
    <w:rsid w:val="00247F52"/>
    <w:rsid w:val="00250B25"/>
    <w:rsid w:val="00250BBE"/>
    <w:rsid w:val="002515C2"/>
    <w:rsid w:val="0025194F"/>
    <w:rsid w:val="0026148A"/>
    <w:rsid w:val="00262696"/>
    <w:rsid w:val="00263D25"/>
    <w:rsid w:val="002643C3"/>
    <w:rsid w:val="00264A0C"/>
    <w:rsid w:val="00264F60"/>
    <w:rsid w:val="00266EEB"/>
    <w:rsid w:val="00267EF4"/>
    <w:rsid w:val="00270CB8"/>
    <w:rsid w:val="00272B08"/>
    <w:rsid w:val="002756C1"/>
    <w:rsid w:val="002771AC"/>
    <w:rsid w:val="00281BB8"/>
    <w:rsid w:val="00281E9E"/>
    <w:rsid w:val="00282405"/>
    <w:rsid w:val="00285170"/>
    <w:rsid w:val="00285361"/>
    <w:rsid w:val="00292514"/>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4E67"/>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7B54"/>
    <w:rsid w:val="00313B85"/>
    <w:rsid w:val="00315D53"/>
    <w:rsid w:val="00317988"/>
    <w:rsid w:val="003221B4"/>
    <w:rsid w:val="0032258D"/>
    <w:rsid w:val="00322E62"/>
    <w:rsid w:val="00324D13"/>
    <w:rsid w:val="00324D2A"/>
    <w:rsid w:val="00324EDD"/>
    <w:rsid w:val="003331E4"/>
    <w:rsid w:val="00336C64"/>
    <w:rsid w:val="00337162"/>
    <w:rsid w:val="0034194F"/>
    <w:rsid w:val="00344605"/>
    <w:rsid w:val="0034673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7E3E"/>
    <w:rsid w:val="003B09AD"/>
    <w:rsid w:val="003B1F18"/>
    <w:rsid w:val="003B5BF0"/>
    <w:rsid w:val="003B60BF"/>
    <w:rsid w:val="003B6BE3"/>
    <w:rsid w:val="003C010C"/>
    <w:rsid w:val="003C0A6C"/>
    <w:rsid w:val="003C14F8"/>
    <w:rsid w:val="003C5A43"/>
    <w:rsid w:val="003C5B82"/>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1CE"/>
    <w:rsid w:val="004939AE"/>
    <w:rsid w:val="004A12DF"/>
    <w:rsid w:val="004A17E6"/>
    <w:rsid w:val="004A1BA8"/>
    <w:rsid w:val="004A4B57"/>
    <w:rsid w:val="004A63FA"/>
    <w:rsid w:val="004B0272"/>
    <w:rsid w:val="004B2701"/>
    <w:rsid w:val="004B2E1B"/>
    <w:rsid w:val="004B3646"/>
    <w:rsid w:val="004B3AA8"/>
    <w:rsid w:val="004B3E93"/>
    <w:rsid w:val="004C1FBC"/>
    <w:rsid w:val="004C3F1D"/>
    <w:rsid w:val="004C458D"/>
    <w:rsid w:val="004C7556"/>
    <w:rsid w:val="004C7E8B"/>
    <w:rsid w:val="004C7E9D"/>
    <w:rsid w:val="004C7F67"/>
    <w:rsid w:val="004D0769"/>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4F75FE"/>
    <w:rsid w:val="00500705"/>
    <w:rsid w:val="00501139"/>
    <w:rsid w:val="0050363E"/>
    <w:rsid w:val="00503998"/>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31F3"/>
    <w:rsid w:val="0056487B"/>
    <w:rsid w:val="00564FB9"/>
    <w:rsid w:val="00573D9E"/>
    <w:rsid w:val="005801E3"/>
    <w:rsid w:val="00581802"/>
    <w:rsid w:val="005836A8"/>
    <w:rsid w:val="0058409C"/>
    <w:rsid w:val="00584262"/>
    <w:rsid w:val="00586630"/>
    <w:rsid w:val="00587ADD"/>
    <w:rsid w:val="00591E27"/>
    <w:rsid w:val="005957E3"/>
    <w:rsid w:val="00596160"/>
    <w:rsid w:val="005966E2"/>
    <w:rsid w:val="00597007"/>
    <w:rsid w:val="005A0966"/>
    <w:rsid w:val="005A11B7"/>
    <w:rsid w:val="005A13C2"/>
    <w:rsid w:val="005A260B"/>
    <w:rsid w:val="005A4A1B"/>
    <w:rsid w:val="005A7830"/>
    <w:rsid w:val="005A7FCE"/>
    <w:rsid w:val="005B0F3F"/>
    <w:rsid w:val="005B4903"/>
    <w:rsid w:val="005B51CE"/>
    <w:rsid w:val="005B5885"/>
    <w:rsid w:val="005B5CD7"/>
    <w:rsid w:val="005B6CF6"/>
    <w:rsid w:val="005B7422"/>
    <w:rsid w:val="005C261D"/>
    <w:rsid w:val="005C29B8"/>
    <w:rsid w:val="005C5F21"/>
    <w:rsid w:val="005C7156"/>
    <w:rsid w:val="005D0C75"/>
    <w:rsid w:val="005D1F92"/>
    <w:rsid w:val="005D4171"/>
    <w:rsid w:val="005D653A"/>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1B04"/>
    <w:rsid w:val="00612952"/>
    <w:rsid w:val="00614CC1"/>
    <w:rsid w:val="00615A9D"/>
    <w:rsid w:val="00617387"/>
    <w:rsid w:val="006205D6"/>
    <w:rsid w:val="00624BC2"/>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1B1"/>
    <w:rsid w:val="007002C5"/>
    <w:rsid w:val="00704387"/>
    <w:rsid w:val="00707669"/>
    <w:rsid w:val="00711CBA"/>
    <w:rsid w:val="00711FB5"/>
    <w:rsid w:val="00712A01"/>
    <w:rsid w:val="00714F58"/>
    <w:rsid w:val="00714F9B"/>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681E"/>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5F9"/>
    <w:rsid w:val="0078114B"/>
    <w:rsid w:val="00781DD2"/>
    <w:rsid w:val="007832F6"/>
    <w:rsid w:val="00783ECF"/>
    <w:rsid w:val="0078413A"/>
    <w:rsid w:val="007959E8"/>
    <w:rsid w:val="00795E9C"/>
    <w:rsid w:val="007A0521"/>
    <w:rsid w:val="007A2E12"/>
    <w:rsid w:val="007A3475"/>
    <w:rsid w:val="007A41C8"/>
    <w:rsid w:val="007A54CE"/>
    <w:rsid w:val="007A5CD6"/>
    <w:rsid w:val="007A6FD9"/>
    <w:rsid w:val="007A7FFA"/>
    <w:rsid w:val="007B04EB"/>
    <w:rsid w:val="007B0D4F"/>
    <w:rsid w:val="007B5A3D"/>
    <w:rsid w:val="007B5B95"/>
    <w:rsid w:val="007B68EA"/>
    <w:rsid w:val="007B6B21"/>
    <w:rsid w:val="007B7453"/>
    <w:rsid w:val="007C1E8B"/>
    <w:rsid w:val="007C2D89"/>
    <w:rsid w:val="007C4593"/>
    <w:rsid w:val="007C5309"/>
    <w:rsid w:val="007C6069"/>
    <w:rsid w:val="007D06C4"/>
    <w:rsid w:val="007D1352"/>
    <w:rsid w:val="007D2508"/>
    <w:rsid w:val="007D346A"/>
    <w:rsid w:val="007D412F"/>
    <w:rsid w:val="007D6518"/>
    <w:rsid w:val="007D76BD"/>
    <w:rsid w:val="007E0BF1"/>
    <w:rsid w:val="007E6FB6"/>
    <w:rsid w:val="007F0ED8"/>
    <w:rsid w:val="007F0F63"/>
    <w:rsid w:val="007F75CE"/>
    <w:rsid w:val="008013A4"/>
    <w:rsid w:val="008027CE"/>
    <w:rsid w:val="00802F42"/>
    <w:rsid w:val="00803889"/>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4B5"/>
    <w:rsid w:val="00830621"/>
    <w:rsid w:val="00832785"/>
    <w:rsid w:val="0083348C"/>
    <w:rsid w:val="008355F3"/>
    <w:rsid w:val="008373D3"/>
    <w:rsid w:val="00840617"/>
    <w:rsid w:val="00840F84"/>
    <w:rsid w:val="00842A47"/>
    <w:rsid w:val="00843C13"/>
    <w:rsid w:val="008454F8"/>
    <w:rsid w:val="0085173A"/>
    <w:rsid w:val="00854C1F"/>
    <w:rsid w:val="00856316"/>
    <w:rsid w:val="008603CE"/>
    <w:rsid w:val="0086057F"/>
    <w:rsid w:val="008620FC"/>
    <w:rsid w:val="008627A5"/>
    <w:rsid w:val="00863E05"/>
    <w:rsid w:val="00865ACA"/>
    <w:rsid w:val="00865D28"/>
    <w:rsid w:val="00865F85"/>
    <w:rsid w:val="00867C10"/>
    <w:rsid w:val="00870439"/>
    <w:rsid w:val="00870DA1"/>
    <w:rsid w:val="00883882"/>
    <w:rsid w:val="00883F93"/>
    <w:rsid w:val="00884820"/>
    <w:rsid w:val="00884DB3"/>
    <w:rsid w:val="00885A9D"/>
    <w:rsid w:val="008864F6"/>
    <w:rsid w:val="00887622"/>
    <w:rsid w:val="0089049D"/>
    <w:rsid w:val="008928C9"/>
    <w:rsid w:val="008930CB"/>
    <w:rsid w:val="008938DC"/>
    <w:rsid w:val="00893FD1"/>
    <w:rsid w:val="00894836"/>
    <w:rsid w:val="00895172"/>
    <w:rsid w:val="00895680"/>
    <w:rsid w:val="00896DFF"/>
    <w:rsid w:val="0089762C"/>
    <w:rsid w:val="008A1893"/>
    <w:rsid w:val="008A3215"/>
    <w:rsid w:val="008A512B"/>
    <w:rsid w:val="008A57E6"/>
    <w:rsid w:val="008A6F81"/>
    <w:rsid w:val="008A769A"/>
    <w:rsid w:val="008B0199"/>
    <w:rsid w:val="008B0C9C"/>
    <w:rsid w:val="008B166D"/>
    <w:rsid w:val="008B17F4"/>
    <w:rsid w:val="008B3615"/>
    <w:rsid w:val="008B3FCB"/>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75F"/>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0288"/>
    <w:rsid w:val="009429D5"/>
    <w:rsid w:val="00942BF1"/>
    <w:rsid w:val="00945180"/>
    <w:rsid w:val="00945428"/>
    <w:rsid w:val="0094607B"/>
    <w:rsid w:val="00946DF1"/>
    <w:rsid w:val="00953604"/>
    <w:rsid w:val="009539A1"/>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7A2"/>
    <w:rsid w:val="009E0F62"/>
    <w:rsid w:val="009E4A58"/>
    <w:rsid w:val="009E5A2D"/>
    <w:rsid w:val="009E5AB2"/>
    <w:rsid w:val="009E6219"/>
    <w:rsid w:val="009F03B3"/>
    <w:rsid w:val="009F6B1A"/>
    <w:rsid w:val="00A0096C"/>
    <w:rsid w:val="00A01757"/>
    <w:rsid w:val="00A028C0"/>
    <w:rsid w:val="00A02BAE"/>
    <w:rsid w:val="00A062A6"/>
    <w:rsid w:val="00A06A6B"/>
    <w:rsid w:val="00A07E47"/>
    <w:rsid w:val="00A129D0"/>
    <w:rsid w:val="00A12C33"/>
    <w:rsid w:val="00A138BA"/>
    <w:rsid w:val="00A14C8E"/>
    <w:rsid w:val="00A153D9"/>
    <w:rsid w:val="00A15F09"/>
    <w:rsid w:val="00A169B6"/>
    <w:rsid w:val="00A2271D"/>
    <w:rsid w:val="00A237D5"/>
    <w:rsid w:val="00A258C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CCA"/>
    <w:rsid w:val="00A55BD6"/>
    <w:rsid w:val="00A55D50"/>
    <w:rsid w:val="00A57142"/>
    <w:rsid w:val="00A648CD"/>
    <w:rsid w:val="00A6537A"/>
    <w:rsid w:val="00A67866"/>
    <w:rsid w:val="00A70B07"/>
    <w:rsid w:val="00A723F8"/>
    <w:rsid w:val="00A7282A"/>
    <w:rsid w:val="00A77CCB"/>
    <w:rsid w:val="00A83D8D"/>
    <w:rsid w:val="00A8446B"/>
    <w:rsid w:val="00A8473F"/>
    <w:rsid w:val="00A862D6"/>
    <w:rsid w:val="00A8715E"/>
    <w:rsid w:val="00A901CF"/>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2F69"/>
    <w:rsid w:val="00AD4126"/>
    <w:rsid w:val="00AD421C"/>
    <w:rsid w:val="00AD44FA"/>
    <w:rsid w:val="00AE070A"/>
    <w:rsid w:val="00AE0D7D"/>
    <w:rsid w:val="00AE101C"/>
    <w:rsid w:val="00AE37E5"/>
    <w:rsid w:val="00AE5EB4"/>
    <w:rsid w:val="00AF0C18"/>
    <w:rsid w:val="00AF47C5"/>
    <w:rsid w:val="00AF5398"/>
    <w:rsid w:val="00B044AA"/>
    <w:rsid w:val="00B049AF"/>
    <w:rsid w:val="00B07242"/>
    <w:rsid w:val="00B10534"/>
    <w:rsid w:val="00B113DB"/>
    <w:rsid w:val="00B11D8A"/>
    <w:rsid w:val="00B12981"/>
    <w:rsid w:val="00B147DD"/>
    <w:rsid w:val="00B156FD"/>
    <w:rsid w:val="00B16DF8"/>
    <w:rsid w:val="00B21F61"/>
    <w:rsid w:val="00B222CA"/>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3E17"/>
    <w:rsid w:val="00BA42B2"/>
    <w:rsid w:val="00BA58D4"/>
    <w:rsid w:val="00BA5B9E"/>
    <w:rsid w:val="00BA7C9A"/>
    <w:rsid w:val="00BB203B"/>
    <w:rsid w:val="00BB5F8F"/>
    <w:rsid w:val="00BB657A"/>
    <w:rsid w:val="00BC1A4E"/>
    <w:rsid w:val="00BC4790"/>
    <w:rsid w:val="00BC5DC7"/>
    <w:rsid w:val="00BC6B8B"/>
    <w:rsid w:val="00BC73D8"/>
    <w:rsid w:val="00BD4A6E"/>
    <w:rsid w:val="00BD52D7"/>
    <w:rsid w:val="00BD5AD2"/>
    <w:rsid w:val="00BE22F3"/>
    <w:rsid w:val="00BE4AA8"/>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1A5"/>
    <w:rsid w:val="00C21540"/>
    <w:rsid w:val="00C21906"/>
    <w:rsid w:val="00C21BFA"/>
    <w:rsid w:val="00C22148"/>
    <w:rsid w:val="00C24C8D"/>
    <w:rsid w:val="00C25FE2"/>
    <w:rsid w:val="00C26B53"/>
    <w:rsid w:val="00C279B2"/>
    <w:rsid w:val="00C33E50"/>
    <w:rsid w:val="00C34C20"/>
    <w:rsid w:val="00C35A3E"/>
    <w:rsid w:val="00C37EAA"/>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2951"/>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8BE"/>
    <w:rsid w:val="00CB2C0B"/>
    <w:rsid w:val="00CB517D"/>
    <w:rsid w:val="00CC038D"/>
    <w:rsid w:val="00CC08DB"/>
    <w:rsid w:val="00CC39FF"/>
    <w:rsid w:val="00CC3C2F"/>
    <w:rsid w:val="00CC4AC8"/>
    <w:rsid w:val="00CC5233"/>
    <w:rsid w:val="00CC5A56"/>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6C27"/>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27F36"/>
    <w:rsid w:val="00D32719"/>
    <w:rsid w:val="00D33333"/>
    <w:rsid w:val="00D33457"/>
    <w:rsid w:val="00D352A2"/>
    <w:rsid w:val="00D3660F"/>
    <w:rsid w:val="00D4162B"/>
    <w:rsid w:val="00D4514F"/>
    <w:rsid w:val="00D451E2"/>
    <w:rsid w:val="00D45E89"/>
    <w:rsid w:val="00D45E8D"/>
    <w:rsid w:val="00D466AE"/>
    <w:rsid w:val="00D4734F"/>
    <w:rsid w:val="00D51BF3"/>
    <w:rsid w:val="00D62A30"/>
    <w:rsid w:val="00D66846"/>
    <w:rsid w:val="00D675FB"/>
    <w:rsid w:val="00D6791B"/>
    <w:rsid w:val="00D71F25"/>
    <w:rsid w:val="00D72A9C"/>
    <w:rsid w:val="00D77031"/>
    <w:rsid w:val="00D802EE"/>
    <w:rsid w:val="00D830D3"/>
    <w:rsid w:val="00D84941"/>
    <w:rsid w:val="00D84FA1"/>
    <w:rsid w:val="00D851F0"/>
    <w:rsid w:val="00D85493"/>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180"/>
    <w:rsid w:val="00DF44DE"/>
    <w:rsid w:val="00DF5463"/>
    <w:rsid w:val="00DF5F11"/>
    <w:rsid w:val="00E01138"/>
    <w:rsid w:val="00E02DFB"/>
    <w:rsid w:val="00E030F9"/>
    <w:rsid w:val="00E0311A"/>
    <w:rsid w:val="00E03138"/>
    <w:rsid w:val="00E038EC"/>
    <w:rsid w:val="00E0571E"/>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B99"/>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1A73"/>
    <w:rsid w:val="00ED2B50"/>
    <w:rsid w:val="00EE0350"/>
    <w:rsid w:val="00EE0719"/>
    <w:rsid w:val="00EE0E80"/>
    <w:rsid w:val="00EE4C07"/>
    <w:rsid w:val="00EE54A6"/>
    <w:rsid w:val="00EE613F"/>
    <w:rsid w:val="00EE7295"/>
    <w:rsid w:val="00EE7869"/>
    <w:rsid w:val="00EF054A"/>
    <w:rsid w:val="00EF3235"/>
    <w:rsid w:val="00EF7E72"/>
    <w:rsid w:val="00F06D37"/>
    <w:rsid w:val="00F07B9D"/>
    <w:rsid w:val="00F11586"/>
    <w:rsid w:val="00F1183B"/>
    <w:rsid w:val="00F11C9F"/>
    <w:rsid w:val="00F12263"/>
    <w:rsid w:val="00F13B92"/>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339"/>
    <w:rsid w:val="00F81141"/>
    <w:rsid w:val="00F833BA"/>
    <w:rsid w:val="00F83ADD"/>
    <w:rsid w:val="00F84FD0"/>
    <w:rsid w:val="00F859A8"/>
    <w:rsid w:val="00F86D87"/>
    <w:rsid w:val="00F9108B"/>
    <w:rsid w:val="00F91349"/>
    <w:rsid w:val="00F93A8A"/>
    <w:rsid w:val="00F95248"/>
    <w:rsid w:val="00F956A9"/>
    <w:rsid w:val="00F963ED"/>
    <w:rsid w:val="00F966CF"/>
    <w:rsid w:val="00F96CAE"/>
    <w:rsid w:val="00F97C99"/>
    <w:rsid w:val="00FA1E37"/>
    <w:rsid w:val="00FA4DAC"/>
    <w:rsid w:val="00FA662D"/>
    <w:rsid w:val="00FA73B1"/>
    <w:rsid w:val="00FB0CB9"/>
    <w:rsid w:val="00FB231D"/>
    <w:rsid w:val="00FB343A"/>
    <w:rsid w:val="00FB45F1"/>
    <w:rsid w:val="00FB4A72"/>
    <w:rsid w:val="00FB54E8"/>
    <w:rsid w:val="00FB60A5"/>
    <w:rsid w:val="00FB7054"/>
    <w:rsid w:val="00FC17B7"/>
    <w:rsid w:val="00FC2CB7"/>
    <w:rsid w:val="00FC4090"/>
    <w:rsid w:val="00FC55B4"/>
    <w:rsid w:val="00FC71A4"/>
    <w:rsid w:val="00FD00E6"/>
    <w:rsid w:val="00FD09A1"/>
    <w:rsid w:val="00FD2A7C"/>
    <w:rsid w:val="00FD59EB"/>
    <w:rsid w:val="00FD5FCE"/>
    <w:rsid w:val="00FD7299"/>
    <w:rsid w:val="00FE1FBE"/>
    <w:rsid w:val="00FE3901"/>
    <w:rsid w:val="00FE39D3"/>
    <w:rsid w:val="00FE4BCE"/>
    <w:rsid w:val="00FE54AE"/>
    <w:rsid w:val="00FE576A"/>
    <w:rsid w:val="00FE7E79"/>
    <w:rsid w:val="00FF3BDD"/>
    <w:rsid w:val="00FF3E7D"/>
    <w:rsid w:val="00FF5B99"/>
    <w:rsid w:val="00FF730C"/>
    <w:rsid w:val="00FF73F4"/>
    <w:rsid w:val="00FF7CE4"/>
    <w:rsid w:val="00FF7E39"/>
    <w:rsid w:val="03850D81"/>
    <w:rsid w:val="0CAE6DB3"/>
    <w:rsid w:val="66730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5E2FA65F6EE4E8A942778FCFAB3691D"/>
        <w:style w:val=""/>
        <w:category>
          <w:name w:val="常规"/>
          <w:gallery w:val="placeholder"/>
        </w:category>
        <w:types>
          <w:type w:val="bbPlcHdr"/>
        </w:types>
        <w:behaviors>
          <w:behavior w:val="content"/>
        </w:behaviors>
        <w:description w:val=""/>
        <w:guid w:val="{18B6BC36-09F3-4AFE-BD26-4880353BAA86}"/>
      </w:docPartPr>
      <w:docPartBody>
        <w:p>
          <w:pPr>
            <w:pStyle w:val="5"/>
          </w:pPr>
          <w:r>
            <w:rPr>
              <w:rStyle w:val="4"/>
              <w:rFonts w:hint="eastAsia"/>
            </w:rPr>
            <w:t>单击或点击此处输入文字。</w:t>
          </w:r>
        </w:p>
      </w:docPartBody>
    </w:docPart>
    <w:docPart>
      <w:docPartPr>
        <w:name w:val="C626C5BA1350452B96FF5CCA0F81AB65"/>
        <w:style w:val=""/>
        <w:category>
          <w:name w:val="常规"/>
          <w:gallery w:val="placeholder"/>
        </w:category>
        <w:types>
          <w:type w:val="bbPlcHdr"/>
        </w:types>
        <w:behaviors>
          <w:behavior w:val="content"/>
        </w:behaviors>
        <w:description w:val=""/>
        <w:guid w:val="{D53B689E-9387-4E96-97CF-25FDBE2361BA}"/>
      </w:docPartPr>
      <w:docPartBody>
        <w:p>
          <w:pPr>
            <w:pStyle w:val="6"/>
          </w:pPr>
          <w:r>
            <w:rPr>
              <w:rStyle w:val="4"/>
              <w:rFonts w:hint="eastAsia"/>
            </w:rPr>
            <w:t>选择一项。</w:t>
          </w:r>
        </w:p>
      </w:docPartBody>
    </w:docPart>
    <w:docPart>
      <w:docPartPr>
        <w:name w:val="F9DC43C29C8B4BD1851E348D43898303"/>
        <w:style w:val=""/>
        <w:category>
          <w:name w:val="常规"/>
          <w:gallery w:val="placeholder"/>
        </w:category>
        <w:types>
          <w:type w:val="bbPlcHdr"/>
        </w:types>
        <w:behaviors>
          <w:behavior w:val="content"/>
        </w:behaviors>
        <w:description w:val=""/>
        <w:guid w:val="{6F62BD42-2908-4296-A079-9C336750FDC5}"/>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B9D"/>
    <w:rsid w:val="00091CB9"/>
    <w:rsid w:val="000D27C7"/>
    <w:rsid w:val="00117A14"/>
    <w:rsid w:val="00170D5B"/>
    <w:rsid w:val="003C4981"/>
    <w:rsid w:val="00713B9D"/>
    <w:rsid w:val="008C44F3"/>
    <w:rsid w:val="00C92A02"/>
    <w:rsid w:val="00CD05A3"/>
    <w:rsid w:val="00CF6C70"/>
    <w:rsid w:val="00D17534"/>
    <w:rsid w:val="00EC2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5E2FA65F6EE4E8A942778FCFAB3691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C626C5BA1350452B96FF5CCA0F81AB65"/>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F9DC43C29C8B4BD1851E348D4389830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B65F49-526C-4EF2-8938-D27FAF581294}">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8</Pages>
  <Words>1821</Words>
  <Characters>2230</Characters>
  <Lines>28</Lines>
  <Paragraphs>8</Paragraphs>
  <TotalTime>158</TotalTime>
  <ScaleCrop>false</ScaleCrop>
  <LinksUpToDate>false</LinksUpToDate>
  <CharactersWithSpaces>2409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2024-04-02T13:58:00Z</dcterms:created>
  <dc:creator>吴乐</dc:creator>
  <dc:description>&lt;config cover="true" show_menu="true" version="1.0.0" doctype="SDKXY"&gt;_x000d_
&lt;/config&gt;</dc:description>
  <cp:lastModifiedBy>YY</cp:lastModifiedBy>
  <cp:lastPrinted>2020-08-30T10:00:00Z</cp:lastPrinted>
  <dcterms:modified xsi:type="dcterms:W3CDTF">2024-06-24T08:23:47Z</dcterms:modified>
  <dc:title>地方标准</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FDCAB860925041F0B7C103D1E62B5D67_12</vt:lpwstr>
  </property>
</Properties>
</file>