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65.020.40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64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1502/T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包头地区人工林碳汇计量标准</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Measuring standard for plantation forest carbon sequestration in Baotou 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80" w:name="_GoBack"/>
      <w:bookmarkEnd w:id="80"/>
      <w:bookmarkStart w:id="21" w:name="BookMark1"/>
      <w:bookmarkStart w:id="22" w:name="_Toc162971162"/>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"_Toc168489991" </w:instrText>
      </w:r>
      <w:r>
        <w:fldChar w:fldCharType="separate"/>
      </w:r>
      <w:r>
        <w:rPr>
          <w:rStyle w:val="32"/>
        </w:rPr>
        <w:t>前言</w:t>
      </w:r>
      <w:r>
        <w:tab/>
      </w:r>
      <w:r>
        <w:fldChar w:fldCharType="begin"/>
      </w:r>
      <w:r>
        <w:instrText xml:space="preserve"> PAGEREF _Toc168489991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"_Toc168489992" </w:instrText>
      </w:r>
      <w:r>
        <w:fldChar w:fldCharType="separate"/>
      </w:r>
      <w:r>
        <w:rPr>
          <w:rStyle w:val="32"/>
        </w:rPr>
        <w:t>1  范围</w:t>
      </w:r>
      <w:r>
        <w:tab/>
      </w:r>
      <w:r>
        <w:fldChar w:fldCharType="begin"/>
      </w:r>
      <w:r>
        <w:instrText xml:space="preserve"> PAGEREF _Toc168489992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"_Toc168489993" </w:instrText>
      </w:r>
      <w:r>
        <w:fldChar w:fldCharType="separate"/>
      </w:r>
      <w:r>
        <w:rPr>
          <w:rStyle w:val="32"/>
        </w:rPr>
        <w:t>2  规范性引用文件</w:t>
      </w:r>
      <w:r>
        <w:tab/>
      </w:r>
      <w:r>
        <w:fldChar w:fldCharType="begin"/>
      </w:r>
      <w:r>
        <w:instrText xml:space="preserve"> PAGEREF _Toc168489993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"_Toc168489994" </w:instrText>
      </w:r>
      <w:r>
        <w:fldChar w:fldCharType="separate"/>
      </w:r>
      <w:r>
        <w:rPr>
          <w:rStyle w:val="32"/>
        </w:rPr>
        <w:t>3  术语和定义</w:t>
      </w:r>
      <w:r>
        <w:tab/>
      </w:r>
      <w:r>
        <w:fldChar w:fldCharType="begin"/>
      </w:r>
      <w:r>
        <w:instrText xml:space="preserve"> PAGEREF _Toc168489994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"_Toc168490000" </w:instrText>
      </w:r>
      <w:r>
        <w:fldChar w:fldCharType="separate"/>
      </w:r>
      <w:r>
        <w:rPr>
          <w:rStyle w:val="32"/>
        </w:rPr>
        <w:t>4  计量对象与周期</w:t>
      </w:r>
      <w:r>
        <w:tab/>
      </w:r>
      <w:r>
        <w:fldChar w:fldCharType="begin"/>
      </w:r>
      <w:r>
        <w:instrText xml:space="preserve"> PAGEREF _Toc168490000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"_Toc168490001" </w:instrText>
      </w:r>
      <w:r>
        <w:fldChar w:fldCharType="separate"/>
      </w:r>
      <w:r>
        <w:rPr>
          <w:rStyle w:val="32"/>
        </w:rPr>
        <w:t>5  计量内容</w:t>
      </w:r>
      <w:r>
        <w:tab/>
      </w:r>
      <w:r>
        <w:fldChar w:fldCharType="begin"/>
      </w:r>
      <w:r>
        <w:instrText xml:space="preserve"> PAGEREF _Toc168490001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"_Toc168490002" </w:instrText>
      </w:r>
      <w:r>
        <w:fldChar w:fldCharType="separate"/>
      </w:r>
      <w:r>
        <w:rPr>
          <w:rStyle w:val="32"/>
        </w:rPr>
        <w:t>6  计量方法</w:t>
      </w:r>
      <w:r>
        <w:tab/>
      </w:r>
      <w:r>
        <w:fldChar w:fldCharType="begin"/>
      </w:r>
      <w:r>
        <w:instrText xml:space="preserve"> PAGEREF _Toc168490002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"_Toc168490003" </w:instrText>
      </w:r>
      <w:r>
        <w:fldChar w:fldCharType="separate"/>
      </w:r>
      <w:r>
        <w:rPr>
          <w:rStyle w:val="32"/>
          <w14:scene3d>
            <w14:lightRig w14:rig="threePt" w14:dir="t">
              <w14:rot w14:lat="0" w14:lon="0" w14:rev="0"/>
            </w14:lightRig>
          </w14:scene3d>
        </w:rPr>
        <w:t xml:space="preserve">6.1 </w:t>
      </w:r>
      <w:r>
        <w:rPr>
          <w:rStyle w:val="32"/>
        </w:rPr>
        <w:t xml:space="preserve"> 调查取样与测定</w:t>
      </w:r>
      <w:r>
        <w:tab/>
      </w:r>
      <w:r>
        <w:fldChar w:fldCharType="begin"/>
      </w:r>
      <w:r>
        <w:instrText xml:space="preserve"> PAGEREF _Toc168490003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"_Toc168490004" </w:instrText>
      </w:r>
      <w:r>
        <w:fldChar w:fldCharType="separate"/>
      </w:r>
      <w:r>
        <w:rPr>
          <w:rStyle w:val="32"/>
          <w14:scene3d>
            <w14:lightRig w14:rig="threePt" w14:dir="t">
              <w14:rot w14:lat="0" w14:lon="0" w14:rev="0"/>
            </w14:lightRig>
          </w14:scene3d>
        </w:rPr>
        <w:t xml:space="preserve">6.2 </w:t>
      </w:r>
      <w:r>
        <w:rPr>
          <w:rStyle w:val="32"/>
        </w:rPr>
        <w:t xml:space="preserve"> 碳汇计量</w:t>
      </w:r>
      <w:r>
        <w:tab/>
      </w:r>
      <w:r>
        <w:fldChar w:fldCharType="begin"/>
      </w:r>
      <w:r>
        <w:instrText xml:space="preserve"> PAGEREF _Toc168490004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"_Toc168490005" </w:instrText>
      </w:r>
      <w:r>
        <w:fldChar w:fldCharType="separate"/>
      </w:r>
      <w:r>
        <w:rPr>
          <w:rStyle w:val="32"/>
        </w:rPr>
        <w:t>附录A（资料性）  包头地区人工林碳储量表</w:t>
      </w:r>
      <w:r>
        <w:tab/>
      </w:r>
      <w:r>
        <w:fldChar w:fldCharType="begin"/>
      </w:r>
      <w:r>
        <w:instrText xml:space="preserve"> PAGEREF _Toc168490005 \h </w:instrText>
      </w:r>
      <w:r>
        <w:fldChar w:fldCharType="separate"/>
      </w:r>
      <w:r>
        <w:t>6</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68489991"/>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p>
    <w:p>
      <w:pPr>
        <w:pStyle w:val="56"/>
        <w:ind w:firstLine="420"/>
        <w:rPr>
          <w:rFonts w:hint="eastAsia"/>
        </w:rPr>
      </w:pPr>
      <w:r>
        <w:rPr>
          <w:rFonts w:hint="eastAsia"/>
        </w:rPr>
        <w:t>本文件起草单位：包头市林业和草原局、包头市林业和草原工作站、内蒙古农业大学、包头市林业和草原资源保护站、包头市检验检测中心、包头市固阳县林业和草原局、包头市青山区农牧局。</w:t>
      </w:r>
    </w:p>
    <w:p>
      <w:pPr>
        <w:pStyle w:val="56"/>
        <w:ind w:firstLine="420"/>
      </w:pPr>
      <w:r>
        <w:rPr>
          <w:rFonts w:hint="eastAsia"/>
        </w:rPr>
        <w:t>本文件主要起草人：张文英、高润红、王智慧、闫婧、武春霞、李茂森、杨文静、韩淑敏、吴乐、冯小东、张瑞、吕整荣、姚瑶、冀鹏浩、杨婷婷、孙婷、杨霞。</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D3A134526FFB4AECB173CB0135A02C0D"/>
        </w:placeholder>
      </w:sdtPr>
      <w:sdtContent>
        <w:p>
          <w:pPr>
            <w:pStyle w:val="177"/>
            <w:spacing w:before="3" w:beforeLines="1" w:after="686" w:afterLines="220"/>
          </w:pPr>
          <w:bookmarkStart w:id="26" w:name="NEW_STAND_NAME"/>
          <w:r>
            <w:rPr>
              <w:rFonts w:hint="eastAsia"/>
            </w:rPr>
            <w:t>包头地区人工林碳汇计量标准</w:t>
          </w:r>
        </w:p>
      </w:sdtContent>
    </w:sdt>
    <w:bookmarkEnd w:id="26"/>
    <w:p>
      <w:pPr>
        <w:pStyle w:val="104"/>
        <w:spacing w:before="312" w:after="312"/>
      </w:pPr>
      <w:bookmarkStart w:id="27" w:name="_Toc17233325"/>
      <w:bookmarkStart w:id="28" w:name="_Toc26648465"/>
      <w:bookmarkStart w:id="29" w:name="_Toc17233333"/>
      <w:bookmarkStart w:id="30" w:name="_Toc26986530"/>
      <w:bookmarkStart w:id="31" w:name="_Toc24884218"/>
      <w:bookmarkStart w:id="32" w:name="_Toc168489992"/>
      <w:bookmarkStart w:id="33" w:name="_Toc162508411"/>
      <w:bookmarkStart w:id="34" w:name="_Toc26718930"/>
      <w:bookmarkStart w:id="35" w:name="_Toc97191423"/>
      <w:bookmarkStart w:id="36" w:name="_Toc26986771"/>
      <w:bookmarkStart w:id="37" w:name="_Toc24884211"/>
      <w:bookmarkStart w:id="38" w:name="_Toc162971163"/>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17233326"/>
      <w:bookmarkStart w:id="40" w:name="_Toc26648466"/>
      <w:bookmarkStart w:id="41" w:name="_Toc17233334"/>
      <w:bookmarkStart w:id="42" w:name="_Toc24884219"/>
      <w:bookmarkStart w:id="43" w:name="_Toc24884212"/>
      <w:r>
        <w:rPr>
          <w:rFonts w:hint="eastAsia"/>
        </w:rPr>
        <w:t>本文件规定了包头地区人工林碳汇的计量对象与周期、计量内容、计量方法与相关要求。</w:t>
      </w:r>
    </w:p>
    <w:p>
      <w:pPr>
        <w:pStyle w:val="56"/>
        <w:ind w:firstLine="420"/>
      </w:pPr>
      <w:r>
        <w:rPr>
          <w:rFonts w:hint="eastAsia"/>
        </w:rPr>
        <w:t>本文件适用于包头地区人工林碳储量和碳汇量的计量核算。</w:t>
      </w:r>
    </w:p>
    <w:p>
      <w:pPr>
        <w:pStyle w:val="104"/>
        <w:spacing w:before="312" w:after="312"/>
      </w:pPr>
      <w:bookmarkStart w:id="44" w:name="_Toc168489993"/>
      <w:bookmarkStart w:id="45" w:name="_Toc97191424"/>
      <w:bookmarkStart w:id="46" w:name="_Toc26718931"/>
      <w:bookmarkStart w:id="47" w:name="_Toc26986772"/>
      <w:bookmarkStart w:id="48" w:name="_Toc26986531"/>
      <w:bookmarkStart w:id="49" w:name="_Toc162971164"/>
      <w:bookmarkStart w:id="50" w:name="_Toc162508412"/>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3B13529BAECC410E92E9401770E444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t xml:space="preserve">LY/T 2253 </w:t>
      </w:r>
      <w:r>
        <w:rPr>
          <w:rFonts w:hint="eastAsia"/>
        </w:rPr>
        <w:t>造林项目碳汇计量监测指南</w:t>
      </w:r>
    </w:p>
    <w:p>
      <w:pPr>
        <w:pStyle w:val="56"/>
        <w:ind w:firstLine="420"/>
      </w:pPr>
      <w:r>
        <w:t xml:space="preserve">DB 1502/T 022 </w:t>
      </w:r>
      <w:r>
        <w:rPr>
          <w:rFonts w:hint="eastAsia"/>
        </w:rPr>
        <w:t>森林碳汇调查与监测技术规程</w:t>
      </w:r>
    </w:p>
    <w:p>
      <w:pPr>
        <w:pStyle w:val="104"/>
        <w:spacing w:before="312" w:after="312"/>
      </w:pPr>
      <w:bookmarkStart w:id="51" w:name="_Toc168489994"/>
      <w:bookmarkStart w:id="52" w:name="_Toc162971165"/>
      <w:bookmarkStart w:id="53" w:name="_Toc162508413"/>
      <w:bookmarkStart w:id="54" w:name="_Toc97191425"/>
      <w:r>
        <w:rPr>
          <w:rFonts w:hint="eastAsia"/>
          <w:szCs w:val="21"/>
        </w:rPr>
        <w:t>术语和定义</w:t>
      </w:r>
      <w:bookmarkEnd w:id="51"/>
      <w:bookmarkEnd w:id="52"/>
      <w:bookmarkEnd w:id="53"/>
      <w:bookmarkEnd w:id="54"/>
    </w:p>
    <w:sdt>
      <w:sdtPr>
        <w:id w:val="-1909835108"/>
        <w:placeholder>
          <w:docPart w:val="BAFF91CC91CC4390A63504EDBB8035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5" w:name="_Toc26986532"/>
          <w:bookmarkEnd w:id="55"/>
          <w:r>
            <w:t>下列术语和定义适用于本文件。</w:t>
          </w:r>
        </w:p>
      </w:sdtContent>
    </w:sdt>
    <w:p>
      <w:pPr>
        <w:pStyle w:val="105"/>
        <w:spacing w:before="156" w:after="156"/>
      </w:pPr>
      <w:bookmarkStart w:id="56" w:name="_Toc168489995"/>
      <w:bookmarkEnd w:id="56"/>
      <w:bookmarkStart w:id="57" w:name="_Toc162971166"/>
      <w:bookmarkEnd w:id="57"/>
    </w:p>
    <w:p>
      <w:pPr>
        <w:pStyle w:val="56"/>
        <w:ind w:firstLine="420"/>
        <w:rPr>
          <w:rFonts w:ascii="黑体" w:hAnsi="黑体" w:eastAsia="黑体"/>
        </w:rPr>
      </w:pPr>
      <w:r>
        <w:rPr>
          <w:rFonts w:hint="eastAsia" w:ascii="黑体" w:hAnsi="黑体" w:eastAsia="黑体"/>
        </w:rPr>
        <w:t xml:space="preserve">人工林 </w:t>
      </w:r>
      <w:r>
        <w:rPr>
          <w:rFonts w:ascii="黑体" w:hAnsi="黑体" w:eastAsia="黑体"/>
        </w:rPr>
        <w:t xml:space="preserve"> </w:t>
      </w:r>
      <w:r>
        <w:rPr>
          <w:rFonts w:hint="eastAsia" w:ascii="黑体" w:hAnsi="黑体" w:eastAsia="黑体"/>
        </w:rPr>
        <w:t>p</w:t>
      </w:r>
      <w:r>
        <w:rPr>
          <w:rFonts w:ascii="黑体" w:hAnsi="黑体" w:eastAsia="黑体"/>
        </w:rPr>
        <w:t>lanted forest</w:t>
      </w:r>
    </w:p>
    <w:p>
      <w:pPr>
        <w:pStyle w:val="56"/>
        <w:ind w:firstLine="420"/>
      </w:pPr>
      <w:r>
        <w:rPr>
          <w:rFonts w:hint="eastAsia"/>
        </w:rPr>
        <w:t>人工林指通过人工措施形成的森林，采用人工播种、栽植或扦插等方法和技术措施营造培育而成的森林。</w:t>
      </w:r>
    </w:p>
    <w:p>
      <w:pPr>
        <w:pStyle w:val="105"/>
        <w:spacing w:before="156" w:after="156"/>
      </w:pPr>
      <w:bookmarkStart w:id="58" w:name="_Toc168489996"/>
      <w:bookmarkEnd w:id="58"/>
      <w:bookmarkStart w:id="59" w:name="_Toc162971167"/>
      <w:bookmarkEnd w:id="59"/>
    </w:p>
    <w:p>
      <w:pPr>
        <w:pStyle w:val="56"/>
        <w:ind w:firstLine="420"/>
        <w:rPr>
          <w:rFonts w:ascii="黑体" w:hAnsi="黑体" w:eastAsia="黑体" w:cs="黑体"/>
        </w:rPr>
      </w:pPr>
      <w:r>
        <w:rPr>
          <w:rFonts w:hint="eastAsia" w:ascii="黑体" w:hAnsi="黑体" w:eastAsia="黑体" w:cs="黑体"/>
        </w:rPr>
        <w:t>森林碳汇  forest carbon sequestration</w:t>
      </w:r>
    </w:p>
    <w:p>
      <w:pPr>
        <w:pStyle w:val="56"/>
        <w:ind w:firstLine="420"/>
      </w:pPr>
      <w:r>
        <w:rPr>
          <w:rFonts w:hint="eastAsia"/>
        </w:rPr>
        <w:t>森林植物通过光合作用吸收大气中的二氧化碳将其固定在森林植被和土壤中的碳的积累量。</w:t>
      </w:r>
    </w:p>
    <w:p>
      <w:pPr>
        <w:pStyle w:val="105"/>
        <w:spacing w:before="156" w:after="156"/>
      </w:pPr>
      <w:bookmarkStart w:id="60" w:name="_Toc162971168"/>
      <w:bookmarkEnd w:id="60"/>
      <w:bookmarkStart w:id="61" w:name="_Toc168489997"/>
      <w:bookmarkEnd w:id="61"/>
    </w:p>
    <w:p>
      <w:pPr>
        <w:pStyle w:val="56"/>
        <w:ind w:firstLine="420"/>
        <w:rPr>
          <w:rFonts w:ascii="黑体" w:hAnsi="黑体" w:eastAsia="黑体"/>
        </w:rPr>
      </w:pPr>
      <w:r>
        <w:rPr>
          <w:rFonts w:hint="eastAsia" w:ascii="黑体" w:hAnsi="黑体" w:eastAsia="黑体"/>
        </w:rPr>
        <w:t xml:space="preserve">森林碳库 </w:t>
      </w:r>
      <w:r>
        <w:rPr>
          <w:rFonts w:ascii="黑体" w:hAnsi="黑体" w:eastAsia="黑体"/>
        </w:rPr>
        <w:t xml:space="preserve"> </w:t>
      </w:r>
      <w:r>
        <w:rPr>
          <w:rFonts w:hint="eastAsia" w:ascii="黑体" w:hAnsi="黑体" w:eastAsia="黑体"/>
        </w:rPr>
        <w:t>f</w:t>
      </w:r>
      <w:r>
        <w:rPr>
          <w:rFonts w:ascii="黑体" w:hAnsi="黑体" w:eastAsia="黑体"/>
        </w:rPr>
        <w:t>orest carbon pool</w:t>
      </w:r>
    </w:p>
    <w:p>
      <w:pPr>
        <w:pStyle w:val="56"/>
        <w:ind w:firstLine="420"/>
      </w:pPr>
      <w:r>
        <w:rPr>
          <w:rFonts w:hint="eastAsia"/>
        </w:rPr>
        <w:t>森林生态系统通过碳汇储存在不同的物质中。</w:t>
      </w:r>
    </w:p>
    <w:p>
      <w:pPr>
        <w:pStyle w:val="56"/>
        <w:ind w:firstLine="420"/>
      </w:pPr>
      <w:r>
        <w:rPr>
          <w:rFonts w:hint="eastAsia"/>
        </w:rPr>
        <w:t>注：仅包括为地上生物量、地下生物量、枯落物和土壤有机质四大碳库。</w:t>
      </w:r>
    </w:p>
    <w:p>
      <w:pPr>
        <w:pStyle w:val="56"/>
        <w:ind w:firstLine="420"/>
      </w:pPr>
      <w:r>
        <w:rPr>
          <w:rFonts w:hint="eastAsia"/>
        </w:rPr>
        <w:t>[来源：LY/T 2253-2014，2，有修改]</w:t>
      </w:r>
    </w:p>
    <w:p>
      <w:pPr>
        <w:pStyle w:val="105"/>
        <w:spacing w:before="156" w:after="156"/>
      </w:pPr>
      <w:bookmarkStart w:id="62" w:name="_Toc168489998"/>
      <w:bookmarkEnd w:id="62"/>
      <w:bookmarkStart w:id="63" w:name="_Toc162971169"/>
      <w:bookmarkEnd w:id="63"/>
    </w:p>
    <w:p>
      <w:pPr>
        <w:pStyle w:val="56"/>
        <w:ind w:firstLine="420"/>
        <w:rPr>
          <w:rFonts w:ascii="黑体" w:hAnsi="黑体" w:eastAsia="黑体"/>
        </w:rPr>
      </w:pPr>
      <w:r>
        <w:rPr>
          <w:rFonts w:hint="eastAsia" w:ascii="黑体" w:hAnsi="黑体" w:eastAsia="黑体"/>
        </w:rPr>
        <w:t xml:space="preserve">龄组 </w:t>
      </w:r>
      <w:r>
        <w:rPr>
          <w:rFonts w:ascii="黑体" w:hAnsi="黑体" w:eastAsia="黑体"/>
        </w:rPr>
        <w:t xml:space="preserve"> </w:t>
      </w:r>
      <w:r>
        <w:rPr>
          <w:rFonts w:hint="eastAsia" w:ascii="黑体" w:hAnsi="黑体" w:eastAsia="黑体"/>
        </w:rPr>
        <w:t>a</w:t>
      </w:r>
      <w:r>
        <w:rPr>
          <w:rFonts w:ascii="黑体" w:hAnsi="黑体" w:eastAsia="黑体"/>
        </w:rPr>
        <w:t>ge group</w:t>
      </w:r>
    </w:p>
    <w:p>
      <w:pPr>
        <w:pStyle w:val="56"/>
        <w:ind w:firstLine="420"/>
      </w:pPr>
      <w:r>
        <w:rPr>
          <w:rFonts w:hint="eastAsia"/>
        </w:rPr>
        <w:t>龄组是指龄级的整化。一个龄组常包含一至几个龄级。可划分为幼龄林、中龄林、近熟林、成熟林、过熟林。</w:t>
      </w:r>
    </w:p>
    <w:p>
      <w:pPr>
        <w:pStyle w:val="104"/>
        <w:spacing w:before="312" w:after="312"/>
      </w:pPr>
      <w:bookmarkStart w:id="64" w:name="_Toc168489999"/>
      <w:bookmarkEnd w:id="64"/>
      <w:bookmarkStart w:id="65" w:name="_Toc162971170"/>
      <w:bookmarkEnd w:id="65"/>
      <w:bookmarkStart w:id="66" w:name="_Toc168490000"/>
      <w:bookmarkStart w:id="67" w:name="_Toc162971171"/>
      <w:r>
        <w:rPr>
          <w:rFonts w:hint="eastAsia"/>
        </w:rPr>
        <w:t>计量对象与周期</w:t>
      </w:r>
      <w:bookmarkEnd w:id="66"/>
      <w:bookmarkEnd w:id="67"/>
    </w:p>
    <w:p>
      <w:pPr>
        <w:pStyle w:val="56"/>
        <w:ind w:firstLine="420"/>
      </w:pPr>
      <w:r>
        <w:rPr>
          <w:rFonts w:hint="eastAsia"/>
        </w:rPr>
        <w:t>监测对象为包头地区不同立地条件、不同龄组的人工林。</w:t>
      </w:r>
    </w:p>
    <w:p>
      <w:pPr>
        <w:pStyle w:val="56"/>
        <w:ind w:firstLine="420"/>
      </w:pPr>
      <w:r>
        <w:rPr>
          <w:rFonts w:hint="eastAsia"/>
        </w:rPr>
        <w:t>监测周期为每五年一次。</w:t>
      </w:r>
    </w:p>
    <w:p>
      <w:pPr>
        <w:pStyle w:val="104"/>
        <w:spacing w:before="312" w:after="312"/>
      </w:pPr>
      <w:bookmarkStart w:id="68" w:name="_Toc162971172"/>
      <w:bookmarkStart w:id="69" w:name="_Toc168490001"/>
      <w:r>
        <w:rPr>
          <w:rFonts w:hint="eastAsia"/>
        </w:rPr>
        <w:t>计量内容</w:t>
      </w:r>
      <w:bookmarkEnd w:id="68"/>
      <w:bookmarkEnd w:id="69"/>
    </w:p>
    <w:p>
      <w:pPr>
        <w:pStyle w:val="56"/>
        <w:ind w:firstLine="420"/>
      </w:pPr>
      <w:r>
        <w:rPr>
          <w:rFonts w:hint="eastAsia"/>
        </w:rPr>
        <w:t>包头地区不同立地条件、不同龄组人工林不同监测周期的碳汇。</w:t>
      </w:r>
    </w:p>
    <w:p>
      <w:pPr>
        <w:pStyle w:val="104"/>
        <w:spacing w:before="312" w:after="312"/>
      </w:pPr>
      <w:bookmarkStart w:id="70" w:name="_Toc162971173"/>
      <w:bookmarkStart w:id="71" w:name="_Toc168490002"/>
      <w:r>
        <w:rPr>
          <w:rFonts w:hint="eastAsia"/>
        </w:rPr>
        <w:t>计量方法</w:t>
      </w:r>
      <w:bookmarkEnd w:id="70"/>
      <w:bookmarkEnd w:id="71"/>
    </w:p>
    <w:p>
      <w:pPr>
        <w:pStyle w:val="105"/>
        <w:spacing w:before="156" w:after="156"/>
      </w:pPr>
      <w:bookmarkStart w:id="72" w:name="_Toc168490003"/>
      <w:bookmarkStart w:id="73" w:name="_Toc162971174"/>
      <w:r>
        <w:rPr>
          <w:rFonts w:hint="eastAsia"/>
        </w:rPr>
        <w:t>调查取样与测定</w:t>
      </w:r>
      <w:bookmarkEnd w:id="72"/>
      <w:bookmarkEnd w:id="73"/>
    </w:p>
    <w:p>
      <w:pPr>
        <w:pStyle w:val="56"/>
        <w:ind w:firstLine="420"/>
      </w:pPr>
      <w:r>
        <w:rPr>
          <w:rFonts w:hint="eastAsia"/>
        </w:rPr>
        <w:t>按照D</w:t>
      </w:r>
      <w:r>
        <w:t xml:space="preserve">B 1502/T 022 </w:t>
      </w:r>
      <w:r>
        <w:rPr>
          <w:rFonts w:hint="eastAsia"/>
        </w:rPr>
        <w:t>进行调查取样与测定。</w:t>
      </w:r>
    </w:p>
    <w:p>
      <w:pPr>
        <w:pStyle w:val="105"/>
        <w:spacing w:before="156" w:after="156"/>
      </w:pPr>
      <w:bookmarkStart w:id="74" w:name="_Toc162971175"/>
      <w:bookmarkStart w:id="75" w:name="_Toc168490004"/>
      <w:r>
        <w:rPr>
          <w:rFonts w:hint="eastAsia"/>
        </w:rPr>
        <w:t>碳汇计量</w:t>
      </w:r>
      <w:bookmarkEnd w:id="74"/>
      <w:bookmarkEnd w:id="75"/>
    </w:p>
    <w:p>
      <w:pPr>
        <w:pStyle w:val="56"/>
        <w:ind w:firstLine="420"/>
      </w:pPr>
      <w:r>
        <w:rPr>
          <w:rFonts w:hint="eastAsia"/>
        </w:rPr>
        <w:t>通过库—差别方法，用当年调查的碳储量和基年调查的碳储量得到人工林年平均碳汇，参见附表A包头地区人工林碳储量表。采用以下公式获得：</w:t>
      </w:r>
    </w:p>
    <w:p>
      <w:pPr>
        <w:pStyle w:val="113"/>
      </w:pPr>
      <w:r>
        <w:tab/>
      </w:r>
      <m:oMath>
        <m:r>
          <m:rPr>
            <m:sty m:val="p"/>
          </m:rPr>
          <w:rPr>
            <w:rFonts w:hint="eastAsia" w:ascii="Cambria Math" w:hAnsi="Cambria Math"/>
            <w:kern w:val="0"/>
            <w:szCs w:val="20"/>
          </w:rPr>
          <m:t>∆</m:t>
        </m:r>
        <m:r>
          <m:rPr>
            <m:sty m:val="p"/>
          </m:rPr>
          <w:rPr>
            <w:rFonts w:ascii="Cambria Math" w:hAnsi="Cambria Math"/>
            <w:kern w:val="0"/>
            <w:szCs w:val="20"/>
          </w:rPr>
          <m:t>C</m:t>
        </m:r>
        <m:r>
          <m:rPr>
            <m:sty m:val="p"/>
          </m:rPr>
          <w:rPr>
            <w:rFonts w:hint="eastAsia" w:ascii="Cambria Math" w:hAnsi="Cambria Math"/>
            <w:kern w:val="0"/>
            <w:szCs w:val="20"/>
          </w:rPr>
          <m:t>=</m:t>
        </m:r>
        <m:f>
          <m:fPr>
            <m:ctrlPr>
              <w:rPr>
                <w:rFonts w:ascii="Cambria Math" w:hAnsi="Cambria Math"/>
                <w:kern w:val="0"/>
                <w:szCs w:val="20"/>
              </w:rPr>
            </m:ctrlPr>
          </m:fPr>
          <m:num>
            <m:r>
              <m:rPr>
                <m:sty m:val="p"/>
              </m:rPr>
              <w:rPr>
                <w:rFonts w:hint="eastAsia" w:ascii="Cambria Math" w:hAnsi="Cambria Math"/>
                <w:kern w:val="0"/>
                <w:szCs w:val="20"/>
              </w:rPr>
              <m:t>C</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2</m:t>
                </m:r>
                <m:ctrlPr>
                  <w:rPr>
                    <w:rFonts w:ascii="Cambria Math" w:hAnsi="Cambria Math"/>
                    <w:kern w:val="0"/>
                    <w:szCs w:val="20"/>
                  </w:rPr>
                </m:ctrlPr>
              </m:sub>
            </m:sSub>
            <m:r>
              <m:rPr>
                <m:sty m:val="p"/>
              </m:rPr>
              <w:rPr>
                <w:rFonts w:hint="eastAsia" w:ascii="Cambria Math" w:hAnsi="Cambria Math"/>
                <w:kern w:val="0"/>
                <w:szCs w:val="20"/>
              </w:rPr>
              <m:t>−C</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1</m:t>
                </m:r>
                <m:ctrlPr>
                  <w:rPr>
                    <w:rFonts w:ascii="Cambria Math" w:hAnsi="Cambria Math"/>
                    <w:kern w:val="0"/>
                    <w:szCs w:val="20"/>
                  </w:rPr>
                </m:ctrlPr>
              </m:sub>
            </m:sSub>
            <m:ctrlPr>
              <w:rPr>
                <w:rFonts w:ascii="Cambria Math" w:hAnsi="Cambria Math"/>
                <w:kern w:val="0"/>
                <w:szCs w:val="20"/>
              </w:rPr>
            </m:ctrlPr>
          </m:num>
          <m:den>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2</m:t>
                </m:r>
                <m:ctrlPr>
                  <w:rPr>
                    <w:rFonts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1</m:t>
                </m:r>
                <m:ctrlPr>
                  <w:rPr>
                    <w:rFonts w:ascii="Cambria Math" w:hAnsi="Cambria Math"/>
                    <w:kern w:val="0"/>
                    <w:szCs w:val="20"/>
                  </w:rPr>
                </m:ctrlPr>
              </m:sub>
            </m:sSub>
            <m:ctrlPr>
              <w:rPr>
                <w:rFonts w:ascii="Cambria Math" w:hAnsi="Cambria Math"/>
                <w:kern w:val="0"/>
                <w:szCs w:val="20"/>
              </w:rPr>
            </m:ctrlPr>
          </m:den>
        </m:f>
        <m:r>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  ——为t</w:t>
      </w:r>
      <w:r>
        <w:rPr>
          <w:rFonts w:ascii="Times New Roman"/>
          <w:vertAlign w:val="subscript"/>
        </w:rPr>
        <w:t>2</w:t>
      </w:r>
      <w:r>
        <w:rPr>
          <w:rFonts w:ascii="Times New Roman"/>
        </w:rPr>
        <w:t>和t</w:t>
      </w:r>
      <w:r>
        <w:rPr>
          <w:rFonts w:ascii="Times New Roman"/>
          <w:vertAlign w:val="subscript"/>
        </w:rPr>
        <w:t>1</w:t>
      </w:r>
      <w:r>
        <w:rPr>
          <w:rFonts w:ascii="Times New Roman"/>
        </w:rPr>
        <w:t xml:space="preserve"> 2 个时间点年平均碳汇量，单位为吨（t）；</w:t>
      </w:r>
    </w:p>
    <w:p>
      <w:pPr>
        <w:pStyle w:val="56"/>
        <w:ind w:firstLine="420"/>
        <w:rPr>
          <w:rFonts w:ascii="Times New Roman"/>
        </w:rPr>
      </w:pPr>
      <w:r>
        <w:rPr>
          <w:rFonts w:ascii="Times New Roman"/>
        </w:rPr>
        <w:t>Ct</w:t>
      </w:r>
      <w:r>
        <w:rPr>
          <w:rFonts w:ascii="Times New Roman"/>
          <w:vertAlign w:val="subscript"/>
        </w:rPr>
        <w:t>2</w:t>
      </w:r>
      <w:r>
        <w:rPr>
          <w:rFonts w:ascii="Times New Roman"/>
        </w:rPr>
        <w:t xml:space="preserve">  ——为面积为S的人工林在当年调查样地的碳储量,单位为吨（t）；</w:t>
      </w:r>
    </w:p>
    <w:p>
      <w:pPr>
        <w:pStyle w:val="56"/>
        <w:ind w:firstLine="420"/>
        <w:rPr>
          <w:rFonts w:ascii="Times New Roman"/>
        </w:rPr>
      </w:pPr>
      <w:r>
        <w:rPr>
          <w:rFonts w:ascii="Times New Roman"/>
        </w:rPr>
        <w:t>Ct</w:t>
      </w:r>
      <w:r>
        <w:rPr>
          <w:rFonts w:ascii="Times New Roman"/>
          <w:vertAlign w:val="subscript"/>
        </w:rPr>
        <w:t>1</w:t>
      </w:r>
      <w:r>
        <w:rPr>
          <w:rFonts w:ascii="Times New Roman"/>
        </w:rPr>
        <w:t xml:space="preserve">  ——为面积为S的人工林在基年调查样地的碳储量,单位为吨（t）；</w:t>
      </w:r>
    </w:p>
    <w:p>
      <w:pPr>
        <w:pStyle w:val="56"/>
        <w:ind w:firstLine="420"/>
        <w:rPr>
          <w:rFonts w:ascii="Times New Roman"/>
        </w:rPr>
      </w:pPr>
      <w:r>
        <w:rPr>
          <w:rFonts w:ascii="Times New Roman"/>
        </w:rPr>
        <w:t>t</w:t>
      </w:r>
      <w:r>
        <w:rPr>
          <w:rFonts w:ascii="Times New Roman"/>
          <w:vertAlign w:val="subscript"/>
        </w:rPr>
        <w:t>2</w:t>
      </w:r>
      <w:r>
        <w:rPr>
          <w:rFonts w:ascii="Times New Roman"/>
        </w:rPr>
        <w:t xml:space="preserve">   ——为当年的年份，单位为年（a）；</w:t>
      </w:r>
    </w:p>
    <w:p>
      <w:pPr>
        <w:pStyle w:val="56"/>
        <w:ind w:firstLine="420"/>
        <w:rPr>
          <w:rFonts w:ascii="Times New Roman"/>
        </w:rPr>
      </w:pPr>
      <w:r>
        <w:rPr>
          <w:rFonts w:ascii="Times New Roman"/>
        </w:rPr>
        <w:t>t</w:t>
      </w:r>
      <w:r>
        <w:rPr>
          <w:rFonts w:ascii="Times New Roman"/>
          <w:vertAlign w:val="subscript"/>
        </w:rPr>
        <w:t>1</w:t>
      </w:r>
      <w:r>
        <w:rPr>
          <w:rFonts w:ascii="Times New Roman"/>
        </w:rPr>
        <w:t xml:space="preserve">   ——为基年的年份，单位为年（a）。</w:t>
      </w:r>
    </w:p>
    <w:p>
      <w:pPr>
        <w:pStyle w:val="56"/>
        <w:ind w:firstLine="420"/>
      </w:pPr>
      <w:r>
        <w:rPr>
          <w:rFonts w:hint="eastAsia"/>
        </w:rPr>
        <w:t>根据不同树种人工林按照各碳层单位面积碳储量与总面积的乘积得到包头地区人工林总碳储量。采用以下公式获得：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=S×</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总</w:t>
      </w:r>
      <w:r>
        <w:rPr>
          <w:rFonts w:ascii="Times New Roman"/>
        </w:rPr>
        <w:t xml:space="preserve">  ——为面积为S的人工林在监测周期内调查样地的碳储量,单位为吨（t）；</w:t>
      </w:r>
    </w:p>
    <w:p>
      <w:pPr>
        <w:pStyle w:val="56"/>
        <w:ind w:firstLine="420"/>
        <w:rPr>
          <w:rFonts w:ascii="Times New Roman"/>
        </w:rPr>
      </w:pPr>
      <w:r>
        <w:rPr>
          <w:rFonts w:ascii="Times New Roman"/>
        </w:rPr>
        <w:t>S   ——为监测周期内人工林面积,单位为平方千米（km</w:t>
      </w:r>
      <w:r>
        <w:rPr>
          <w:rFonts w:ascii="Times New Roman"/>
          <w:vertAlign w:val="superscript"/>
        </w:rPr>
        <w:t>2</w:t>
      </w:r>
      <w:r>
        <w:rPr>
          <w:rFonts w:ascii="Times New Roman"/>
        </w:rPr>
        <w:t>）；</w:t>
      </w:r>
    </w:p>
    <w:p>
      <w:pPr>
        <w:pStyle w:val="56"/>
        <w:ind w:firstLine="420"/>
        <w:rPr>
          <w:rFonts w:ascii="Times New Roman"/>
        </w:rPr>
      </w:pPr>
      <w:r>
        <w:rPr>
          <w:rFonts w:ascii="Times New Roman"/>
        </w:rPr>
        <w:t>C</w:t>
      </w:r>
      <w:r>
        <w:rPr>
          <w:rFonts w:ascii="Times New Roman"/>
          <w:vertAlign w:val="subscript"/>
        </w:rPr>
        <w:t>单</w:t>
      </w:r>
      <w:r>
        <w:rPr>
          <w:rFonts w:ascii="Times New Roman"/>
        </w:rPr>
        <w:t xml:space="preserve">  ——为1单位面积内人工林在监测周期内调查样地的碳储量,单位为吨（t）。</w:t>
      </w:r>
    </w:p>
    <w:p>
      <w:pPr>
        <w:pStyle w:val="56"/>
        <w:ind w:firstLine="420"/>
      </w:pPr>
      <w:r>
        <w:rPr>
          <w:rFonts w:hint="eastAsia"/>
        </w:rPr>
        <w:t>结合土地利用数据和处理后的高分卫星遥感数据，对人工林信息提取后，计算其面积。采用以下公式获得：</w:t>
      </w:r>
    </w:p>
    <w:p>
      <w:pPr>
        <w:pStyle w:val="113"/>
      </w:pPr>
      <w:r>
        <w:tab/>
      </w:r>
      <m:oMath>
        <m:r>
          <m:rPr>
            <m:sty m:val="p"/>
          </m:rPr>
          <w:rPr>
            <w:rFonts w:ascii="Cambria Math" w:hAnsi="Cambria Math"/>
          </w:rPr>
          <m:t>S=</m:t>
        </m:r>
        <m:nary>
          <m:naryPr>
            <m:chr m:val="∑"/>
            <m:limLoc m:val="undOvr"/>
            <m:ctrlPr>
              <w:rPr>
                <w:rFonts w:ascii="Cambria Math" w:hAnsi="Cambria Math"/>
              </w:rPr>
            </m:ctrlPr>
          </m:naryPr>
          <m:sub>
            <m:r>
              <m:rPr>
                <m:sty m:val="p"/>
              </m:rPr>
              <w:rPr>
                <w:rFonts w:ascii="Cambria Math" w:hAnsi="Cambria Math"/>
              </w:rPr>
              <m:t>i=1</m:t>
            </m:r>
            <m:ctrlPr>
              <w:rPr>
                <w:rFonts w:ascii="Cambria Math" w:hAnsi="Cambria Math"/>
              </w:rPr>
            </m:ctrlPr>
          </m:sub>
          <m:sup>
            <m:r>
              <m:rPr>
                <m:sty m:val="p"/>
              </m:rPr>
              <w:rPr>
                <w:rFonts w:ascii="Cambria Math" w:hAnsi="Cambria Math"/>
              </w:rPr>
              <m:t>n</m:t>
            </m:r>
            <m:ctrlPr>
              <w:rPr>
                <w:rFonts w:ascii="Cambria Math" w:hAnsi="Cambria Math"/>
              </w:rPr>
            </m:ctrlPr>
          </m:sup>
          <m:e>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n   ——为森林区内像元序号；</w:t>
      </w:r>
    </w:p>
    <w:p>
      <w:pPr>
        <w:pStyle w:val="56"/>
        <w:ind w:firstLine="420"/>
        <w:rPr>
          <w:rFonts w:ascii="Times New Roman"/>
        </w:rPr>
      </w:pPr>
      <w:r>
        <w:rPr>
          <w:rFonts w:ascii="Times New Roman"/>
        </w:rPr>
        <w:t>i   ——为森林区内像元总数；</w:t>
      </w:r>
    </w:p>
    <w:p>
      <w:pPr>
        <w:pStyle w:val="56"/>
        <w:ind w:firstLine="420"/>
        <w:rPr>
          <w:rFonts w:ascii="Times New Roman"/>
        </w:rPr>
      </w:pPr>
      <m:oMath>
        <m:sSub>
          <m:sSubPr>
            <m:ctrlPr>
              <w:rPr>
                <w:rFonts w:ascii="Cambria Math" w:hAnsi="Cambria Math"/>
                <w:kern w:val="2"/>
                <w:szCs w:val="21"/>
              </w:rPr>
            </m:ctrlPr>
          </m:sSubPr>
          <m:e>
            <m:r>
              <m:rPr>
                <m:sty m:val="p"/>
              </m:rPr>
              <w:rPr>
                <w:rFonts w:ascii="Cambria Math" w:hAnsi="Cambria Math"/>
              </w:rPr>
              <m:t>S</m:t>
            </m:r>
            <m:ctrlPr>
              <w:rPr>
                <w:rFonts w:ascii="Cambria Math" w:hAnsi="Cambria Math"/>
                <w:kern w:val="2"/>
                <w:szCs w:val="21"/>
              </w:rPr>
            </m:ctrlPr>
          </m:e>
          <m:sub>
            <m:r>
              <m:rPr>
                <m:sty m:val="p"/>
              </m:rPr>
              <w:rPr>
                <w:rFonts w:ascii="Cambria Math" w:hAnsi="Cambria Math"/>
              </w:rPr>
              <m:t>i</m:t>
            </m:r>
            <m:ctrlPr>
              <w:rPr>
                <w:rFonts w:ascii="Cambria Math" w:hAnsi="Cambria Math"/>
                <w:kern w:val="2"/>
                <w:szCs w:val="21"/>
              </w:rPr>
            </m:ctrlPr>
          </m:sub>
        </m:sSub>
      </m:oMath>
      <w:r>
        <w:rPr>
          <w:rFonts w:ascii="Times New Roman"/>
        </w:rPr>
        <w:t xml:space="preserve">  ——为第i像元面积，单位为平方千米（km</w:t>
      </w:r>
      <w:r>
        <w:rPr>
          <w:rFonts w:ascii="Times New Roman"/>
          <w:vertAlign w:val="superscript"/>
        </w:rPr>
        <w:t>2</w:t>
      </w:r>
      <w:r>
        <w:rPr>
          <w:rFonts w:ascii="Times New Roman"/>
        </w:rPr>
        <w:t>）。</w:t>
      </w:r>
    </w:p>
    <w:p>
      <w:pPr>
        <w:pStyle w:val="56"/>
        <w:ind w:firstLine="420"/>
      </w:pPr>
      <w:r>
        <w:rPr>
          <w:rFonts w:hint="eastAsia"/>
        </w:rPr>
        <w:t>人工林碳汇量估算采用生物量法将将森林碳库按照碳层分别划分为乔木层、灌木层、草本层、枯落物层和土壤层，按照各碳层碳汇求和得到包头地区人工林碳汇量。采用以下公式获得：</w:t>
      </w:r>
    </w:p>
    <w:p>
      <w:pPr>
        <w:pStyle w:val="113"/>
      </w:pPr>
      <w:r>
        <w:tab/>
      </w:r>
      <m:oMath>
        <m:r>
          <m:rPr>
            <m:sty m:val="p"/>
          </m:rPr>
          <w:rPr>
            <w:rFonts w:ascii="Cambria Math" w:hAnsi="Cambria Math"/>
          </w:rPr>
          <m:t>∆C=</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乔</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乔</w:t>
      </w:r>
      <w:r>
        <w:rPr>
          <w:rFonts w:ascii="Times New Roman"/>
        </w:rPr>
        <w:t xml:space="preserve">  ——为当年与基年人工林乔木层年平均碳汇量，单位为吨（t）；</w:t>
      </w:r>
    </w:p>
    <w:p>
      <w:pPr>
        <w:pStyle w:val="56"/>
        <w:ind w:firstLine="420"/>
        <w:rPr>
          <w:rFonts w:ascii="Times New Roman"/>
        </w:rPr>
      </w:pPr>
      <w:r>
        <w:rPr>
          <w:rFonts w:ascii="Times New Roman"/>
        </w:rPr>
        <w:t>∆C</w:t>
      </w:r>
      <w:r>
        <w:rPr>
          <w:rFonts w:ascii="Times New Roman"/>
          <w:vertAlign w:val="subscript"/>
        </w:rPr>
        <w:t>灌</w:t>
      </w:r>
      <w:r>
        <w:rPr>
          <w:rFonts w:ascii="Times New Roman"/>
        </w:rPr>
        <w:t xml:space="preserve">  ——为当年与基年人工林灌木层年平均碳汇量，单位为吨（t）；</w:t>
      </w:r>
    </w:p>
    <w:p>
      <w:pPr>
        <w:pStyle w:val="56"/>
        <w:ind w:firstLine="420"/>
        <w:rPr>
          <w:rFonts w:ascii="Times New Roman"/>
        </w:rPr>
      </w:pPr>
      <w:r>
        <w:rPr>
          <w:rFonts w:ascii="Times New Roman"/>
        </w:rPr>
        <w:t>∆C</w:t>
      </w:r>
      <w:r>
        <w:rPr>
          <w:rFonts w:ascii="Times New Roman"/>
          <w:vertAlign w:val="subscript"/>
        </w:rPr>
        <w:t>草</w:t>
      </w:r>
      <w:r>
        <w:rPr>
          <w:rFonts w:ascii="Times New Roman"/>
        </w:rPr>
        <w:t xml:space="preserve">  ——为当年与基年人工林草本层年平均碳汇量，单位为吨（t）；</w:t>
      </w:r>
    </w:p>
    <w:p>
      <w:pPr>
        <w:pStyle w:val="56"/>
        <w:ind w:firstLine="420"/>
        <w:rPr>
          <w:rFonts w:ascii="Times New Roman"/>
        </w:rPr>
      </w:pPr>
      <w:r>
        <w:rPr>
          <w:rFonts w:ascii="Times New Roman"/>
        </w:rPr>
        <w:t>∆C</w:t>
      </w:r>
      <w:r>
        <w:rPr>
          <w:rFonts w:ascii="Times New Roman"/>
          <w:vertAlign w:val="subscript"/>
        </w:rPr>
        <w:t>枯</w:t>
      </w:r>
      <w:r>
        <w:rPr>
          <w:rFonts w:ascii="Times New Roman"/>
        </w:rPr>
        <w:t xml:space="preserve">  ——为当年与基年人工林枯落物层年平均碳汇量,单位为吨（t）；</w:t>
      </w:r>
    </w:p>
    <w:p>
      <w:pPr>
        <w:pStyle w:val="56"/>
        <w:ind w:firstLine="420"/>
        <w:rPr>
          <w:rFonts w:ascii="Times New Roman"/>
        </w:rPr>
      </w:pPr>
      <w:r>
        <w:rPr>
          <w:rFonts w:ascii="Times New Roman"/>
        </w:rPr>
        <w:t>∆C</w:t>
      </w:r>
      <w:r>
        <w:rPr>
          <w:rFonts w:ascii="Times New Roman"/>
          <w:vertAlign w:val="subscript"/>
        </w:rPr>
        <w:t>土</w:t>
      </w:r>
      <w:r>
        <w:rPr>
          <w:rFonts w:ascii="Times New Roman"/>
        </w:rPr>
        <w:t xml:space="preserve">  ——为当年与基年人工林土壤层年平均碳汇量,单位为吨（t）。</w:t>
      </w:r>
    </w:p>
    <w:p>
      <w:pPr>
        <w:pStyle w:val="56"/>
        <w:ind w:firstLine="420"/>
        <w:sectPr>
          <w:pgSz w:w="11906" w:h="16838"/>
          <w:pgMar w:top="1928" w:right="1134" w:bottom="1134" w:left="1134" w:header="1418" w:footer="1134" w:gutter="284"/>
          <w:cols w:space="425" w:num="1"/>
          <w:formProt w:val="0"/>
          <w:docGrid w:type="lines" w:linePitch="312" w:charSpace="0"/>
        </w:sectPr>
      </w:pPr>
    </w:p>
    <w:bookmarkEnd w:id="25"/>
    <w:p>
      <w:pPr>
        <w:pStyle w:val="198"/>
        <w:rPr>
          <w:vanish w:val="0"/>
        </w:rPr>
      </w:pPr>
      <w:bookmarkStart w:id="76" w:name="BookMark5"/>
    </w:p>
    <w:p>
      <w:pPr>
        <w:pStyle w:val="199"/>
        <w:rPr>
          <w:vanish w:val="0"/>
        </w:rPr>
      </w:pPr>
    </w:p>
    <w:p>
      <w:pPr>
        <w:pStyle w:val="76"/>
        <w:spacing w:after="156"/>
      </w:pPr>
      <w:r>
        <w:br w:type="textWrapping"/>
      </w:r>
      <w:bookmarkStart w:id="77" w:name="_Toc162971177"/>
      <w:bookmarkStart w:id="78" w:name="_Toc168490005"/>
      <w:r>
        <w:rPr>
          <w:rFonts w:hint="eastAsia"/>
        </w:rPr>
        <w:t>（资料性）</w:t>
      </w:r>
      <w:r>
        <w:br w:type="textWrapping"/>
      </w:r>
      <w:r>
        <w:rPr>
          <w:rFonts w:hint="eastAsia"/>
        </w:rPr>
        <w:t>包头地区人工林碳储量表</w:t>
      </w:r>
      <w:bookmarkEnd w:id="77"/>
      <w:bookmarkEnd w:id="78"/>
    </w:p>
    <w:p>
      <w:pPr>
        <w:pStyle w:val="55"/>
        <w:ind w:firstLine="420"/>
      </w:pPr>
      <w:r>
        <w:rPr>
          <w:rFonts w:hint="eastAsia"/>
        </w:rPr>
        <w:t>乔木人工林碳储量见表A.1</w:t>
      </w:r>
    </w:p>
    <w:p>
      <w:pPr>
        <w:pStyle w:val="77"/>
        <w:spacing w:before="156" w:after="156"/>
      </w:pPr>
      <w:r>
        <w:rPr>
          <w:rFonts w:hint="eastAsia"/>
        </w:rPr>
        <w:t>乔木人工林碳储量表</w:t>
      </w:r>
    </w:p>
    <w:p>
      <w:pPr>
        <w:pStyle w:val="198"/>
        <w:rPr>
          <w:vanish w:val="0"/>
        </w:rPr>
      </w:pPr>
    </w:p>
    <w:p>
      <w:pPr>
        <w:pStyle w:val="199"/>
        <w:numPr>
          <w:ilvl w:val="0"/>
          <w:numId w:val="0"/>
        </w:numPr>
        <w:jc w:val="both"/>
        <w:rPr>
          <w:vanish w:val="0"/>
        </w:rPr>
      </w:pPr>
    </w:p>
    <w:tbl>
      <w:tblPr>
        <w:tblStyle w:val="27"/>
        <w:tblW w:w="43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8"/>
        <w:gridCol w:w="1852"/>
        <w:gridCol w:w="1709"/>
        <w:gridCol w:w="1849"/>
        <w:gridCol w:w="17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tblHeader/>
          <w:jc w:val="center"/>
        </w:trPr>
        <w:tc>
          <w:tcPr>
            <w:tcW w:w="684"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优势树种</w:t>
            </w:r>
          </w:p>
        </w:tc>
        <w:tc>
          <w:tcPr>
            <w:tcW w:w="1123"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乔木层碳储量（kg）</w:t>
            </w:r>
          </w:p>
        </w:tc>
        <w:tc>
          <w:tcPr>
            <w:tcW w:w="1036"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草本层碳储量（kg）</w:t>
            </w:r>
          </w:p>
        </w:tc>
        <w:tc>
          <w:tcPr>
            <w:tcW w:w="1121"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枯落物层碳储量（kg）</w:t>
            </w:r>
          </w:p>
        </w:tc>
        <w:tc>
          <w:tcPr>
            <w:tcW w:w="1036" w:type="pct"/>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土壤层碳储量（kg）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684" w:type="pct"/>
            <w:tcBorders>
              <w:top w:val="single" w:color="auto" w:sz="8" w:space="0"/>
            </w:tcBorders>
            <w:shd w:val="clear" w:color="auto" w:fill="auto"/>
            <w:vAlign w:val="center"/>
          </w:tcPr>
          <w:p>
            <w:pPr>
              <w:pStyle w:val="178"/>
              <w:spacing w:after="156"/>
              <w:rPr>
                <w:rFonts w:ascii="Times New Roman"/>
              </w:rPr>
            </w:pPr>
            <w:r>
              <w:rPr>
                <w:rFonts w:ascii="Times New Roman"/>
              </w:rPr>
              <w:t>新疆杨</w:t>
            </w:r>
          </w:p>
        </w:tc>
        <w:tc>
          <w:tcPr>
            <w:tcW w:w="1123" w:type="pct"/>
            <w:tcBorders>
              <w:top w:val="single" w:color="auto" w:sz="8" w:space="0"/>
            </w:tcBorders>
            <w:shd w:val="clear" w:color="auto" w:fill="auto"/>
            <w:vAlign w:val="center"/>
          </w:tcPr>
          <w:p>
            <w:pPr>
              <w:pStyle w:val="178"/>
              <w:rPr>
                <w:rFonts w:ascii="Times New Roman"/>
              </w:rPr>
            </w:pPr>
            <w:r>
              <w:rPr>
                <w:rFonts w:ascii="Times New Roman"/>
              </w:rPr>
              <w:t>187.13</w:t>
            </w:r>
          </w:p>
        </w:tc>
        <w:tc>
          <w:tcPr>
            <w:tcW w:w="1036" w:type="pct"/>
            <w:tcBorders>
              <w:top w:val="single" w:color="auto" w:sz="8" w:space="0"/>
            </w:tcBorders>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121" w:type="pct"/>
            <w:tcBorders>
              <w:top w:val="single" w:color="auto" w:sz="8" w:space="0"/>
            </w:tcBorders>
            <w:shd w:val="clear" w:color="auto" w:fill="auto"/>
            <w:vAlign w:val="center"/>
          </w:tcPr>
          <w:p>
            <w:pPr>
              <w:pStyle w:val="178"/>
              <w:rPr>
                <w:rFonts w:ascii="Times New Roman"/>
              </w:rPr>
            </w:pPr>
            <w:r>
              <w:rPr>
                <w:rFonts w:ascii="Times New Roman"/>
                <w:color w:val="000000"/>
                <w:sz w:val="24"/>
                <w:szCs w:val="24"/>
              </w:rPr>
              <w:t>—</w:t>
            </w:r>
          </w:p>
        </w:tc>
        <w:tc>
          <w:tcPr>
            <w:tcW w:w="1036" w:type="pct"/>
            <w:tcBorders>
              <w:top w:val="single" w:color="auto" w:sz="8" w:space="0"/>
            </w:tcBorders>
            <w:shd w:val="clear" w:color="auto" w:fill="auto"/>
            <w:vAlign w:val="center"/>
          </w:tcPr>
          <w:p>
            <w:pPr>
              <w:pStyle w:val="178"/>
              <w:rPr>
                <w:rFonts w:ascii="Times New Roman"/>
              </w:rPr>
            </w:pPr>
            <w:r>
              <w:rPr>
                <w:rFonts w:ascii="Times New Roman"/>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684" w:type="pct"/>
            <w:shd w:val="clear" w:color="auto" w:fill="auto"/>
            <w:vAlign w:val="center"/>
          </w:tcPr>
          <w:p>
            <w:pPr>
              <w:pStyle w:val="178"/>
              <w:spacing w:after="156"/>
              <w:rPr>
                <w:rFonts w:ascii="Times New Roman"/>
              </w:rPr>
            </w:pPr>
            <w:r>
              <w:rPr>
                <w:rFonts w:ascii="Times New Roman"/>
              </w:rPr>
              <w:t>樟子松</w:t>
            </w:r>
          </w:p>
        </w:tc>
        <w:tc>
          <w:tcPr>
            <w:tcW w:w="1123" w:type="pct"/>
            <w:shd w:val="clear" w:color="auto" w:fill="auto"/>
            <w:vAlign w:val="center"/>
          </w:tcPr>
          <w:p>
            <w:pPr>
              <w:pStyle w:val="178"/>
              <w:rPr>
                <w:rFonts w:ascii="Times New Roman"/>
              </w:rPr>
            </w:pPr>
            <w:r>
              <w:rPr>
                <w:rFonts w:ascii="Times New Roman"/>
              </w:rPr>
              <w:t>87.65</w:t>
            </w:r>
          </w:p>
        </w:tc>
        <w:tc>
          <w:tcPr>
            <w:tcW w:w="1036" w:type="pct"/>
            <w:shd w:val="clear" w:color="auto" w:fill="auto"/>
            <w:vAlign w:val="center"/>
          </w:tcPr>
          <w:p>
            <w:pPr>
              <w:pStyle w:val="178"/>
              <w:rPr>
                <w:rFonts w:ascii="Times New Roman"/>
              </w:rPr>
            </w:pPr>
            <w:r>
              <w:rPr>
                <w:rFonts w:ascii="Times New Roman"/>
              </w:rPr>
              <w:t>0.020259</w:t>
            </w:r>
          </w:p>
        </w:tc>
        <w:tc>
          <w:tcPr>
            <w:tcW w:w="1121" w:type="pct"/>
            <w:shd w:val="clear" w:color="auto" w:fill="auto"/>
            <w:vAlign w:val="center"/>
          </w:tcPr>
          <w:p>
            <w:pPr>
              <w:pStyle w:val="178"/>
              <w:rPr>
                <w:rFonts w:ascii="Times New Roman"/>
              </w:rPr>
            </w:pPr>
            <w:r>
              <w:rPr>
                <w:rFonts w:ascii="Times New Roman"/>
                <w:color w:val="000000"/>
                <w:sz w:val="24"/>
                <w:szCs w:val="24"/>
              </w:rPr>
              <w:t>—</w:t>
            </w:r>
          </w:p>
        </w:tc>
        <w:tc>
          <w:tcPr>
            <w:tcW w:w="1036" w:type="pct"/>
            <w:shd w:val="clear" w:color="auto" w:fill="auto"/>
            <w:vAlign w:val="center"/>
          </w:tcPr>
          <w:p>
            <w:pPr>
              <w:pStyle w:val="178"/>
              <w:rPr>
                <w:rFonts w:ascii="Times New Roman"/>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684" w:type="pct"/>
            <w:shd w:val="clear" w:color="auto" w:fill="auto"/>
            <w:vAlign w:val="center"/>
          </w:tcPr>
          <w:p>
            <w:pPr>
              <w:pStyle w:val="178"/>
              <w:spacing w:after="156"/>
              <w:rPr>
                <w:rFonts w:ascii="Times New Roman"/>
              </w:rPr>
            </w:pPr>
            <w:r>
              <w:rPr>
                <w:rFonts w:ascii="Times New Roman"/>
              </w:rPr>
              <w:t>侧柏</w:t>
            </w:r>
          </w:p>
        </w:tc>
        <w:tc>
          <w:tcPr>
            <w:tcW w:w="1123" w:type="pct"/>
            <w:shd w:val="clear" w:color="auto" w:fill="auto"/>
            <w:vAlign w:val="center"/>
          </w:tcPr>
          <w:p>
            <w:pPr>
              <w:pStyle w:val="178"/>
              <w:rPr>
                <w:rFonts w:ascii="Times New Roman"/>
              </w:rPr>
            </w:pPr>
            <w:r>
              <w:rPr>
                <w:rFonts w:ascii="Times New Roman"/>
              </w:rPr>
              <w:t>38.78</w:t>
            </w:r>
          </w:p>
        </w:tc>
        <w:tc>
          <w:tcPr>
            <w:tcW w:w="1036" w:type="pct"/>
            <w:shd w:val="clear" w:color="auto" w:fill="auto"/>
            <w:vAlign w:val="center"/>
          </w:tcPr>
          <w:p>
            <w:pPr>
              <w:pStyle w:val="178"/>
              <w:rPr>
                <w:rFonts w:ascii="Times New Roman"/>
              </w:rPr>
            </w:pPr>
            <w:r>
              <w:rPr>
                <w:rFonts w:ascii="Times New Roman"/>
              </w:rPr>
              <w:t>0.0193356</w:t>
            </w:r>
          </w:p>
        </w:tc>
        <w:tc>
          <w:tcPr>
            <w:tcW w:w="1121" w:type="pct"/>
            <w:shd w:val="clear" w:color="auto" w:fill="auto"/>
            <w:vAlign w:val="center"/>
          </w:tcPr>
          <w:p>
            <w:pPr>
              <w:pStyle w:val="178"/>
              <w:rPr>
                <w:rFonts w:ascii="Times New Roman"/>
              </w:rPr>
            </w:pPr>
            <w:r>
              <w:rPr>
                <w:rFonts w:ascii="Times New Roman"/>
              </w:rPr>
              <w:t>0.0802263</w:t>
            </w:r>
          </w:p>
        </w:tc>
        <w:tc>
          <w:tcPr>
            <w:tcW w:w="1036" w:type="pct"/>
            <w:shd w:val="clear" w:color="auto" w:fill="auto"/>
            <w:vAlign w:val="center"/>
          </w:tcPr>
          <w:p>
            <w:pPr>
              <w:pStyle w:val="178"/>
              <w:rPr>
                <w:rFonts w:ascii="Times New Roman"/>
              </w:rPr>
            </w:pPr>
            <w:r>
              <w:rPr>
                <w:rFonts w:ascii="Times New Roman"/>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684" w:type="pct"/>
            <w:shd w:val="clear" w:color="auto" w:fill="auto"/>
            <w:vAlign w:val="center"/>
          </w:tcPr>
          <w:p>
            <w:pPr>
              <w:pStyle w:val="178"/>
              <w:spacing w:after="156"/>
              <w:rPr>
                <w:rFonts w:ascii="Times New Roman"/>
              </w:rPr>
            </w:pPr>
            <w:r>
              <w:rPr>
                <w:rFonts w:ascii="Times New Roman"/>
              </w:rPr>
              <w:t>云杉</w:t>
            </w:r>
          </w:p>
        </w:tc>
        <w:tc>
          <w:tcPr>
            <w:tcW w:w="1123" w:type="pct"/>
            <w:shd w:val="clear" w:color="auto" w:fill="auto"/>
            <w:vAlign w:val="center"/>
          </w:tcPr>
          <w:p>
            <w:pPr>
              <w:pStyle w:val="178"/>
              <w:rPr>
                <w:rFonts w:ascii="Times New Roman"/>
              </w:rPr>
            </w:pPr>
            <w:r>
              <w:rPr>
                <w:rFonts w:ascii="Times New Roman"/>
              </w:rPr>
              <w:t>52.36</w:t>
            </w:r>
          </w:p>
        </w:tc>
        <w:tc>
          <w:tcPr>
            <w:tcW w:w="1036" w:type="pct"/>
            <w:shd w:val="clear" w:color="auto" w:fill="auto"/>
            <w:vAlign w:val="center"/>
          </w:tcPr>
          <w:p>
            <w:pPr>
              <w:jc w:val="center"/>
              <w:rPr>
                <w:rFonts w:ascii="Times New Roman" w:hAnsi="Times New Roman"/>
              </w:rPr>
            </w:pPr>
            <w:r>
              <w:rPr>
                <w:rFonts w:ascii="Times New Roman" w:hAnsi="Times New Roman"/>
                <w:color w:val="000000"/>
                <w:kern w:val="0"/>
                <w:sz w:val="24"/>
                <w:szCs w:val="24"/>
              </w:rPr>
              <w:t>—</w:t>
            </w:r>
          </w:p>
        </w:tc>
        <w:tc>
          <w:tcPr>
            <w:tcW w:w="1121" w:type="pct"/>
            <w:shd w:val="clear" w:color="auto" w:fill="auto"/>
            <w:vAlign w:val="center"/>
          </w:tcPr>
          <w:p>
            <w:pPr>
              <w:pStyle w:val="178"/>
              <w:rPr>
                <w:rFonts w:ascii="Times New Roman"/>
              </w:rPr>
            </w:pPr>
            <w:r>
              <w:rPr>
                <w:rFonts w:ascii="Times New Roman"/>
              </w:rPr>
              <w:t>0.0226468</w:t>
            </w:r>
          </w:p>
        </w:tc>
        <w:tc>
          <w:tcPr>
            <w:tcW w:w="1036" w:type="pct"/>
            <w:shd w:val="clear" w:color="auto" w:fill="auto"/>
            <w:vAlign w:val="center"/>
          </w:tcPr>
          <w:p>
            <w:pPr>
              <w:pStyle w:val="178"/>
              <w:rPr>
                <w:rFonts w:ascii="Times New Roman"/>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684" w:type="pct"/>
            <w:shd w:val="clear" w:color="auto" w:fill="auto"/>
            <w:vAlign w:val="center"/>
          </w:tcPr>
          <w:p>
            <w:pPr>
              <w:pStyle w:val="178"/>
              <w:spacing w:after="156"/>
              <w:rPr>
                <w:rFonts w:ascii="Times New Roman"/>
              </w:rPr>
            </w:pPr>
            <w:r>
              <w:rPr>
                <w:rFonts w:ascii="Times New Roman"/>
              </w:rPr>
              <w:t>杜松</w:t>
            </w:r>
          </w:p>
        </w:tc>
        <w:tc>
          <w:tcPr>
            <w:tcW w:w="1123" w:type="pct"/>
            <w:shd w:val="clear" w:color="auto" w:fill="auto"/>
            <w:vAlign w:val="center"/>
          </w:tcPr>
          <w:p>
            <w:pPr>
              <w:pStyle w:val="178"/>
              <w:rPr>
                <w:rFonts w:ascii="Times New Roman"/>
              </w:rPr>
            </w:pPr>
            <w:r>
              <w:rPr>
                <w:rFonts w:ascii="Times New Roman"/>
              </w:rPr>
              <w:t>91.68</w:t>
            </w:r>
          </w:p>
        </w:tc>
        <w:tc>
          <w:tcPr>
            <w:tcW w:w="1036" w:type="pct"/>
            <w:shd w:val="clear" w:color="auto" w:fill="auto"/>
            <w:vAlign w:val="center"/>
          </w:tcPr>
          <w:p>
            <w:pPr>
              <w:jc w:val="center"/>
              <w:rPr>
                <w:rFonts w:ascii="Times New Roman" w:hAnsi="Times New Roman"/>
              </w:rPr>
            </w:pPr>
            <w:r>
              <w:rPr>
                <w:rFonts w:ascii="Times New Roman" w:hAnsi="Times New Roman"/>
                <w:color w:val="000000"/>
                <w:kern w:val="0"/>
                <w:sz w:val="24"/>
                <w:szCs w:val="24"/>
              </w:rPr>
              <w:t>—</w:t>
            </w:r>
          </w:p>
        </w:tc>
        <w:tc>
          <w:tcPr>
            <w:tcW w:w="1121" w:type="pct"/>
            <w:shd w:val="clear" w:color="auto" w:fill="auto"/>
            <w:vAlign w:val="center"/>
          </w:tcPr>
          <w:p>
            <w:pPr>
              <w:pStyle w:val="178"/>
              <w:rPr>
                <w:rFonts w:ascii="Times New Roman"/>
              </w:rPr>
            </w:pPr>
            <w:r>
              <w:rPr>
                <w:rFonts w:ascii="Times New Roman"/>
                <w:color w:val="000000"/>
                <w:sz w:val="24"/>
                <w:szCs w:val="24"/>
              </w:rPr>
              <w:t>—</w:t>
            </w:r>
          </w:p>
        </w:tc>
        <w:tc>
          <w:tcPr>
            <w:tcW w:w="1036" w:type="pct"/>
            <w:shd w:val="clear" w:color="auto" w:fill="auto"/>
            <w:vAlign w:val="center"/>
          </w:tcPr>
          <w:p>
            <w:pPr>
              <w:pStyle w:val="178"/>
              <w:rPr>
                <w:rFonts w:ascii="Times New Roman"/>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684" w:type="pct"/>
            <w:shd w:val="clear" w:color="auto" w:fill="auto"/>
            <w:vAlign w:val="center"/>
          </w:tcPr>
          <w:p>
            <w:pPr>
              <w:pStyle w:val="178"/>
              <w:spacing w:after="156"/>
              <w:rPr>
                <w:rFonts w:ascii="Times New Roman"/>
              </w:rPr>
            </w:pPr>
            <w:r>
              <w:rPr>
                <w:rFonts w:ascii="Times New Roman"/>
              </w:rPr>
              <w:t>榆树</w:t>
            </w:r>
          </w:p>
        </w:tc>
        <w:tc>
          <w:tcPr>
            <w:tcW w:w="1123" w:type="pct"/>
            <w:shd w:val="clear" w:color="auto" w:fill="auto"/>
            <w:vAlign w:val="center"/>
          </w:tcPr>
          <w:p>
            <w:pPr>
              <w:pStyle w:val="178"/>
              <w:rPr>
                <w:rFonts w:ascii="Times New Roman"/>
              </w:rPr>
            </w:pPr>
            <w:r>
              <w:rPr>
                <w:rFonts w:ascii="Times New Roman"/>
              </w:rPr>
              <w:t>303.69</w:t>
            </w:r>
          </w:p>
        </w:tc>
        <w:tc>
          <w:tcPr>
            <w:tcW w:w="1036" w:type="pct"/>
            <w:shd w:val="clear" w:color="auto" w:fill="auto"/>
            <w:vAlign w:val="center"/>
          </w:tcPr>
          <w:p>
            <w:pPr>
              <w:pStyle w:val="178"/>
              <w:rPr>
                <w:rFonts w:ascii="Times New Roman"/>
              </w:rPr>
            </w:pPr>
            <w:r>
              <w:rPr>
                <w:rFonts w:ascii="Times New Roman"/>
              </w:rPr>
              <w:t>0.0200549</w:t>
            </w:r>
          </w:p>
        </w:tc>
        <w:tc>
          <w:tcPr>
            <w:tcW w:w="1121" w:type="pct"/>
            <w:shd w:val="clear" w:color="auto" w:fill="auto"/>
            <w:vAlign w:val="center"/>
          </w:tcPr>
          <w:p>
            <w:pPr>
              <w:pStyle w:val="178"/>
              <w:rPr>
                <w:rFonts w:ascii="Times New Roman"/>
              </w:rPr>
            </w:pPr>
            <w:r>
              <w:rPr>
                <w:rFonts w:ascii="Times New Roman"/>
                <w:color w:val="000000"/>
                <w:sz w:val="24"/>
                <w:szCs w:val="24"/>
              </w:rPr>
              <w:t>—</w:t>
            </w:r>
          </w:p>
        </w:tc>
        <w:tc>
          <w:tcPr>
            <w:tcW w:w="1036" w:type="pct"/>
            <w:shd w:val="clear" w:color="auto" w:fill="auto"/>
            <w:vAlign w:val="center"/>
          </w:tcPr>
          <w:p>
            <w:pPr>
              <w:pStyle w:val="178"/>
              <w:rPr>
                <w:rFonts w:ascii="Times New Roman"/>
              </w:rPr>
            </w:pPr>
            <w:r>
              <w:rPr>
                <w:rFonts w:ascii="Times New Roman"/>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684" w:type="pct"/>
            <w:shd w:val="clear" w:color="auto" w:fill="auto"/>
            <w:vAlign w:val="center"/>
          </w:tcPr>
          <w:p>
            <w:pPr>
              <w:pStyle w:val="178"/>
              <w:spacing w:after="156"/>
              <w:rPr>
                <w:rFonts w:ascii="Times New Roman"/>
              </w:rPr>
            </w:pPr>
            <w:r>
              <w:rPr>
                <w:rFonts w:ascii="Times New Roman"/>
              </w:rPr>
              <w:t>圆柏</w:t>
            </w:r>
          </w:p>
        </w:tc>
        <w:tc>
          <w:tcPr>
            <w:tcW w:w="1123" w:type="pct"/>
            <w:shd w:val="clear" w:color="auto" w:fill="auto"/>
            <w:vAlign w:val="center"/>
          </w:tcPr>
          <w:p>
            <w:pPr>
              <w:pStyle w:val="178"/>
              <w:rPr>
                <w:rFonts w:ascii="Times New Roman"/>
              </w:rPr>
            </w:pPr>
            <w:r>
              <w:rPr>
                <w:rFonts w:ascii="Times New Roman"/>
              </w:rPr>
              <w:t>103.65</w:t>
            </w:r>
          </w:p>
        </w:tc>
        <w:tc>
          <w:tcPr>
            <w:tcW w:w="1036" w:type="pct"/>
            <w:shd w:val="clear" w:color="auto" w:fill="auto"/>
            <w:vAlign w:val="center"/>
          </w:tcPr>
          <w:p>
            <w:pPr>
              <w:pStyle w:val="178"/>
              <w:rPr>
                <w:rFonts w:ascii="Times New Roman"/>
              </w:rPr>
            </w:pPr>
            <w:r>
              <w:rPr>
                <w:rFonts w:ascii="Times New Roman"/>
              </w:rPr>
              <w:t>0.0346542</w:t>
            </w:r>
          </w:p>
        </w:tc>
        <w:tc>
          <w:tcPr>
            <w:tcW w:w="1121" w:type="pct"/>
            <w:shd w:val="clear" w:color="auto" w:fill="auto"/>
            <w:vAlign w:val="center"/>
          </w:tcPr>
          <w:p>
            <w:pPr>
              <w:pStyle w:val="178"/>
              <w:rPr>
                <w:rFonts w:ascii="Times New Roman"/>
              </w:rPr>
            </w:pPr>
            <w:r>
              <w:rPr>
                <w:rFonts w:ascii="Times New Roman"/>
              </w:rPr>
              <w:t>0.1369726</w:t>
            </w:r>
          </w:p>
        </w:tc>
        <w:tc>
          <w:tcPr>
            <w:tcW w:w="1036" w:type="pct"/>
            <w:shd w:val="clear" w:color="auto" w:fill="auto"/>
            <w:vAlign w:val="center"/>
          </w:tcPr>
          <w:p>
            <w:pPr>
              <w:pStyle w:val="178"/>
              <w:rPr>
                <w:rFonts w:ascii="Times New Roman"/>
              </w:rPr>
            </w:pPr>
            <w:r>
              <w:rPr>
                <w:rFonts w:ascii="Times New Roman"/>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684" w:type="pct"/>
            <w:shd w:val="clear" w:color="auto" w:fill="auto"/>
            <w:vAlign w:val="center"/>
          </w:tcPr>
          <w:p>
            <w:pPr>
              <w:pStyle w:val="178"/>
              <w:spacing w:after="156"/>
              <w:rPr>
                <w:rFonts w:ascii="Times New Roman"/>
              </w:rPr>
            </w:pPr>
            <w:r>
              <w:rPr>
                <w:rFonts w:ascii="Times New Roman"/>
              </w:rPr>
              <w:t>柳树</w:t>
            </w:r>
          </w:p>
        </w:tc>
        <w:tc>
          <w:tcPr>
            <w:tcW w:w="1123" w:type="pct"/>
            <w:shd w:val="clear" w:color="auto" w:fill="auto"/>
            <w:vAlign w:val="center"/>
          </w:tcPr>
          <w:p>
            <w:pPr>
              <w:pStyle w:val="178"/>
              <w:rPr>
                <w:rFonts w:ascii="Times New Roman"/>
              </w:rPr>
            </w:pPr>
            <w:r>
              <w:rPr>
                <w:rFonts w:ascii="Times New Roman"/>
              </w:rPr>
              <w:t>315.74</w:t>
            </w:r>
          </w:p>
        </w:tc>
        <w:tc>
          <w:tcPr>
            <w:tcW w:w="1036" w:type="pct"/>
            <w:shd w:val="clear" w:color="auto" w:fill="auto"/>
            <w:vAlign w:val="center"/>
          </w:tcPr>
          <w:p>
            <w:pPr>
              <w:pStyle w:val="178"/>
              <w:rPr>
                <w:rFonts w:ascii="Times New Roman"/>
              </w:rPr>
            </w:pPr>
            <w:r>
              <w:rPr>
                <w:rFonts w:ascii="Times New Roman"/>
                <w:color w:val="000000"/>
                <w:sz w:val="24"/>
                <w:szCs w:val="24"/>
              </w:rPr>
              <w:t>—</w:t>
            </w:r>
          </w:p>
        </w:tc>
        <w:tc>
          <w:tcPr>
            <w:tcW w:w="1121" w:type="pct"/>
            <w:shd w:val="clear" w:color="auto" w:fill="auto"/>
            <w:vAlign w:val="center"/>
          </w:tcPr>
          <w:p>
            <w:pPr>
              <w:pStyle w:val="178"/>
              <w:rPr>
                <w:rFonts w:ascii="Times New Roman"/>
              </w:rPr>
            </w:pPr>
            <w:r>
              <w:rPr>
                <w:rFonts w:ascii="Times New Roman"/>
              </w:rPr>
              <w:t>0.0434252</w:t>
            </w:r>
          </w:p>
        </w:tc>
        <w:tc>
          <w:tcPr>
            <w:tcW w:w="1036" w:type="pct"/>
            <w:shd w:val="clear" w:color="auto" w:fill="auto"/>
            <w:vAlign w:val="center"/>
          </w:tcPr>
          <w:p>
            <w:pPr>
              <w:pStyle w:val="178"/>
              <w:rPr>
                <w:rFonts w:ascii="Times New Roman"/>
              </w:rPr>
            </w:pPr>
            <w:r>
              <w:rPr>
                <w:rFonts w:ascii="Times New Roman"/>
              </w:rPr>
              <w:t>26.02032</w:t>
            </w:r>
          </w:p>
        </w:tc>
      </w:tr>
    </w:tbl>
    <w:p>
      <w:pPr>
        <w:pStyle w:val="56"/>
        <w:ind w:firstLine="0" w:firstLineChars="0"/>
        <w:rPr>
          <w:rFonts w:hint="eastAsia"/>
        </w:rPr>
      </w:pPr>
    </w:p>
    <w:p>
      <w:pPr>
        <w:pStyle w:val="55"/>
        <w:ind w:firstLine="420"/>
      </w:pPr>
      <w:r>
        <w:rPr>
          <w:rFonts w:hint="eastAsia"/>
        </w:rPr>
        <w:t>灌木人工林碳储量见表A.</w:t>
      </w:r>
      <w:r>
        <w:t>2</w:t>
      </w:r>
    </w:p>
    <w:p>
      <w:pPr>
        <w:pStyle w:val="77"/>
        <w:spacing w:before="156" w:after="156"/>
      </w:pPr>
      <w:r>
        <w:rPr>
          <w:rFonts w:hint="eastAsia"/>
        </w:rPr>
        <w:t>灌木人工林碳储量表</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64"/>
        <w:gridCol w:w="1843"/>
        <w:gridCol w:w="1850"/>
        <w:gridCol w:w="1995"/>
        <w:gridCol w:w="21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834" w:type="pct"/>
            <w:tcBorders>
              <w:top w:val="single" w:color="auto" w:sz="8" w:space="0"/>
              <w:bottom w:val="single" w:color="auto" w:sz="8" w:space="0"/>
            </w:tcBorders>
            <w:shd w:val="clear" w:color="auto" w:fill="auto"/>
            <w:vAlign w:val="center"/>
          </w:tcPr>
          <w:p>
            <w:pPr>
              <w:pStyle w:val="178"/>
              <w:rPr>
                <w:rFonts w:ascii="Times New Roman"/>
                <w:szCs w:val="18"/>
              </w:rPr>
            </w:pPr>
            <w:r>
              <w:rPr>
                <w:rFonts w:ascii="Times New Roman"/>
                <w:szCs w:val="18"/>
              </w:rPr>
              <w:t>优势树种</w:t>
            </w:r>
          </w:p>
        </w:tc>
        <w:tc>
          <w:tcPr>
            <w:tcW w:w="983" w:type="pct"/>
            <w:tcBorders>
              <w:top w:val="single" w:color="auto" w:sz="8" w:space="0"/>
              <w:bottom w:val="single" w:color="auto" w:sz="8" w:space="0"/>
            </w:tcBorders>
            <w:shd w:val="clear" w:color="auto" w:fill="auto"/>
            <w:vAlign w:val="center"/>
          </w:tcPr>
          <w:p>
            <w:pPr>
              <w:pStyle w:val="178"/>
              <w:rPr>
                <w:rFonts w:ascii="Times New Roman"/>
                <w:szCs w:val="18"/>
              </w:rPr>
            </w:pPr>
            <w:r>
              <w:rPr>
                <w:rFonts w:ascii="Times New Roman"/>
                <w:szCs w:val="18"/>
              </w:rPr>
              <w:t>灌木层碳储量</w:t>
            </w:r>
            <w:r>
              <w:rPr>
                <w:rFonts w:ascii="Times New Roman"/>
              </w:rPr>
              <w:t>（kg）</w:t>
            </w:r>
          </w:p>
        </w:tc>
        <w:tc>
          <w:tcPr>
            <w:tcW w:w="987" w:type="pct"/>
            <w:tcBorders>
              <w:top w:val="single" w:color="auto" w:sz="8" w:space="0"/>
              <w:bottom w:val="single" w:color="auto" w:sz="8" w:space="0"/>
            </w:tcBorders>
            <w:shd w:val="clear" w:color="auto" w:fill="auto"/>
            <w:vAlign w:val="center"/>
          </w:tcPr>
          <w:p>
            <w:pPr>
              <w:pStyle w:val="178"/>
              <w:rPr>
                <w:rFonts w:ascii="Times New Roman"/>
                <w:szCs w:val="18"/>
              </w:rPr>
            </w:pPr>
            <w:r>
              <w:rPr>
                <w:rFonts w:ascii="Times New Roman"/>
                <w:szCs w:val="18"/>
              </w:rPr>
              <w:t>草本层碳储量</w:t>
            </w:r>
            <w:r>
              <w:rPr>
                <w:rFonts w:ascii="Times New Roman"/>
              </w:rPr>
              <w:t>（kg）</w:t>
            </w:r>
          </w:p>
        </w:tc>
        <w:tc>
          <w:tcPr>
            <w:tcW w:w="1064" w:type="pct"/>
            <w:tcBorders>
              <w:top w:val="single" w:color="auto" w:sz="8" w:space="0"/>
              <w:bottom w:val="single" w:color="auto" w:sz="8" w:space="0"/>
            </w:tcBorders>
            <w:vAlign w:val="center"/>
          </w:tcPr>
          <w:p>
            <w:pPr>
              <w:pStyle w:val="178"/>
              <w:rPr>
                <w:rFonts w:ascii="Times New Roman"/>
                <w:szCs w:val="18"/>
              </w:rPr>
            </w:pPr>
            <w:r>
              <w:rPr>
                <w:rFonts w:ascii="Times New Roman"/>
                <w:szCs w:val="18"/>
              </w:rPr>
              <w:t>枯落物层碳储量</w:t>
            </w:r>
            <w:r>
              <w:rPr>
                <w:rFonts w:ascii="Times New Roman"/>
              </w:rPr>
              <w:t>（kg）</w:t>
            </w:r>
          </w:p>
        </w:tc>
        <w:tc>
          <w:tcPr>
            <w:tcW w:w="1132" w:type="pct"/>
            <w:tcBorders>
              <w:top w:val="single" w:color="auto" w:sz="8" w:space="0"/>
              <w:bottom w:val="single" w:color="auto" w:sz="8" w:space="0"/>
            </w:tcBorders>
            <w:vAlign w:val="center"/>
          </w:tcPr>
          <w:p>
            <w:pPr>
              <w:pStyle w:val="178"/>
              <w:rPr>
                <w:rFonts w:ascii="Times New Roman"/>
                <w:szCs w:val="18"/>
              </w:rPr>
            </w:pPr>
            <w:r>
              <w:rPr>
                <w:rFonts w:ascii="Times New Roman"/>
                <w:szCs w:val="18"/>
              </w:rPr>
              <w:t>土壤层碳储量</w:t>
            </w:r>
            <w:r>
              <w:rPr>
                <w:rFonts w:ascii="Times New Roman"/>
              </w:rPr>
              <w:t>（kg）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tcBorders>
              <w:top w:val="single" w:color="auto" w:sz="8" w:space="0"/>
            </w:tcBorders>
            <w:shd w:val="clear" w:color="auto" w:fill="auto"/>
            <w:vAlign w:val="center"/>
          </w:tcPr>
          <w:p>
            <w:pPr>
              <w:pStyle w:val="178"/>
              <w:rPr>
                <w:rFonts w:ascii="Times New Roman"/>
                <w:szCs w:val="18"/>
              </w:rPr>
            </w:pPr>
            <w:r>
              <w:rPr>
                <w:rFonts w:ascii="Times New Roman"/>
                <w:szCs w:val="18"/>
              </w:rPr>
              <w:t>蒙古扁桃</w:t>
            </w:r>
          </w:p>
        </w:tc>
        <w:tc>
          <w:tcPr>
            <w:tcW w:w="983" w:type="pct"/>
            <w:tcBorders>
              <w:top w:val="single" w:color="auto" w:sz="8" w:space="0"/>
            </w:tcBorders>
            <w:shd w:val="clear" w:color="auto" w:fill="auto"/>
            <w:vAlign w:val="center"/>
          </w:tcPr>
          <w:p>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sz w:val="18"/>
                <w:szCs w:val="18"/>
              </w:rPr>
              <w:t>0.362</w:t>
            </w:r>
          </w:p>
        </w:tc>
        <w:tc>
          <w:tcPr>
            <w:tcW w:w="987" w:type="pct"/>
            <w:tcBorders>
              <w:top w:val="single" w:color="auto" w:sz="8" w:space="0"/>
            </w:tcBorders>
            <w:shd w:val="clear" w:color="auto" w:fill="auto"/>
            <w:vAlign w:val="center"/>
          </w:tcPr>
          <w:p>
            <w:pPr>
              <w:pStyle w:val="178"/>
              <w:rPr>
                <w:rFonts w:ascii="Times New Roman"/>
                <w:szCs w:val="18"/>
              </w:rPr>
            </w:pPr>
            <w:r>
              <w:rPr>
                <w:rFonts w:ascii="Times New Roman"/>
                <w:color w:val="000000"/>
                <w:sz w:val="24"/>
                <w:szCs w:val="24"/>
              </w:rPr>
              <w:t>—</w:t>
            </w:r>
          </w:p>
        </w:tc>
        <w:tc>
          <w:tcPr>
            <w:tcW w:w="1064" w:type="pct"/>
            <w:tcBorders>
              <w:top w:val="single" w:color="auto" w:sz="8" w:space="0"/>
            </w:tcBorders>
            <w:vAlign w:val="center"/>
          </w:tcPr>
          <w:p>
            <w:pPr>
              <w:pStyle w:val="178"/>
              <w:rPr>
                <w:rFonts w:ascii="Times New Roman"/>
                <w:szCs w:val="18"/>
              </w:rPr>
            </w:pPr>
            <w:r>
              <w:rPr>
                <w:rFonts w:ascii="Times New Roman"/>
                <w:szCs w:val="18"/>
              </w:rPr>
              <w:t>0.0289994</w:t>
            </w:r>
          </w:p>
        </w:tc>
        <w:tc>
          <w:tcPr>
            <w:tcW w:w="1132" w:type="pct"/>
            <w:tcBorders>
              <w:top w:val="single" w:color="auto" w:sz="8" w:space="0"/>
            </w:tcBorders>
            <w:vAlign w:val="center"/>
          </w:tcPr>
          <w:p>
            <w:pPr>
              <w:pStyle w:val="178"/>
              <w:rPr>
                <w:rFonts w:ascii="Times New Roman"/>
                <w:szCs w:val="18"/>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黄刺玫</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0.162</w:t>
            </w:r>
          </w:p>
        </w:tc>
        <w:tc>
          <w:tcPr>
            <w:tcW w:w="987" w:type="pct"/>
            <w:shd w:val="clear" w:color="auto" w:fill="auto"/>
            <w:vAlign w:val="center"/>
          </w:tcPr>
          <w:p>
            <w:pPr>
              <w:pStyle w:val="178"/>
              <w:rPr>
                <w:rFonts w:ascii="Times New Roman"/>
                <w:szCs w:val="18"/>
              </w:rPr>
            </w:pPr>
            <w:r>
              <w:rPr>
                <w:rFonts w:ascii="Times New Roman"/>
                <w:color w:val="000000"/>
                <w:sz w:val="24"/>
                <w:szCs w:val="24"/>
              </w:rPr>
              <w:t>—</w:t>
            </w:r>
          </w:p>
        </w:tc>
        <w:tc>
          <w:tcPr>
            <w:tcW w:w="1064" w:type="pct"/>
            <w:vAlign w:val="center"/>
          </w:tcPr>
          <w:p>
            <w:pPr>
              <w:pStyle w:val="178"/>
              <w:rPr>
                <w:rFonts w:ascii="Times New Roman"/>
                <w:szCs w:val="18"/>
              </w:rPr>
            </w:pPr>
            <w:r>
              <w:rPr>
                <w:rFonts w:ascii="Times New Roman"/>
                <w:szCs w:val="18"/>
              </w:rPr>
              <w:t>0.0244566</w:t>
            </w:r>
          </w:p>
        </w:tc>
        <w:tc>
          <w:tcPr>
            <w:tcW w:w="1132" w:type="pct"/>
            <w:vAlign w:val="center"/>
          </w:tcPr>
          <w:p>
            <w:pPr>
              <w:pStyle w:val="178"/>
              <w:rPr>
                <w:rFonts w:ascii="Times New Roman"/>
                <w:szCs w:val="18"/>
              </w:rPr>
            </w:pPr>
            <w:r>
              <w:rPr>
                <w:rFonts w:ascii="Times New Roman"/>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沙棘</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0.141</w:t>
            </w:r>
          </w:p>
        </w:tc>
        <w:tc>
          <w:tcPr>
            <w:tcW w:w="987" w:type="pct"/>
            <w:shd w:val="clear" w:color="auto" w:fill="auto"/>
            <w:vAlign w:val="center"/>
          </w:tcPr>
          <w:p>
            <w:pPr>
              <w:pStyle w:val="178"/>
              <w:rPr>
                <w:rFonts w:ascii="Times New Roman"/>
                <w:szCs w:val="18"/>
              </w:rPr>
            </w:pPr>
            <w:r>
              <w:rPr>
                <w:rFonts w:ascii="Times New Roman"/>
                <w:szCs w:val="18"/>
              </w:rPr>
              <w:t>0.021756</w:t>
            </w:r>
          </w:p>
        </w:tc>
        <w:tc>
          <w:tcPr>
            <w:tcW w:w="1064" w:type="pct"/>
            <w:vAlign w:val="center"/>
          </w:tcPr>
          <w:p>
            <w:pPr>
              <w:pStyle w:val="178"/>
              <w:rPr>
                <w:rFonts w:ascii="Times New Roman"/>
                <w:szCs w:val="18"/>
              </w:rPr>
            </w:pPr>
            <w:r>
              <w:rPr>
                <w:rFonts w:ascii="Times New Roman"/>
                <w:szCs w:val="18"/>
              </w:rPr>
              <w:t>0.0326784</w:t>
            </w:r>
          </w:p>
        </w:tc>
        <w:tc>
          <w:tcPr>
            <w:tcW w:w="1132" w:type="pct"/>
            <w:vAlign w:val="center"/>
          </w:tcPr>
          <w:p>
            <w:pPr>
              <w:pStyle w:val="178"/>
              <w:rPr>
                <w:rFonts w:ascii="Times New Roman"/>
                <w:szCs w:val="18"/>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叉子圆柏</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0.207</w:t>
            </w:r>
          </w:p>
        </w:tc>
        <w:tc>
          <w:tcPr>
            <w:tcW w:w="987" w:type="pct"/>
            <w:shd w:val="clear" w:color="auto" w:fill="auto"/>
            <w:vAlign w:val="center"/>
          </w:tcPr>
          <w:p>
            <w:pPr>
              <w:pStyle w:val="178"/>
              <w:rPr>
                <w:rFonts w:ascii="Times New Roman"/>
                <w:szCs w:val="18"/>
              </w:rPr>
            </w:pPr>
            <w:r>
              <w:rPr>
                <w:rFonts w:ascii="Times New Roman"/>
                <w:szCs w:val="18"/>
              </w:rPr>
              <w:t>0.0247554</w:t>
            </w:r>
          </w:p>
        </w:tc>
        <w:tc>
          <w:tcPr>
            <w:tcW w:w="1064" w:type="pct"/>
            <w:vAlign w:val="center"/>
          </w:tcPr>
          <w:p>
            <w:pPr>
              <w:pStyle w:val="178"/>
              <w:rPr>
                <w:rFonts w:ascii="Times New Roman"/>
                <w:szCs w:val="18"/>
              </w:rPr>
            </w:pPr>
            <w:r>
              <w:rPr>
                <w:rFonts w:ascii="Times New Roman"/>
                <w:color w:val="000000"/>
                <w:sz w:val="24"/>
                <w:szCs w:val="24"/>
              </w:rPr>
              <w:t>—</w:t>
            </w:r>
          </w:p>
        </w:tc>
        <w:tc>
          <w:tcPr>
            <w:tcW w:w="1132" w:type="pct"/>
            <w:vAlign w:val="center"/>
          </w:tcPr>
          <w:p>
            <w:pPr>
              <w:pStyle w:val="178"/>
              <w:rPr>
                <w:rFonts w:ascii="Times New Roman"/>
                <w:szCs w:val="18"/>
              </w:rPr>
            </w:pPr>
            <w:r>
              <w:rPr>
                <w:rFonts w:ascii="Times New Roman"/>
              </w:rPr>
              <w:t>15.283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虎榛子</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0.116</w:t>
            </w:r>
          </w:p>
        </w:tc>
        <w:tc>
          <w:tcPr>
            <w:tcW w:w="987" w:type="pct"/>
            <w:shd w:val="clear" w:color="auto" w:fill="auto"/>
            <w:vAlign w:val="center"/>
          </w:tcPr>
          <w:p>
            <w:pPr>
              <w:pStyle w:val="178"/>
              <w:rPr>
                <w:rFonts w:ascii="Times New Roman"/>
                <w:szCs w:val="18"/>
              </w:rPr>
            </w:pPr>
            <w:r>
              <w:rPr>
                <w:rFonts w:ascii="Times New Roman"/>
                <w:szCs w:val="18"/>
              </w:rPr>
              <w:t>0.0275766</w:t>
            </w:r>
          </w:p>
        </w:tc>
        <w:tc>
          <w:tcPr>
            <w:tcW w:w="1064" w:type="pct"/>
            <w:vAlign w:val="center"/>
          </w:tcPr>
          <w:p>
            <w:pPr>
              <w:pStyle w:val="178"/>
              <w:rPr>
                <w:rFonts w:ascii="Times New Roman"/>
                <w:szCs w:val="18"/>
              </w:rPr>
            </w:pPr>
            <w:r>
              <w:rPr>
                <w:rFonts w:ascii="Times New Roman"/>
                <w:color w:val="000000"/>
                <w:sz w:val="24"/>
                <w:szCs w:val="24"/>
              </w:rPr>
              <w:t>—</w:t>
            </w:r>
          </w:p>
        </w:tc>
        <w:tc>
          <w:tcPr>
            <w:tcW w:w="1132" w:type="pct"/>
            <w:vAlign w:val="center"/>
          </w:tcPr>
          <w:p>
            <w:pPr>
              <w:pStyle w:val="178"/>
              <w:rPr>
                <w:rFonts w:ascii="Times New Roman"/>
                <w:szCs w:val="18"/>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蒙古莸</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0.125</w:t>
            </w:r>
          </w:p>
        </w:tc>
        <w:tc>
          <w:tcPr>
            <w:tcW w:w="987" w:type="pct"/>
            <w:shd w:val="clear" w:color="auto" w:fill="auto"/>
            <w:vAlign w:val="center"/>
          </w:tcPr>
          <w:p>
            <w:pPr>
              <w:pStyle w:val="178"/>
              <w:rPr>
                <w:rFonts w:ascii="Times New Roman"/>
                <w:szCs w:val="18"/>
              </w:rPr>
            </w:pPr>
            <w:r>
              <w:rPr>
                <w:rFonts w:ascii="Times New Roman"/>
                <w:szCs w:val="18"/>
              </w:rPr>
              <w:t>0.0097713</w:t>
            </w:r>
          </w:p>
        </w:tc>
        <w:tc>
          <w:tcPr>
            <w:tcW w:w="1064" w:type="pct"/>
            <w:vAlign w:val="center"/>
          </w:tcPr>
          <w:p>
            <w:pPr>
              <w:pStyle w:val="178"/>
              <w:rPr>
                <w:rFonts w:ascii="Times New Roman"/>
                <w:szCs w:val="18"/>
              </w:rPr>
            </w:pPr>
            <w:r>
              <w:rPr>
                <w:rFonts w:ascii="Times New Roman"/>
                <w:color w:val="000000"/>
                <w:sz w:val="24"/>
                <w:szCs w:val="24"/>
              </w:rPr>
              <w:t>—</w:t>
            </w:r>
          </w:p>
        </w:tc>
        <w:tc>
          <w:tcPr>
            <w:tcW w:w="1132" w:type="pct"/>
            <w:vAlign w:val="center"/>
          </w:tcPr>
          <w:p>
            <w:pPr>
              <w:pStyle w:val="178"/>
              <w:rPr>
                <w:rFonts w:ascii="Times New Roman"/>
                <w:szCs w:val="18"/>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土庄绣线菊</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0.157</w:t>
            </w:r>
          </w:p>
        </w:tc>
        <w:tc>
          <w:tcPr>
            <w:tcW w:w="987" w:type="pct"/>
            <w:shd w:val="clear" w:color="auto" w:fill="auto"/>
            <w:vAlign w:val="center"/>
          </w:tcPr>
          <w:p>
            <w:pPr>
              <w:pStyle w:val="178"/>
              <w:rPr>
                <w:rFonts w:ascii="Times New Roman"/>
                <w:szCs w:val="18"/>
              </w:rPr>
            </w:pPr>
            <w:r>
              <w:rPr>
                <w:rFonts w:ascii="Times New Roman"/>
                <w:szCs w:val="18"/>
              </w:rPr>
              <w:t>0.022944</w:t>
            </w:r>
          </w:p>
        </w:tc>
        <w:tc>
          <w:tcPr>
            <w:tcW w:w="1064" w:type="pct"/>
            <w:vAlign w:val="center"/>
          </w:tcPr>
          <w:p>
            <w:pPr>
              <w:pStyle w:val="178"/>
              <w:rPr>
                <w:rFonts w:ascii="Times New Roman"/>
                <w:szCs w:val="18"/>
              </w:rPr>
            </w:pPr>
            <w:r>
              <w:rPr>
                <w:rFonts w:ascii="Times New Roman"/>
                <w:szCs w:val="18"/>
              </w:rPr>
              <w:t>0.0285358</w:t>
            </w:r>
          </w:p>
        </w:tc>
        <w:tc>
          <w:tcPr>
            <w:tcW w:w="1132" w:type="pct"/>
            <w:vAlign w:val="center"/>
          </w:tcPr>
          <w:p>
            <w:pPr>
              <w:pStyle w:val="178"/>
              <w:rPr>
                <w:rFonts w:ascii="Times New Roman"/>
                <w:szCs w:val="18"/>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柠条</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0.172</w:t>
            </w:r>
          </w:p>
        </w:tc>
        <w:tc>
          <w:tcPr>
            <w:tcW w:w="987" w:type="pct"/>
            <w:shd w:val="clear" w:color="auto" w:fill="auto"/>
            <w:vAlign w:val="center"/>
          </w:tcPr>
          <w:p>
            <w:pPr>
              <w:pStyle w:val="178"/>
              <w:rPr>
                <w:rFonts w:ascii="Times New Roman"/>
                <w:szCs w:val="18"/>
              </w:rPr>
            </w:pPr>
            <w:r>
              <w:rPr>
                <w:rFonts w:ascii="Times New Roman"/>
                <w:color w:val="000000"/>
                <w:sz w:val="24"/>
                <w:szCs w:val="24"/>
              </w:rPr>
              <w:t>—</w:t>
            </w:r>
          </w:p>
        </w:tc>
        <w:tc>
          <w:tcPr>
            <w:tcW w:w="1064" w:type="pct"/>
            <w:vAlign w:val="center"/>
          </w:tcPr>
          <w:p>
            <w:pPr>
              <w:pStyle w:val="178"/>
              <w:rPr>
                <w:rFonts w:ascii="Times New Roman"/>
                <w:szCs w:val="18"/>
              </w:rPr>
            </w:pPr>
            <w:r>
              <w:rPr>
                <w:rFonts w:ascii="Times New Roman"/>
                <w:color w:val="000000"/>
                <w:sz w:val="24"/>
                <w:szCs w:val="24"/>
              </w:rPr>
              <w:t>—</w:t>
            </w:r>
          </w:p>
        </w:tc>
        <w:tc>
          <w:tcPr>
            <w:tcW w:w="1132" w:type="pct"/>
            <w:vAlign w:val="center"/>
          </w:tcPr>
          <w:p>
            <w:pPr>
              <w:pStyle w:val="178"/>
              <w:rPr>
                <w:rFonts w:ascii="Times New Roman"/>
                <w:szCs w:val="18"/>
              </w:rPr>
            </w:pPr>
            <w:r>
              <w:rPr>
                <w:rFonts w:ascii="Times New Roman"/>
              </w:rPr>
              <w:t>15.283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铁线莲</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0.165</w:t>
            </w:r>
          </w:p>
        </w:tc>
        <w:tc>
          <w:tcPr>
            <w:tcW w:w="987" w:type="pct"/>
            <w:shd w:val="clear" w:color="auto" w:fill="auto"/>
            <w:vAlign w:val="center"/>
          </w:tcPr>
          <w:p>
            <w:pPr>
              <w:pStyle w:val="178"/>
              <w:rPr>
                <w:rFonts w:ascii="Times New Roman"/>
                <w:szCs w:val="18"/>
              </w:rPr>
            </w:pPr>
            <w:r>
              <w:rPr>
                <w:rFonts w:ascii="Times New Roman"/>
                <w:color w:val="000000"/>
                <w:sz w:val="24"/>
                <w:szCs w:val="24"/>
              </w:rPr>
              <w:t>—</w:t>
            </w:r>
          </w:p>
        </w:tc>
        <w:tc>
          <w:tcPr>
            <w:tcW w:w="1064" w:type="pct"/>
            <w:vAlign w:val="center"/>
          </w:tcPr>
          <w:p>
            <w:pPr>
              <w:pStyle w:val="178"/>
              <w:rPr>
                <w:rFonts w:ascii="Times New Roman"/>
                <w:szCs w:val="18"/>
              </w:rPr>
            </w:pPr>
            <w:r>
              <w:rPr>
                <w:rFonts w:ascii="Times New Roman"/>
                <w:color w:val="000000"/>
                <w:sz w:val="24"/>
                <w:szCs w:val="24"/>
              </w:rPr>
              <w:t>—</w:t>
            </w:r>
          </w:p>
        </w:tc>
        <w:tc>
          <w:tcPr>
            <w:tcW w:w="1132" w:type="pct"/>
            <w:vAlign w:val="center"/>
          </w:tcPr>
          <w:p>
            <w:pPr>
              <w:pStyle w:val="178"/>
              <w:rPr>
                <w:rFonts w:ascii="Times New Roman"/>
                <w:szCs w:val="18"/>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34" w:type="pct"/>
            <w:shd w:val="clear" w:color="auto" w:fill="auto"/>
            <w:vAlign w:val="center"/>
          </w:tcPr>
          <w:p>
            <w:pPr>
              <w:pStyle w:val="178"/>
              <w:rPr>
                <w:rFonts w:ascii="Times New Roman"/>
                <w:szCs w:val="18"/>
              </w:rPr>
            </w:pPr>
            <w:r>
              <w:rPr>
                <w:rFonts w:ascii="Times New Roman"/>
                <w:szCs w:val="18"/>
              </w:rPr>
              <w:t>丁香</w:t>
            </w:r>
          </w:p>
        </w:tc>
        <w:tc>
          <w:tcPr>
            <w:tcW w:w="98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0.150</w:t>
            </w:r>
          </w:p>
        </w:tc>
        <w:tc>
          <w:tcPr>
            <w:tcW w:w="987" w:type="pct"/>
            <w:shd w:val="clear" w:color="auto" w:fill="auto"/>
            <w:vAlign w:val="center"/>
          </w:tcPr>
          <w:p>
            <w:pPr>
              <w:pStyle w:val="178"/>
              <w:rPr>
                <w:rFonts w:ascii="Times New Roman"/>
                <w:szCs w:val="18"/>
              </w:rPr>
            </w:pPr>
            <w:r>
              <w:rPr>
                <w:rFonts w:ascii="Times New Roman"/>
                <w:color w:val="000000"/>
                <w:sz w:val="24"/>
                <w:szCs w:val="24"/>
              </w:rPr>
              <w:t>—</w:t>
            </w:r>
          </w:p>
        </w:tc>
        <w:tc>
          <w:tcPr>
            <w:tcW w:w="1064" w:type="pct"/>
            <w:vAlign w:val="center"/>
          </w:tcPr>
          <w:p>
            <w:pPr>
              <w:pStyle w:val="178"/>
              <w:rPr>
                <w:rFonts w:ascii="Times New Roman"/>
                <w:szCs w:val="18"/>
              </w:rPr>
            </w:pPr>
            <w:r>
              <w:rPr>
                <w:rFonts w:ascii="Times New Roman"/>
                <w:szCs w:val="18"/>
              </w:rPr>
              <w:t>0.0254464</w:t>
            </w:r>
          </w:p>
        </w:tc>
        <w:tc>
          <w:tcPr>
            <w:tcW w:w="1132" w:type="pct"/>
            <w:vAlign w:val="center"/>
          </w:tcPr>
          <w:p>
            <w:pPr>
              <w:pStyle w:val="178"/>
              <w:rPr>
                <w:rFonts w:ascii="Times New Roman"/>
                <w:szCs w:val="18"/>
              </w:rPr>
            </w:pPr>
            <w:r>
              <w:rPr>
                <w:rFonts w:ascii="Times New Roman"/>
              </w:rPr>
              <w:t>9.792</w:t>
            </w:r>
          </w:p>
        </w:tc>
      </w:tr>
    </w:tbl>
    <w:p>
      <w:pPr>
        <w:pStyle w:val="56"/>
        <w:ind w:firstLine="0" w:firstLineChars="0"/>
        <w:sectPr>
          <w:pgSz w:w="11906" w:h="16838"/>
          <w:pgMar w:top="1928" w:right="1134" w:bottom="1134" w:left="1134" w:header="1418" w:footer="1134" w:gutter="284"/>
          <w:cols w:space="425" w:num="1"/>
          <w:formProt w:val="0"/>
          <w:docGrid w:type="lines" w:linePitch="312" w:charSpace="0"/>
        </w:sectPr>
      </w:pPr>
    </w:p>
    <w:bookmarkEnd w:id="76"/>
    <w:p>
      <w:pPr>
        <w:jc w:val="center"/>
      </w:pPr>
      <w:bookmarkStart w:id="79"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FZgLaTquD64+MKF7ikoKSzE9+hEQJ/AFCnsnczhJHhTTaoieQpuwIXHUIhYci+UR5jq3qZ47TSfLXPMyZ929Cw==" w:salt="abDxvrt4L7ZX+v1Mz5W5S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BF58B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6BC"/>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FF2"/>
    <w:rsid w:val="000D4B9C"/>
    <w:rsid w:val="000D4EB6"/>
    <w:rsid w:val="000D753B"/>
    <w:rsid w:val="000E005A"/>
    <w:rsid w:val="000E4C9E"/>
    <w:rsid w:val="000E6FD7"/>
    <w:rsid w:val="000F06E1"/>
    <w:rsid w:val="000F0E3C"/>
    <w:rsid w:val="000F19D5"/>
    <w:rsid w:val="000F4AEA"/>
    <w:rsid w:val="000F633F"/>
    <w:rsid w:val="000F67E9"/>
    <w:rsid w:val="00104926"/>
    <w:rsid w:val="00107008"/>
    <w:rsid w:val="001133EC"/>
    <w:rsid w:val="00113B1E"/>
    <w:rsid w:val="0011711C"/>
    <w:rsid w:val="0012059C"/>
    <w:rsid w:val="00122154"/>
    <w:rsid w:val="00124E4F"/>
    <w:rsid w:val="0012575F"/>
    <w:rsid w:val="001260B7"/>
    <w:rsid w:val="001265CB"/>
    <w:rsid w:val="001321C6"/>
    <w:rsid w:val="001325C4"/>
    <w:rsid w:val="00132AFF"/>
    <w:rsid w:val="00133010"/>
    <w:rsid w:val="001338EE"/>
    <w:rsid w:val="00133AAE"/>
    <w:rsid w:val="00135323"/>
    <w:rsid w:val="001356C4"/>
    <w:rsid w:val="0013582B"/>
    <w:rsid w:val="00141114"/>
    <w:rsid w:val="00141611"/>
    <w:rsid w:val="00142969"/>
    <w:rsid w:val="001446C2"/>
    <w:rsid w:val="001457E7"/>
    <w:rsid w:val="00145D9D"/>
    <w:rsid w:val="00146388"/>
    <w:rsid w:val="00147A44"/>
    <w:rsid w:val="001529E5"/>
    <w:rsid w:val="00153C7E"/>
    <w:rsid w:val="00156B25"/>
    <w:rsid w:val="00156E1A"/>
    <w:rsid w:val="00157894"/>
    <w:rsid w:val="00157B55"/>
    <w:rsid w:val="001642FA"/>
    <w:rsid w:val="001649EB"/>
    <w:rsid w:val="00164BAF"/>
    <w:rsid w:val="00164FA8"/>
    <w:rsid w:val="00165065"/>
    <w:rsid w:val="00165434"/>
    <w:rsid w:val="0016580B"/>
    <w:rsid w:val="00165A52"/>
    <w:rsid w:val="00165F49"/>
    <w:rsid w:val="00166B88"/>
    <w:rsid w:val="0016770A"/>
    <w:rsid w:val="00170804"/>
    <w:rsid w:val="001708E9"/>
    <w:rsid w:val="0017340B"/>
    <w:rsid w:val="00173FB1"/>
    <w:rsid w:val="00176DFD"/>
    <w:rsid w:val="001852C9"/>
    <w:rsid w:val="00185DED"/>
    <w:rsid w:val="00190087"/>
    <w:rsid w:val="001913C4"/>
    <w:rsid w:val="0019348F"/>
    <w:rsid w:val="00193A07"/>
    <w:rsid w:val="00194C95"/>
    <w:rsid w:val="00195C34"/>
    <w:rsid w:val="00196EF5"/>
    <w:rsid w:val="001A1A53"/>
    <w:rsid w:val="001A234A"/>
    <w:rsid w:val="001A40EA"/>
    <w:rsid w:val="001A4CF3"/>
    <w:rsid w:val="001A7774"/>
    <w:rsid w:val="001B049A"/>
    <w:rsid w:val="001B06E8"/>
    <w:rsid w:val="001B4B00"/>
    <w:rsid w:val="001B71D0"/>
    <w:rsid w:val="001B71EE"/>
    <w:rsid w:val="001C04A8"/>
    <w:rsid w:val="001C0A99"/>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142"/>
    <w:rsid w:val="001F69B4"/>
    <w:rsid w:val="001F77C7"/>
    <w:rsid w:val="00200183"/>
    <w:rsid w:val="00200333"/>
    <w:rsid w:val="0020107D"/>
    <w:rsid w:val="00202AA4"/>
    <w:rsid w:val="002031F7"/>
    <w:rsid w:val="002040E6"/>
    <w:rsid w:val="0020527B"/>
    <w:rsid w:val="00205F2C"/>
    <w:rsid w:val="00210B15"/>
    <w:rsid w:val="00210CE0"/>
    <w:rsid w:val="002134D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E88"/>
    <w:rsid w:val="0026148A"/>
    <w:rsid w:val="002621A9"/>
    <w:rsid w:val="00262696"/>
    <w:rsid w:val="00263D25"/>
    <w:rsid w:val="002643C3"/>
    <w:rsid w:val="00264A0C"/>
    <w:rsid w:val="00266EEB"/>
    <w:rsid w:val="00267EF4"/>
    <w:rsid w:val="00270CB8"/>
    <w:rsid w:val="00272B08"/>
    <w:rsid w:val="002771AC"/>
    <w:rsid w:val="00281BB8"/>
    <w:rsid w:val="00281E9E"/>
    <w:rsid w:val="00282405"/>
    <w:rsid w:val="0028492F"/>
    <w:rsid w:val="00285170"/>
    <w:rsid w:val="00285361"/>
    <w:rsid w:val="00285C5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D45"/>
    <w:rsid w:val="002F7AF6"/>
    <w:rsid w:val="00300E63"/>
    <w:rsid w:val="00302F5F"/>
    <w:rsid w:val="0030441D"/>
    <w:rsid w:val="00306063"/>
    <w:rsid w:val="00313B85"/>
    <w:rsid w:val="003170E7"/>
    <w:rsid w:val="00317988"/>
    <w:rsid w:val="003221B4"/>
    <w:rsid w:val="0032258D"/>
    <w:rsid w:val="00322E62"/>
    <w:rsid w:val="00324D13"/>
    <w:rsid w:val="00324D2A"/>
    <w:rsid w:val="00324EDD"/>
    <w:rsid w:val="003301D8"/>
    <w:rsid w:val="003331E4"/>
    <w:rsid w:val="003333DB"/>
    <w:rsid w:val="00336C64"/>
    <w:rsid w:val="00337162"/>
    <w:rsid w:val="0034194F"/>
    <w:rsid w:val="00344605"/>
    <w:rsid w:val="003474AA"/>
    <w:rsid w:val="00350D1D"/>
    <w:rsid w:val="00352C83"/>
    <w:rsid w:val="00352EFB"/>
    <w:rsid w:val="0035412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1B1"/>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5DB2"/>
    <w:rsid w:val="003C7702"/>
    <w:rsid w:val="003D0519"/>
    <w:rsid w:val="003D0FF6"/>
    <w:rsid w:val="003D262C"/>
    <w:rsid w:val="003D6D61"/>
    <w:rsid w:val="003D79C6"/>
    <w:rsid w:val="003E091D"/>
    <w:rsid w:val="003E1C53"/>
    <w:rsid w:val="003E2A69"/>
    <w:rsid w:val="003E2D49"/>
    <w:rsid w:val="003E2FD4"/>
    <w:rsid w:val="003E49F6"/>
    <w:rsid w:val="003E660F"/>
    <w:rsid w:val="003F0841"/>
    <w:rsid w:val="003F1304"/>
    <w:rsid w:val="003F23D3"/>
    <w:rsid w:val="003F3F08"/>
    <w:rsid w:val="003F49F1"/>
    <w:rsid w:val="003F6272"/>
    <w:rsid w:val="00400E72"/>
    <w:rsid w:val="00401400"/>
    <w:rsid w:val="00404869"/>
    <w:rsid w:val="00405884"/>
    <w:rsid w:val="00407D39"/>
    <w:rsid w:val="004119B0"/>
    <w:rsid w:val="0041477A"/>
    <w:rsid w:val="004167A3"/>
    <w:rsid w:val="00421C0E"/>
    <w:rsid w:val="00432DAA"/>
    <w:rsid w:val="00434305"/>
    <w:rsid w:val="00435308"/>
    <w:rsid w:val="00435DF7"/>
    <w:rsid w:val="0044083F"/>
    <w:rsid w:val="00441AE7"/>
    <w:rsid w:val="00445574"/>
    <w:rsid w:val="004467FB"/>
    <w:rsid w:val="00452D6B"/>
    <w:rsid w:val="00454484"/>
    <w:rsid w:val="0045517B"/>
    <w:rsid w:val="00462452"/>
    <w:rsid w:val="00463324"/>
    <w:rsid w:val="00463B77"/>
    <w:rsid w:val="00463C7B"/>
    <w:rsid w:val="00463F74"/>
    <w:rsid w:val="004644A6"/>
    <w:rsid w:val="004659BD"/>
    <w:rsid w:val="00470775"/>
    <w:rsid w:val="00474267"/>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08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839"/>
    <w:rsid w:val="004F25F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CEE"/>
    <w:rsid w:val="00533D04"/>
    <w:rsid w:val="00534804"/>
    <w:rsid w:val="00534BDF"/>
    <w:rsid w:val="005354EA"/>
    <w:rsid w:val="0053585F"/>
    <w:rsid w:val="00535EC4"/>
    <w:rsid w:val="00535ED9"/>
    <w:rsid w:val="0053692B"/>
    <w:rsid w:val="00541853"/>
    <w:rsid w:val="005428AD"/>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52F4"/>
    <w:rsid w:val="005A7830"/>
    <w:rsid w:val="005A7FC1"/>
    <w:rsid w:val="005A7FCE"/>
    <w:rsid w:val="005B0F3F"/>
    <w:rsid w:val="005B107A"/>
    <w:rsid w:val="005B4903"/>
    <w:rsid w:val="005B51CE"/>
    <w:rsid w:val="005B5885"/>
    <w:rsid w:val="005B59D4"/>
    <w:rsid w:val="005B5CD7"/>
    <w:rsid w:val="005B6CF6"/>
    <w:rsid w:val="005B7422"/>
    <w:rsid w:val="005C1608"/>
    <w:rsid w:val="005C29B8"/>
    <w:rsid w:val="005C5F21"/>
    <w:rsid w:val="005C7156"/>
    <w:rsid w:val="005D0C75"/>
    <w:rsid w:val="005D3904"/>
    <w:rsid w:val="005D4171"/>
    <w:rsid w:val="005D6A95"/>
    <w:rsid w:val="005D6B2C"/>
    <w:rsid w:val="005D6D9C"/>
    <w:rsid w:val="005E1046"/>
    <w:rsid w:val="005E2335"/>
    <w:rsid w:val="005E34CA"/>
    <w:rsid w:val="005E3C18"/>
    <w:rsid w:val="005E6812"/>
    <w:rsid w:val="005E7881"/>
    <w:rsid w:val="005E78E0"/>
    <w:rsid w:val="005F0761"/>
    <w:rsid w:val="005F0D9C"/>
    <w:rsid w:val="005F284E"/>
    <w:rsid w:val="005F4712"/>
    <w:rsid w:val="006015CE"/>
    <w:rsid w:val="00604784"/>
    <w:rsid w:val="00606419"/>
    <w:rsid w:val="00607D29"/>
    <w:rsid w:val="00612952"/>
    <w:rsid w:val="00614CC1"/>
    <w:rsid w:val="00614EEB"/>
    <w:rsid w:val="00615130"/>
    <w:rsid w:val="00615A9D"/>
    <w:rsid w:val="00617387"/>
    <w:rsid w:val="00617CD2"/>
    <w:rsid w:val="006205D6"/>
    <w:rsid w:val="006252D8"/>
    <w:rsid w:val="006259BC"/>
    <w:rsid w:val="0062636B"/>
    <w:rsid w:val="00632182"/>
    <w:rsid w:val="00632AE0"/>
    <w:rsid w:val="00633C17"/>
    <w:rsid w:val="00634D9E"/>
    <w:rsid w:val="00636E3E"/>
    <w:rsid w:val="006379F7"/>
    <w:rsid w:val="00637E4D"/>
    <w:rsid w:val="00640620"/>
    <w:rsid w:val="00641A1F"/>
    <w:rsid w:val="006442EF"/>
    <w:rsid w:val="00645904"/>
    <w:rsid w:val="00651ACB"/>
    <w:rsid w:val="00651C47"/>
    <w:rsid w:val="00652AB2"/>
    <w:rsid w:val="00653FED"/>
    <w:rsid w:val="00654EC0"/>
    <w:rsid w:val="0065525B"/>
    <w:rsid w:val="00655D4F"/>
    <w:rsid w:val="00656D29"/>
    <w:rsid w:val="00657825"/>
    <w:rsid w:val="006640E5"/>
    <w:rsid w:val="006646F1"/>
    <w:rsid w:val="00664929"/>
    <w:rsid w:val="00664F62"/>
    <w:rsid w:val="006655E1"/>
    <w:rsid w:val="00672060"/>
    <w:rsid w:val="00672BFD"/>
    <w:rsid w:val="0067463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693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31C8"/>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DE0"/>
    <w:rsid w:val="00752B4D"/>
    <w:rsid w:val="00752D85"/>
    <w:rsid w:val="00752EEB"/>
    <w:rsid w:val="00755402"/>
    <w:rsid w:val="00755D8D"/>
    <w:rsid w:val="00755EF6"/>
    <w:rsid w:val="00756B26"/>
    <w:rsid w:val="00756EDF"/>
    <w:rsid w:val="007600E3"/>
    <w:rsid w:val="00765C43"/>
    <w:rsid w:val="00765EFB"/>
    <w:rsid w:val="007671CA"/>
    <w:rsid w:val="0076737A"/>
    <w:rsid w:val="00767C61"/>
    <w:rsid w:val="0077008A"/>
    <w:rsid w:val="00773C1F"/>
    <w:rsid w:val="00774DA4"/>
    <w:rsid w:val="00776599"/>
    <w:rsid w:val="0078114B"/>
    <w:rsid w:val="00781DD2"/>
    <w:rsid w:val="00783ECF"/>
    <w:rsid w:val="0078413A"/>
    <w:rsid w:val="007903C5"/>
    <w:rsid w:val="00794B2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D38"/>
    <w:rsid w:val="007F0ED8"/>
    <w:rsid w:val="007F0F63"/>
    <w:rsid w:val="007F75CE"/>
    <w:rsid w:val="008013A4"/>
    <w:rsid w:val="008027CE"/>
    <w:rsid w:val="00802F42"/>
    <w:rsid w:val="00804383"/>
    <w:rsid w:val="00804BB7"/>
    <w:rsid w:val="00804D41"/>
    <w:rsid w:val="00810257"/>
    <w:rsid w:val="008104F5"/>
    <w:rsid w:val="00811072"/>
    <w:rsid w:val="00811369"/>
    <w:rsid w:val="0081143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9C9"/>
    <w:rsid w:val="00843C13"/>
    <w:rsid w:val="00844FD4"/>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B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52B"/>
    <w:rsid w:val="008F788F"/>
    <w:rsid w:val="008F7EA2"/>
    <w:rsid w:val="00902722"/>
    <w:rsid w:val="009027BC"/>
    <w:rsid w:val="0090530A"/>
    <w:rsid w:val="00905E86"/>
    <w:rsid w:val="009062E6"/>
    <w:rsid w:val="00911BE5"/>
    <w:rsid w:val="00913CA9"/>
    <w:rsid w:val="009145AE"/>
    <w:rsid w:val="009146B8"/>
    <w:rsid w:val="009146CE"/>
    <w:rsid w:val="00914CA7"/>
    <w:rsid w:val="00914E2B"/>
    <w:rsid w:val="00915C3E"/>
    <w:rsid w:val="009161A8"/>
    <w:rsid w:val="009167BE"/>
    <w:rsid w:val="00921927"/>
    <w:rsid w:val="009245F5"/>
    <w:rsid w:val="009249EC"/>
    <w:rsid w:val="009273B3"/>
    <w:rsid w:val="009277B7"/>
    <w:rsid w:val="009305B5"/>
    <w:rsid w:val="00940A98"/>
    <w:rsid w:val="009429D5"/>
    <w:rsid w:val="00942BF1"/>
    <w:rsid w:val="00945180"/>
    <w:rsid w:val="00945428"/>
    <w:rsid w:val="0094607B"/>
    <w:rsid w:val="00953604"/>
    <w:rsid w:val="0095496B"/>
    <w:rsid w:val="009610DC"/>
    <w:rsid w:val="00961490"/>
    <w:rsid w:val="0096381A"/>
    <w:rsid w:val="00965E04"/>
    <w:rsid w:val="009674AD"/>
    <w:rsid w:val="00970CDC"/>
    <w:rsid w:val="00974E9D"/>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4C5"/>
    <w:rsid w:val="009B6029"/>
    <w:rsid w:val="009B6971"/>
    <w:rsid w:val="009B7DBE"/>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6ADF"/>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20F"/>
    <w:rsid w:val="00A4661E"/>
    <w:rsid w:val="00A52830"/>
    <w:rsid w:val="00A55BD6"/>
    <w:rsid w:val="00A55D50"/>
    <w:rsid w:val="00A57142"/>
    <w:rsid w:val="00A61508"/>
    <w:rsid w:val="00A648CD"/>
    <w:rsid w:val="00A64920"/>
    <w:rsid w:val="00A6537A"/>
    <w:rsid w:val="00A65D82"/>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BB0"/>
    <w:rsid w:val="00AE5EB4"/>
    <w:rsid w:val="00AE6A0D"/>
    <w:rsid w:val="00AF0C18"/>
    <w:rsid w:val="00AF47C5"/>
    <w:rsid w:val="00AF5398"/>
    <w:rsid w:val="00B049AF"/>
    <w:rsid w:val="00B07242"/>
    <w:rsid w:val="00B100C4"/>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6E2"/>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132"/>
    <w:rsid w:val="00B903A3"/>
    <w:rsid w:val="00B937A2"/>
    <w:rsid w:val="00B939B1"/>
    <w:rsid w:val="00B96D40"/>
    <w:rsid w:val="00B97386"/>
    <w:rsid w:val="00BA235D"/>
    <w:rsid w:val="00BA263B"/>
    <w:rsid w:val="00BA42B2"/>
    <w:rsid w:val="00BA58D4"/>
    <w:rsid w:val="00BA5B9E"/>
    <w:rsid w:val="00BA7C9A"/>
    <w:rsid w:val="00BB203B"/>
    <w:rsid w:val="00BB22E7"/>
    <w:rsid w:val="00BB5F8F"/>
    <w:rsid w:val="00BB657A"/>
    <w:rsid w:val="00BC1A4E"/>
    <w:rsid w:val="00BC2D12"/>
    <w:rsid w:val="00BC3307"/>
    <w:rsid w:val="00BC4790"/>
    <w:rsid w:val="00BC5DC7"/>
    <w:rsid w:val="00BC6B8B"/>
    <w:rsid w:val="00BC73D8"/>
    <w:rsid w:val="00BD5102"/>
    <w:rsid w:val="00BD52D7"/>
    <w:rsid w:val="00BD5AD2"/>
    <w:rsid w:val="00BE1FD8"/>
    <w:rsid w:val="00BE22F3"/>
    <w:rsid w:val="00BE5B52"/>
    <w:rsid w:val="00BE7B8D"/>
    <w:rsid w:val="00BF0993"/>
    <w:rsid w:val="00BF10A9"/>
    <w:rsid w:val="00BF1703"/>
    <w:rsid w:val="00BF231C"/>
    <w:rsid w:val="00BF51E5"/>
    <w:rsid w:val="00BF58B9"/>
    <w:rsid w:val="00BF74A6"/>
    <w:rsid w:val="00C013AD"/>
    <w:rsid w:val="00C04408"/>
    <w:rsid w:val="00C04904"/>
    <w:rsid w:val="00C056B3"/>
    <w:rsid w:val="00C103E5"/>
    <w:rsid w:val="00C13319"/>
    <w:rsid w:val="00C13EE9"/>
    <w:rsid w:val="00C21540"/>
    <w:rsid w:val="00C21906"/>
    <w:rsid w:val="00C21BFA"/>
    <w:rsid w:val="00C22148"/>
    <w:rsid w:val="00C24C8D"/>
    <w:rsid w:val="00C25FE2"/>
    <w:rsid w:val="00C26B53"/>
    <w:rsid w:val="00C279B2"/>
    <w:rsid w:val="00C308C4"/>
    <w:rsid w:val="00C327C4"/>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688"/>
    <w:rsid w:val="00C96741"/>
    <w:rsid w:val="00CA2D1B"/>
    <w:rsid w:val="00CA375D"/>
    <w:rsid w:val="00CA662A"/>
    <w:rsid w:val="00CA7AFD"/>
    <w:rsid w:val="00CA7C3C"/>
    <w:rsid w:val="00CB0189"/>
    <w:rsid w:val="00CB0BA2"/>
    <w:rsid w:val="00CB1A42"/>
    <w:rsid w:val="00CB1B0C"/>
    <w:rsid w:val="00CB2C0B"/>
    <w:rsid w:val="00CB40D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05E"/>
    <w:rsid w:val="00CE30EA"/>
    <w:rsid w:val="00CF048A"/>
    <w:rsid w:val="00CF155A"/>
    <w:rsid w:val="00CF2947"/>
    <w:rsid w:val="00CF686F"/>
    <w:rsid w:val="00CF6E60"/>
    <w:rsid w:val="00CF7BCA"/>
    <w:rsid w:val="00D0011B"/>
    <w:rsid w:val="00D008FD"/>
    <w:rsid w:val="00D0321C"/>
    <w:rsid w:val="00D035EC"/>
    <w:rsid w:val="00D0618A"/>
    <w:rsid w:val="00D06AB1"/>
    <w:rsid w:val="00D072ED"/>
    <w:rsid w:val="00D07A16"/>
    <w:rsid w:val="00D1067E"/>
    <w:rsid w:val="00D10F50"/>
    <w:rsid w:val="00D11272"/>
    <w:rsid w:val="00D126F5"/>
    <w:rsid w:val="00D1489E"/>
    <w:rsid w:val="00D20737"/>
    <w:rsid w:val="00D21E81"/>
    <w:rsid w:val="00D223DE"/>
    <w:rsid w:val="00D23C10"/>
    <w:rsid w:val="00D25C36"/>
    <w:rsid w:val="00D25E37"/>
    <w:rsid w:val="00D2661A"/>
    <w:rsid w:val="00D27582"/>
    <w:rsid w:val="00D27EC4"/>
    <w:rsid w:val="00D314A2"/>
    <w:rsid w:val="00D32719"/>
    <w:rsid w:val="00D33333"/>
    <w:rsid w:val="00D33457"/>
    <w:rsid w:val="00D352A2"/>
    <w:rsid w:val="00D3660F"/>
    <w:rsid w:val="00D4162B"/>
    <w:rsid w:val="00D4217A"/>
    <w:rsid w:val="00D4514F"/>
    <w:rsid w:val="00D451E2"/>
    <w:rsid w:val="00D45E89"/>
    <w:rsid w:val="00D45E8D"/>
    <w:rsid w:val="00D466AE"/>
    <w:rsid w:val="00D4734F"/>
    <w:rsid w:val="00D51BF3"/>
    <w:rsid w:val="00D55E82"/>
    <w:rsid w:val="00D618C9"/>
    <w:rsid w:val="00D659FB"/>
    <w:rsid w:val="00D66846"/>
    <w:rsid w:val="00D675FB"/>
    <w:rsid w:val="00D71F25"/>
    <w:rsid w:val="00D72A9C"/>
    <w:rsid w:val="00D75040"/>
    <w:rsid w:val="00D77031"/>
    <w:rsid w:val="00D84941"/>
    <w:rsid w:val="00D84FA1"/>
    <w:rsid w:val="00D851F0"/>
    <w:rsid w:val="00D86DB7"/>
    <w:rsid w:val="00D90915"/>
    <w:rsid w:val="00D90A88"/>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58C"/>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1C0"/>
    <w:rsid w:val="00E11A85"/>
    <w:rsid w:val="00E12495"/>
    <w:rsid w:val="00E126BB"/>
    <w:rsid w:val="00E15CCD"/>
    <w:rsid w:val="00E202EF"/>
    <w:rsid w:val="00E210B5"/>
    <w:rsid w:val="00E23D99"/>
    <w:rsid w:val="00E2552F"/>
    <w:rsid w:val="00E3137A"/>
    <w:rsid w:val="00E32CCF"/>
    <w:rsid w:val="00E34A98"/>
    <w:rsid w:val="00E35D1E"/>
    <w:rsid w:val="00E364F9"/>
    <w:rsid w:val="00E365FA"/>
    <w:rsid w:val="00E36789"/>
    <w:rsid w:val="00E4477C"/>
    <w:rsid w:val="00E44A83"/>
    <w:rsid w:val="00E502C1"/>
    <w:rsid w:val="00E502DD"/>
    <w:rsid w:val="00E50D3A"/>
    <w:rsid w:val="00E51387"/>
    <w:rsid w:val="00E51E68"/>
    <w:rsid w:val="00E52EFD"/>
    <w:rsid w:val="00E5408A"/>
    <w:rsid w:val="00E56800"/>
    <w:rsid w:val="00E56911"/>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D3F"/>
    <w:rsid w:val="00EE54A6"/>
    <w:rsid w:val="00EE613F"/>
    <w:rsid w:val="00EE7295"/>
    <w:rsid w:val="00EE7869"/>
    <w:rsid w:val="00EF054A"/>
    <w:rsid w:val="00EF3235"/>
    <w:rsid w:val="00EF7E72"/>
    <w:rsid w:val="00F04ACF"/>
    <w:rsid w:val="00F06D37"/>
    <w:rsid w:val="00F078DD"/>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240"/>
    <w:rsid w:val="00F6194E"/>
    <w:rsid w:val="00F623AC"/>
    <w:rsid w:val="00F6412A"/>
    <w:rsid w:val="00F65893"/>
    <w:rsid w:val="00F66A4A"/>
    <w:rsid w:val="00F672F0"/>
    <w:rsid w:val="00F71E22"/>
    <w:rsid w:val="00F72142"/>
    <w:rsid w:val="00F72AE7"/>
    <w:rsid w:val="00F74F58"/>
    <w:rsid w:val="00F81141"/>
    <w:rsid w:val="00F833BA"/>
    <w:rsid w:val="00F84FD0"/>
    <w:rsid w:val="00F859A8"/>
    <w:rsid w:val="00F86D87"/>
    <w:rsid w:val="00F9108B"/>
    <w:rsid w:val="00F91349"/>
    <w:rsid w:val="00F93A8A"/>
    <w:rsid w:val="00F95248"/>
    <w:rsid w:val="00F956A9"/>
    <w:rsid w:val="00F963E3"/>
    <w:rsid w:val="00F963ED"/>
    <w:rsid w:val="00F966CF"/>
    <w:rsid w:val="00F96CAE"/>
    <w:rsid w:val="00F97C99"/>
    <w:rsid w:val="00F97FF8"/>
    <w:rsid w:val="00FA4DAC"/>
    <w:rsid w:val="00FA662D"/>
    <w:rsid w:val="00FA73B1"/>
    <w:rsid w:val="00FB0225"/>
    <w:rsid w:val="00FB0CB9"/>
    <w:rsid w:val="00FB231D"/>
    <w:rsid w:val="00FB45F1"/>
    <w:rsid w:val="00FB4A72"/>
    <w:rsid w:val="00FB54E8"/>
    <w:rsid w:val="00FB7054"/>
    <w:rsid w:val="00FC17B7"/>
    <w:rsid w:val="00FC2CB7"/>
    <w:rsid w:val="00FC4090"/>
    <w:rsid w:val="00FC55B4"/>
    <w:rsid w:val="00FC5AFB"/>
    <w:rsid w:val="00FD00E6"/>
    <w:rsid w:val="00FD09A1"/>
    <w:rsid w:val="00FD2A7C"/>
    <w:rsid w:val="00FD59EB"/>
    <w:rsid w:val="00FD7299"/>
    <w:rsid w:val="00FE0EDB"/>
    <w:rsid w:val="00FE1FBE"/>
    <w:rsid w:val="00FE3901"/>
    <w:rsid w:val="00FE39D3"/>
    <w:rsid w:val="00FE40A7"/>
    <w:rsid w:val="00FE4BCE"/>
    <w:rsid w:val="00FE54AE"/>
    <w:rsid w:val="00FE576A"/>
    <w:rsid w:val="00FE60A4"/>
    <w:rsid w:val="00FE7E79"/>
    <w:rsid w:val="00FF3E7D"/>
    <w:rsid w:val="00FF5B99"/>
    <w:rsid w:val="00FF67F4"/>
    <w:rsid w:val="00FF730C"/>
    <w:rsid w:val="00FF73F4"/>
    <w:rsid w:val="00FF7CE4"/>
    <w:rsid w:val="00FF7E39"/>
    <w:rsid w:val="055577F4"/>
    <w:rsid w:val="3761767C"/>
    <w:rsid w:val="3E271652"/>
    <w:rsid w:val="42B5649A"/>
    <w:rsid w:val="54411296"/>
    <w:rsid w:val="63E32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字符"/>
    <w:link w:val="3"/>
    <w:qFormat/>
    <w:uiPriority w:val="0"/>
    <w:rPr>
      <w:rFonts w:ascii="Arial" w:hAnsi="Arial" w:eastAsia="黑体"/>
      <w:b/>
      <w:bCs/>
      <w:kern w:val="2"/>
      <w:sz w:val="32"/>
      <w:szCs w:val="32"/>
    </w:rPr>
  </w:style>
  <w:style w:type="character" w:customStyle="1" w:styleId="35">
    <w:name w:val="标题 1 字符"/>
    <w:link w:val="2"/>
    <w:qFormat/>
    <w:uiPriority w:val="0"/>
    <w:rPr>
      <w:b/>
      <w:bCs/>
      <w:kern w:val="44"/>
      <w:sz w:val="44"/>
      <w:szCs w:val="44"/>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A134526FFB4AECB173CB0135A02C0D"/>
        <w:style w:val=""/>
        <w:category>
          <w:name w:val="常规"/>
          <w:gallery w:val="placeholder"/>
        </w:category>
        <w:types>
          <w:type w:val="bbPlcHdr"/>
        </w:types>
        <w:behaviors>
          <w:behavior w:val="content"/>
        </w:behaviors>
        <w:description w:val=""/>
        <w:guid w:val="{5F24A729-246C-461A-9D43-7F97EA093B78}"/>
      </w:docPartPr>
      <w:docPartBody>
        <w:p>
          <w:pPr>
            <w:pStyle w:val="5"/>
          </w:pPr>
          <w:r>
            <w:rPr>
              <w:rStyle w:val="4"/>
              <w:rFonts w:hint="eastAsia"/>
            </w:rPr>
            <w:t>单击或点击此处输入文字。</w:t>
          </w:r>
        </w:p>
      </w:docPartBody>
    </w:docPart>
    <w:docPart>
      <w:docPartPr>
        <w:name w:val="3B13529BAECC410E92E9401770E4449E"/>
        <w:style w:val=""/>
        <w:category>
          <w:name w:val="常规"/>
          <w:gallery w:val="placeholder"/>
        </w:category>
        <w:types>
          <w:type w:val="bbPlcHdr"/>
        </w:types>
        <w:behaviors>
          <w:behavior w:val="content"/>
        </w:behaviors>
        <w:description w:val=""/>
        <w:guid w:val="{A24F0E1D-D058-4C21-99BA-44E3D0D80A1B}"/>
      </w:docPartPr>
      <w:docPartBody>
        <w:p>
          <w:pPr>
            <w:pStyle w:val="6"/>
          </w:pPr>
          <w:r>
            <w:rPr>
              <w:rStyle w:val="4"/>
              <w:rFonts w:hint="eastAsia"/>
            </w:rPr>
            <w:t>选择一项。</w:t>
          </w:r>
        </w:p>
      </w:docPartBody>
    </w:docPart>
    <w:docPart>
      <w:docPartPr>
        <w:name w:val="BAFF91CC91CC4390A63504EDBB803505"/>
        <w:style w:val=""/>
        <w:category>
          <w:name w:val="常规"/>
          <w:gallery w:val="placeholder"/>
        </w:category>
        <w:types>
          <w:type w:val="bbPlcHdr"/>
        </w:types>
        <w:behaviors>
          <w:behavior w:val="content"/>
        </w:behaviors>
        <w:description w:val=""/>
        <w:guid w:val="{81A77FCA-D31C-4658-80D1-7231487E0F0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F9"/>
    <w:rsid w:val="00227E4F"/>
    <w:rsid w:val="003166B8"/>
    <w:rsid w:val="00354D1C"/>
    <w:rsid w:val="00380B48"/>
    <w:rsid w:val="00714831"/>
    <w:rsid w:val="00802A1C"/>
    <w:rsid w:val="008455F9"/>
    <w:rsid w:val="008A0B80"/>
    <w:rsid w:val="008D11C0"/>
    <w:rsid w:val="009D0335"/>
    <w:rsid w:val="00A4077E"/>
    <w:rsid w:val="00A655B2"/>
    <w:rsid w:val="00B22081"/>
    <w:rsid w:val="00C001B5"/>
    <w:rsid w:val="00C1403A"/>
    <w:rsid w:val="00EE028E"/>
    <w:rsid w:val="00F074E2"/>
    <w:rsid w:val="00F71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3A134526FFB4AECB173CB0135A02C0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B13529BAECC410E92E9401770E4449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AFF91CC91CC4390A63504EDBB80350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8CFE66E82CF644D9B772D306C9C0D6E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49A8C-DB21-452D-A4DD-0317DD4CD19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1886</Words>
  <Characters>2492</Characters>
  <Lines>27</Lines>
  <Paragraphs>7</Paragraphs>
  <TotalTime>752</TotalTime>
  <ScaleCrop>false</ScaleCrop>
  <LinksUpToDate>false</LinksUpToDate>
  <CharactersWithSpaces>2619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2024-03-28T00:47:00Z</dcterms:created>
  <dc:creator>韩淑敏</dc:creator>
  <dc:description>&lt;config cover="true" show_menu="true" version="1.0.0" doctype="SDKXY"&gt;_x000d_
&lt;/config&gt;</dc:description>
  <cp:lastModifiedBy>YY</cp:lastModifiedBy>
  <cp:lastPrinted>2020-08-30T10:00:00Z</cp:lastPrinted>
  <dcterms:modified xsi:type="dcterms:W3CDTF">2024-06-24T08:18:11Z</dcterms:modified>
  <dc:title>地方标准</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C86EF4D735DF40FBBB0F2DA42ACB5FC4_12</vt:lpwstr>
  </property>
</Properties>
</file>