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65.020.01</w:t>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bookmarkStart w:id="78" w:name="_GoBack"/>
            <w:bookmarkEnd w:id="78"/>
            <w:r>
              <w:rPr>
                <w:rFonts w:hint="eastAsia" w:ascii="黑体" w:hAnsi="黑体" w:eastAsia="黑体"/>
                <w:sz w:val="21"/>
                <w:szCs w:val="21"/>
              </w:rPr>
              <w:t>B 60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XX</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包头市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1502/T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包头地区湿地植被碳汇计量标准</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Measuring standard for </w:t>
      </w:r>
      <w:r>
        <w:rPr>
          <w:rFonts w:hint="eastAsia" w:ascii="黑体" w:hAnsi="黑体" w:eastAsia="黑体"/>
          <w:szCs w:val="28"/>
        </w:rPr>
        <w:t>wet</w:t>
      </w:r>
      <w:r>
        <w:rPr>
          <w:rFonts w:ascii="黑体" w:hAnsi="黑体" w:eastAsia="黑体"/>
          <w:szCs w:val="28"/>
        </w:rPr>
        <w:t xml:space="preserve">land </w:t>
      </w:r>
      <w:r>
        <w:rPr>
          <w:rFonts w:hint="eastAsia" w:ascii="黑体" w:hAnsi="黑体" w:eastAsia="黑体"/>
          <w:szCs w:val="28"/>
        </w:rPr>
        <w:t>vegetation</w:t>
      </w:r>
      <w:r>
        <w:rPr>
          <w:rFonts w:ascii="黑体" w:hAnsi="黑体" w:eastAsia="黑体"/>
          <w:szCs w:val="28"/>
        </w:rPr>
        <w:t xml:space="preserve"> carbon sequestration in Baotou area</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包头市市场监督管理局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162971162"/>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"_Toc168521035" </w:instrText>
      </w:r>
      <w:r>
        <w:fldChar w:fldCharType="separate"/>
      </w:r>
      <w:r>
        <w:rPr>
          <w:rStyle w:val="32"/>
        </w:rPr>
        <w:t>前言</w:t>
      </w:r>
      <w:r>
        <w:tab/>
      </w:r>
      <w:r>
        <w:fldChar w:fldCharType="begin"/>
      </w:r>
      <w:r>
        <w:instrText xml:space="preserve"> PAGEREF _Toc168521035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"_Toc168521036" </w:instrText>
      </w:r>
      <w:r>
        <w:fldChar w:fldCharType="separate"/>
      </w:r>
      <w:r>
        <w:rPr>
          <w:rStyle w:val="32"/>
        </w:rPr>
        <w:t>1  范围</w:t>
      </w:r>
      <w:r>
        <w:tab/>
      </w:r>
      <w:r>
        <w:fldChar w:fldCharType="begin"/>
      </w:r>
      <w:r>
        <w:instrText xml:space="preserve"> PAGEREF _Toc168521036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"_Toc168521037" </w:instrText>
      </w:r>
      <w:r>
        <w:fldChar w:fldCharType="separate"/>
      </w:r>
      <w:r>
        <w:rPr>
          <w:rStyle w:val="32"/>
        </w:rPr>
        <w:t>2  规范性引用文件</w:t>
      </w:r>
      <w:r>
        <w:tab/>
      </w:r>
      <w:r>
        <w:fldChar w:fldCharType="begin"/>
      </w:r>
      <w:r>
        <w:instrText xml:space="preserve"> PAGEREF _Toc168521037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"_Toc168521038" </w:instrText>
      </w:r>
      <w:r>
        <w:fldChar w:fldCharType="separate"/>
      </w:r>
      <w:r>
        <w:rPr>
          <w:rStyle w:val="32"/>
        </w:rPr>
        <w:t>3  术语和定义</w:t>
      </w:r>
      <w:r>
        <w:tab/>
      </w:r>
      <w:r>
        <w:fldChar w:fldCharType="begin"/>
      </w:r>
      <w:r>
        <w:instrText xml:space="preserve"> PAGEREF _Toc168521038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"_Toc168521042" </w:instrText>
      </w:r>
      <w:r>
        <w:fldChar w:fldCharType="separate"/>
      </w:r>
      <w:r>
        <w:rPr>
          <w:rStyle w:val="32"/>
        </w:rPr>
        <w:t>4  计量对象与周期</w:t>
      </w:r>
      <w:r>
        <w:tab/>
      </w:r>
      <w:r>
        <w:fldChar w:fldCharType="begin"/>
      </w:r>
      <w:r>
        <w:instrText xml:space="preserve"> PAGEREF _Toc168521042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"_Toc168521043" </w:instrText>
      </w:r>
      <w:r>
        <w:fldChar w:fldCharType="separate"/>
      </w:r>
      <w:r>
        <w:rPr>
          <w:rStyle w:val="32"/>
        </w:rPr>
        <w:t>5  计量内容</w:t>
      </w:r>
      <w:r>
        <w:tab/>
      </w:r>
      <w:r>
        <w:fldChar w:fldCharType="begin"/>
      </w:r>
      <w:r>
        <w:instrText xml:space="preserve"> PAGEREF _Toc168521043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"_Toc168521044" </w:instrText>
      </w:r>
      <w:r>
        <w:fldChar w:fldCharType="separate"/>
      </w:r>
      <w:r>
        <w:rPr>
          <w:rStyle w:val="32"/>
        </w:rPr>
        <w:t>6  计量方法</w:t>
      </w:r>
      <w:r>
        <w:tab/>
      </w:r>
      <w:r>
        <w:fldChar w:fldCharType="begin"/>
      </w:r>
      <w:r>
        <w:instrText xml:space="preserve"> PAGEREF _Toc168521044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"_Toc168521045" </w:instrText>
      </w:r>
      <w:r>
        <w:fldChar w:fldCharType="separate"/>
      </w:r>
      <w:r>
        <w:rPr>
          <w:rStyle w:val="32"/>
          <w14:scene3d>
            <w14:lightRig w14:rig="threePt" w14:dir="t">
              <w14:rot w14:lat="0" w14:lon="0" w14:rev="0"/>
            </w14:lightRig>
          </w14:scene3d>
        </w:rPr>
        <w:t xml:space="preserve">6.1 </w:t>
      </w:r>
      <w:r>
        <w:rPr>
          <w:rStyle w:val="32"/>
        </w:rPr>
        <w:t xml:space="preserve"> 调查取样与测定</w:t>
      </w:r>
      <w:r>
        <w:tab/>
      </w:r>
      <w:r>
        <w:fldChar w:fldCharType="begin"/>
      </w:r>
      <w:r>
        <w:instrText xml:space="preserve"> PAGEREF _Toc168521045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"_Toc168521046" </w:instrText>
      </w:r>
      <w:r>
        <w:fldChar w:fldCharType="separate"/>
      </w:r>
      <w:r>
        <w:rPr>
          <w:rStyle w:val="32"/>
          <w14:scene3d>
            <w14:lightRig w14:rig="threePt" w14:dir="t">
              <w14:rot w14:lat="0" w14:lon="0" w14:rev="0"/>
            </w14:lightRig>
          </w14:scene3d>
        </w:rPr>
        <w:t xml:space="preserve">6.2 </w:t>
      </w:r>
      <w:r>
        <w:rPr>
          <w:rStyle w:val="32"/>
        </w:rPr>
        <w:t xml:space="preserve"> 碳汇计量</w:t>
      </w:r>
      <w:r>
        <w:tab/>
      </w:r>
      <w:r>
        <w:fldChar w:fldCharType="begin"/>
      </w:r>
      <w:r>
        <w:instrText xml:space="preserve"> PAGEREF _Toc168521046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"_Toc168521047" </w:instrText>
      </w:r>
      <w:r>
        <w:fldChar w:fldCharType="separate"/>
      </w:r>
      <w:r>
        <w:rPr>
          <w:rStyle w:val="32"/>
        </w:rPr>
        <w:t>附录A（资料性）  包头地区湿地碳储量表</w:t>
      </w:r>
      <w:r>
        <w:tab/>
      </w:r>
      <w:r>
        <w:fldChar w:fldCharType="begin"/>
      </w:r>
      <w:r>
        <w:instrText xml:space="preserve"> PAGEREF _Toc168521047 \h </w:instrText>
      </w:r>
      <w:r>
        <w:fldChar w:fldCharType="separate"/>
      </w:r>
      <w:r>
        <w:t>5</w:t>
      </w:r>
      <w:r>
        <w:fldChar w:fldCharType="end"/>
      </w:r>
      <w:r>
        <w:fldChar w:fldCharType="end"/>
      </w:r>
    </w:p>
    <w:p>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3" w:name="_Toc168521035"/>
      <w:bookmarkStart w:id="24" w:name="BookMark2"/>
      <w:r>
        <w:rPr>
          <w:spacing w:val="320"/>
        </w:rPr>
        <w:t>前</w:t>
      </w:r>
      <w:r>
        <w:t>言</w:t>
      </w:r>
      <w:bookmarkEnd w:id="22"/>
      <w:bookmarkEnd w:id="23"/>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本文件由包头市林业和湿地局提出并归口。</w:t>
      </w:r>
    </w:p>
    <w:p>
      <w:pPr>
        <w:pStyle w:val="56"/>
        <w:ind w:firstLine="420"/>
        <w:rPr>
          <w:rFonts w:hint="eastAsia"/>
        </w:rPr>
      </w:pPr>
      <w:r>
        <w:rPr>
          <w:rFonts w:hint="eastAsia"/>
        </w:rPr>
        <w:t>本文件起草单位：内蒙古农业大学、包头市林业和草原工作站、内蒙古自治区林业和草原工作总站、包头市检验检测中心、包头市林业和草原局、包头市林业和草原资源保护站。</w:t>
      </w:r>
    </w:p>
    <w:p>
      <w:pPr>
        <w:pStyle w:val="56"/>
        <w:ind w:firstLine="420"/>
      </w:pPr>
      <w:r>
        <w:rPr>
          <w:rFonts w:hint="eastAsia"/>
        </w:rPr>
        <w:t>本文件主要起草人：冀鹏浩、高润红、张瑾、张瑞、耿洪燕、李茂森、张文英、吕可、郝静颐、韩淑敏、吴乐、冯小东、吕整荣、姚瑶、刘文剑、武丽娜。</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D3A134526FFB4AECB173CB0135A02C0D"/>
        </w:placeholder>
      </w:sdtPr>
      <w:sdtContent>
        <w:p>
          <w:pPr>
            <w:pStyle w:val="177"/>
            <w:spacing w:before="312" w:beforeLines="100" w:after="686" w:afterLines="220"/>
          </w:pPr>
          <w:bookmarkStart w:id="26" w:name="NEW_STAND_NAME"/>
          <w:r>
            <w:rPr>
              <w:rFonts w:hint="eastAsia"/>
            </w:rPr>
            <w:t>包头地区湿地植被碳汇计量标准</w:t>
          </w:r>
        </w:p>
      </w:sdtContent>
    </w:sdt>
    <w:bookmarkEnd w:id="26"/>
    <w:p>
      <w:pPr>
        <w:pStyle w:val="104"/>
        <w:spacing w:before="312" w:after="312"/>
      </w:pPr>
      <w:bookmarkStart w:id="27" w:name="_Toc26718930"/>
      <w:bookmarkStart w:id="28" w:name="_Toc26648465"/>
      <w:bookmarkStart w:id="29" w:name="_Toc168521036"/>
      <w:bookmarkStart w:id="30" w:name="_Toc162508411"/>
      <w:bookmarkStart w:id="31" w:name="_Toc24884211"/>
      <w:bookmarkStart w:id="32" w:name="_Toc97191423"/>
      <w:bookmarkStart w:id="33" w:name="_Toc17233325"/>
      <w:bookmarkStart w:id="34" w:name="_Toc162971163"/>
      <w:bookmarkStart w:id="35" w:name="_Toc17233333"/>
      <w:bookmarkStart w:id="36" w:name="_Toc26986771"/>
      <w:bookmarkStart w:id="37" w:name="_Toc24884218"/>
      <w:bookmarkStart w:id="38" w:name="_Toc26986530"/>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pPr>
        <w:pStyle w:val="56"/>
        <w:ind w:firstLine="420"/>
      </w:pPr>
      <w:bookmarkStart w:id="39" w:name="_Toc24884219"/>
      <w:bookmarkStart w:id="40" w:name="_Toc17233334"/>
      <w:bookmarkStart w:id="41" w:name="_Toc24884212"/>
      <w:bookmarkStart w:id="42" w:name="_Toc17233326"/>
      <w:bookmarkStart w:id="43" w:name="_Toc26648466"/>
      <w:r>
        <w:rPr>
          <w:rFonts w:hint="eastAsia"/>
        </w:rPr>
        <w:t>本文件规定了包头地区湿地植被碳汇的计量对象与周期、计量内容、计量方法与相关要求。</w:t>
      </w:r>
    </w:p>
    <w:p>
      <w:pPr>
        <w:pStyle w:val="56"/>
        <w:ind w:firstLine="420"/>
      </w:pPr>
      <w:r>
        <w:rPr>
          <w:rFonts w:hint="eastAsia"/>
        </w:rPr>
        <w:t>本文件适用于包头地区湿地植被碳储量和碳汇量的计量核算。</w:t>
      </w:r>
    </w:p>
    <w:p>
      <w:pPr>
        <w:pStyle w:val="104"/>
        <w:spacing w:before="312" w:after="312"/>
      </w:pPr>
      <w:bookmarkStart w:id="44" w:name="_Toc26986772"/>
      <w:bookmarkStart w:id="45" w:name="_Toc168521037"/>
      <w:bookmarkStart w:id="46" w:name="_Toc97191424"/>
      <w:bookmarkStart w:id="47" w:name="_Toc162971164"/>
      <w:bookmarkStart w:id="48" w:name="_Toc26718931"/>
      <w:bookmarkStart w:id="49" w:name="_Toc26986531"/>
      <w:bookmarkStart w:id="50" w:name="_Toc162508412"/>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3B13529BAECC410E92E9401770E4449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LY/T 2253 造林项目碳汇计量监测指南</w:t>
      </w:r>
    </w:p>
    <w:p>
      <w:pPr>
        <w:pStyle w:val="56"/>
        <w:ind w:firstLine="420"/>
      </w:pPr>
      <w:r>
        <w:t xml:space="preserve">DB 1502/T 024 </w:t>
      </w:r>
      <w:r>
        <w:rPr>
          <w:rFonts w:hint="eastAsia"/>
        </w:rPr>
        <w:t>湿地植被碳汇调查与监测技术规程</w:t>
      </w:r>
    </w:p>
    <w:p>
      <w:pPr>
        <w:pStyle w:val="104"/>
        <w:spacing w:before="312" w:after="312"/>
      </w:pPr>
      <w:bookmarkStart w:id="51" w:name="_Toc97191425"/>
      <w:bookmarkStart w:id="52" w:name="_Toc162971165"/>
      <w:bookmarkStart w:id="53" w:name="_Toc162508413"/>
      <w:bookmarkStart w:id="54" w:name="_Toc168521038"/>
      <w:r>
        <w:rPr>
          <w:rFonts w:hint="eastAsia"/>
          <w:szCs w:val="21"/>
        </w:rPr>
        <w:t>术语和定义</w:t>
      </w:r>
      <w:bookmarkEnd w:id="51"/>
      <w:bookmarkEnd w:id="52"/>
      <w:bookmarkEnd w:id="53"/>
      <w:bookmarkEnd w:id="54"/>
    </w:p>
    <w:sdt>
      <w:sdtPr>
        <w:id w:val="-1909835108"/>
        <w:placeholder>
          <w:docPart w:val="BAFF91CC91CC4390A63504EDBB80350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5" w:name="_Toc26986532"/>
          <w:bookmarkEnd w:id="55"/>
          <w:r>
            <w:t>下列术语和定义适用于本文件。</w:t>
          </w:r>
        </w:p>
      </w:sdtContent>
    </w:sdt>
    <w:p>
      <w:pPr>
        <w:pStyle w:val="105"/>
        <w:spacing w:before="156" w:after="156"/>
      </w:pPr>
      <w:bookmarkStart w:id="56" w:name="_Toc168521039"/>
      <w:bookmarkEnd w:id="56"/>
      <w:bookmarkStart w:id="57" w:name="_Toc162971166"/>
      <w:bookmarkEnd w:id="57"/>
    </w:p>
    <w:p>
      <w:pPr>
        <w:pStyle w:val="56"/>
        <w:ind w:firstLine="420"/>
        <w:rPr>
          <w:rFonts w:ascii="黑体" w:hAnsi="黑体" w:eastAsia="黑体"/>
        </w:rPr>
      </w:pPr>
      <w:r>
        <w:rPr>
          <w:rFonts w:hint="eastAsia" w:ascii="黑体" w:hAnsi="黑体" w:eastAsia="黑体"/>
        </w:rPr>
        <w:t xml:space="preserve">湿地 </w:t>
      </w:r>
      <w:r>
        <w:rPr>
          <w:rFonts w:ascii="黑体" w:hAnsi="黑体" w:eastAsia="黑体"/>
        </w:rPr>
        <w:t xml:space="preserve"> </w:t>
      </w:r>
      <w:r>
        <w:rPr>
          <w:rFonts w:hint="eastAsia" w:ascii="黑体" w:hAnsi="黑体" w:eastAsia="黑体"/>
        </w:rPr>
        <w:t>wetland</w:t>
      </w:r>
    </w:p>
    <w:p>
      <w:pPr>
        <w:pStyle w:val="56"/>
        <w:ind w:firstLine="420"/>
      </w:pPr>
      <w:r>
        <w:rPr>
          <w:rFonts w:hint="eastAsia"/>
        </w:rPr>
        <w:t>具有显著生态功能的自然或者人工的、常年或者季节性积水地带、水域，包括低潮时水深不超过六米的海域，但是水田以及用于养殖的人工的水域和滩涂除外。国家对湿地实行分级管理及名录制度。</w:t>
      </w:r>
    </w:p>
    <w:p>
      <w:pPr>
        <w:pStyle w:val="105"/>
        <w:spacing w:before="156" w:after="156"/>
      </w:pPr>
      <w:bookmarkStart w:id="58" w:name="_Toc162971167"/>
      <w:bookmarkEnd w:id="58"/>
      <w:bookmarkStart w:id="59" w:name="_Toc168521040"/>
      <w:bookmarkEnd w:id="59"/>
    </w:p>
    <w:p>
      <w:pPr>
        <w:pStyle w:val="56"/>
        <w:ind w:firstLine="420"/>
        <w:rPr>
          <w:rFonts w:ascii="黑体" w:hAnsi="黑体" w:eastAsia="黑体" w:cs="黑体"/>
        </w:rPr>
      </w:pPr>
      <w:r>
        <w:rPr>
          <w:rFonts w:hint="eastAsia" w:ascii="黑体" w:hAnsi="黑体" w:eastAsia="黑体" w:cs="黑体"/>
        </w:rPr>
        <w:t>湿地植被碳汇  wetland carbon sequestration</w:t>
      </w:r>
    </w:p>
    <w:p>
      <w:pPr>
        <w:pStyle w:val="56"/>
        <w:ind w:firstLine="420"/>
      </w:pPr>
      <w:r>
        <w:rPr>
          <w:rFonts w:hint="eastAsia"/>
        </w:rPr>
        <w:t>湿地植物通过光合作用吸收大气中的二氧化碳将其固定在湿地植被和土壤中的碳的积累量。</w:t>
      </w:r>
    </w:p>
    <w:p>
      <w:pPr>
        <w:pStyle w:val="105"/>
        <w:spacing w:before="156" w:after="156"/>
      </w:pPr>
      <w:bookmarkStart w:id="60" w:name="_Toc162971168"/>
      <w:bookmarkEnd w:id="60"/>
      <w:bookmarkStart w:id="61" w:name="_Toc168521041"/>
      <w:bookmarkEnd w:id="61"/>
    </w:p>
    <w:p>
      <w:pPr>
        <w:pStyle w:val="56"/>
        <w:ind w:firstLine="420"/>
        <w:rPr>
          <w:rFonts w:ascii="黑体" w:hAnsi="黑体" w:eastAsia="黑体"/>
        </w:rPr>
      </w:pPr>
      <w:r>
        <w:rPr>
          <w:rFonts w:hint="eastAsia" w:ascii="黑体" w:hAnsi="黑体" w:eastAsia="黑体"/>
        </w:rPr>
        <w:t xml:space="preserve">湿地碳库 </w:t>
      </w:r>
      <w:r>
        <w:rPr>
          <w:rFonts w:ascii="黑体" w:hAnsi="黑体" w:eastAsia="黑体"/>
        </w:rPr>
        <w:t xml:space="preserve"> </w:t>
      </w:r>
      <w:r>
        <w:rPr>
          <w:rFonts w:hint="eastAsia" w:ascii="黑体" w:hAnsi="黑体" w:eastAsia="黑体"/>
        </w:rPr>
        <w:t>wetland</w:t>
      </w:r>
      <w:r>
        <w:rPr>
          <w:rFonts w:ascii="黑体" w:hAnsi="黑体" w:eastAsia="黑体"/>
        </w:rPr>
        <w:t xml:space="preserve"> carbon pool</w:t>
      </w:r>
    </w:p>
    <w:p>
      <w:pPr>
        <w:pStyle w:val="56"/>
        <w:ind w:firstLine="420"/>
      </w:pPr>
      <w:r>
        <w:rPr>
          <w:rFonts w:hint="eastAsia"/>
        </w:rPr>
        <w:t>湿地生态系统通过碳汇储存在不同的物质中。</w:t>
      </w:r>
    </w:p>
    <w:p>
      <w:pPr>
        <w:pStyle w:val="56"/>
        <w:ind w:firstLine="420"/>
      </w:pPr>
      <w:r>
        <w:rPr>
          <w:rFonts w:hint="eastAsia"/>
        </w:rPr>
        <w:t>注：仅包括为地上生物量、地下生物量、枯落物和土壤有机质四大碳库。</w:t>
      </w:r>
    </w:p>
    <w:p>
      <w:pPr>
        <w:pStyle w:val="56"/>
        <w:ind w:firstLine="420"/>
      </w:pPr>
      <w:r>
        <w:rPr>
          <w:rFonts w:hint="eastAsia"/>
        </w:rPr>
        <w:t>[来源：LY/T 2253-2014，2，有修改]</w:t>
      </w:r>
    </w:p>
    <w:p>
      <w:pPr>
        <w:pStyle w:val="104"/>
        <w:spacing w:before="312" w:after="312"/>
      </w:pPr>
      <w:bookmarkStart w:id="62" w:name="_Toc162971169"/>
      <w:bookmarkEnd w:id="62"/>
      <w:bookmarkStart w:id="63" w:name="_Toc162971170"/>
      <w:bookmarkEnd w:id="63"/>
      <w:bookmarkStart w:id="64" w:name="_Toc168521042"/>
      <w:bookmarkStart w:id="65" w:name="_Toc162971171"/>
      <w:r>
        <w:rPr>
          <w:rFonts w:hint="eastAsia"/>
        </w:rPr>
        <w:t>计量对象与周期</w:t>
      </w:r>
      <w:bookmarkEnd w:id="64"/>
      <w:bookmarkEnd w:id="65"/>
    </w:p>
    <w:p>
      <w:pPr>
        <w:pStyle w:val="56"/>
        <w:ind w:firstLine="420"/>
      </w:pPr>
      <w:r>
        <w:rPr>
          <w:rFonts w:hint="eastAsia"/>
        </w:rPr>
        <w:t>监测对象为包头地区不同土地类型的湿地植被。</w:t>
      </w:r>
    </w:p>
    <w:p>
      <w:pPr>
        <w:pStyle w:val="56"/>
        <w:ind w:firstLine="420"/>
      </w:pPr>
      <w:r>
        <w:rPr>
          <w:rFonts w:hint="eastAsia"/>
        </w:rPr>
        <w:t>监测周期为每五年一次。</w:t>
      </w:r>
    </w:p>
    <w:p>
      <w:pPr>
        <w:pStyle w:val="104"/>
        <w:spacing w:before="312" w:after="312"/>
      </w:pPr>
      <w:bookmarkStart w:id="66" w:name="_Toc162971172"/>
      <w:bookmarkStart w:id="67" w:name="_Toc168521043"/>
      <w:r>
        <w:rPr>
          <w:rFonts w:hint="eastAsia"/>
        </w:rPr>
        <w:t>计量内容</w:t>
      </w:r>
      <w:bookmarkEnd w:id="66"/>
      <w:bookmarkEnd w:id="67"/>
    </w:p>
    <w:p>
      <w:pPr>
        <w:pStyle w:val="56"/>
        <w:ind w:firstLine="420"/>
      </w:pPr>
      <w:r>
        <w:rPr>
          <w:rFonts w:hint="eastAsia"/>
        </w:rPr>
        <w:t>包头地区不同土地类型湿地植被的碳汇量。</w:t>
      </w:r>
    </w:p>
    <w:p>
      <w:pPr>
        <w:pStyle w:val="104"/>
        <w:spacing w:before="312" w:after="312"/>
      </w:pPr>
      <w:bookmarkStart w:id="68" w:name="_Toc162971173"/>
      <w:bookmarkStart w:id="69" w:name="_Toc168521044"/>
      <w:r>
        <w:rPr>
          <w:rFonts w:hint="eastAsia"/>
        </w:rPr>
        <w:t>计量方法</w:t>
      </w:r>
      <w:bookmarkEnd w:id="68"/>
      <w:bookmarkEnd w:id="69"/>
    </w:p>
    <w:p>
      <w:pPr>
        <w:pStyle w:val="105"/>
        <w:spacing w:before="156" w:after="156"/>
      </w:pPr>
      <w:bookmarkStart w:id="70" w:name="_Toc162971174"/>
      <w:bookmarkStart w:id="71" w:name="_Toc168521045"/>
      <w:r>
        <w:rPr>
          <w:rFonts w:hint="eastAsia"/>
        </w:rPr>
        <w:t>调查取样与测定</w:t>
      </w:r>
      <w:bookmarkEnd w:id="70"/>
      <w:bookmarkEnd w:id="71"/>
    </w:p>
    <w:p>
      <w:pPr>
        <w:pStyle w:val="56"/>
        <w:ind w:firstLine="420"/>
      </w:pPr>
      <w:r>
        <w:rPr>
          <w:rFonts w:hint="eastAsia"/>
        </w:rPr>
        <w:t>按照D</w:t>
      </w:r>
      <w:r>
        <w:t xml:space="preserve">B 1502/T 024 </w:t>
      </w:r>
      <w:r>
        <w:rPr>
          <w:rFonts w:hint="eastAsia"/>
        </w:rPr>
        <w:t>进行调查取样与测定。</w:t>
      </w:r>
    </w:p>
    <w:p>
      <w:pPr>
        <w:pStyle w:val="105"/>
        <w:spacing w:before="156" w:after="156"/>
      </w:pPr>
      <w:bookmarkStart w:id="72" w:name="_Toc162971175"/>
      <w:bookmarkStart w:id="73" w:name="_Toc168521046"/>
      <w:r>
        <w:rPr>
          <w:rFonts w:hint="eastAsia"/>
        </w:rPr>
        <w:t>碳汇计量</w:t>
      </w:r>
      <w:bookmarkEnd w:id="72"/>
      <w:bookmarkEnd w:id="73"/>
    </w:p>
    <w:p>
      <w:pPr>
        <w:pStyle w:val="56"/>
        <w:ind w:firstLine="420"/>
      </w:pPr>
      <w:r>
        <w:rPr>
          <w:rFonts w:hint="eastAsia"/>
        </w:rPr>
        <w:t>通过库—差别方法，用当年调查的碳储量和基年调查的碳储量得到湿地年平均碳汇。采用以下公式获得：</w:t>
      </w:r>
    </w:p>
    <w:p>
      <w:pPr>
        <w:pStyle w:val="113"/>
      </w:pPr>
      <w:r>
        <w:tab/>
      </w:r>
      <m:oMath>
        <m:r>
          <m:rPr>
            <m:sty m:val="p"/>
          </m:rPr>
          <w:rPr>
            <w:rFonts w:hint="eastAsia" w:ascii="Cambria Math" w:hAnsi="Cambria Math"/>
            <w:kern w:val="0"/>
            <w:szCs w:val="20"/>
          </w:rPr>
          <m:t>∆</m:t>
        </m:r>
        <m:r>
          <m:rPr>
            <m:sty m:val="p"/>
          </m:rPr>
          <w:rPr>
            <w:rFonts w:ascii="Cambria Math" w:hAnsi="Cambria Math"/>
            <w:kern w:val="0"/>
            <w:szCs w:val="20"/>
          </w:rPr>
          <m:t>C</m:t>
        </m:r>
        <m:r>
          <m:rPr>
            <m:sty m:val="p"/>
          </m:rPr>
          <w:rPr>
            <w:rFonts w:hint="eastAsia" w:ascii="Cambria Math" w:hAnsi="Cambria Math"/>
            <w:kern w:val="0"/>
            <w:szCs w:val="20"/>
          </w:rPr>
          <m:t>=</m:t>
        </m:r>
        <m:f>
          <m:fPr>
            <m:ctrlPr>
              <w:rPr>
                <w:rFonts w:ascii="Cambria Math" w:hAnsi="Cambria Math"/>
                <w:kern w:val="0"/>
                <w:szCs w:val="20"/>
              </w:rPr>
            </m:ctrlPr>
          </m:fPr>
          <m:num>
            <m:r>
              <m:rPr>
                <m:sty m:val="p"/>
              </m:rPr>
              <w:rPr>
                <w:rFonts w:hint="eastAsia" w:ascii="Cambria Math" w:hAnsi="Cambria Math"/>
                <w:kern w:val="0"/>
                <w:szCs w:val="20"/>
              </w:rPr>
              <m:t>C</m:t>
            </m:r>
            <m:sSub>
              <m:sSubPr>
                <m:ctrlPr>
                  <w:rPr>
                    <w:rFonts w:ascii="Cambria Math" w:hAnsi="Cambria Math"/>
                    <w:kern w:val="0"/>
                    <w:szCs w:val="20"/>
                  </w:rPr>
                </m:ctrlPr>
              </m:sSubPr>
              <m:e>
                <m:r>
                  <m:rPr>
                    <m:sty m:val="p"/>
                  </m:rPr>
                  <w:rPr>
                    <w:rFonts w:hint="eastAsia" w:ascii="Cambria Math" w:hAnsi="Cambria Math"/>
                    <w:kern w:val="0"/>
                    <w:szCs w:val="20"/>
                  </w:rPr>
                  <m:t>t</m:t>
                </m:r>
                <m:ctrlPr>
                  <w:rPr>
                    <w:rFonts w:ascii="Cambria Math" w:hAnsi="Cambria Math"/>
                    <w:kern w:val="0"/>
                    <w:szCs w:val="20"/>
                  </w:rPr>
                </m:ctrlPr>
              </m:e>
              <m:sub>
                <m:r>
                  <m:rPr>
                    <m:sty m:val="p"/>
                  </m:rPr>
                  <w:rPr>
                    <w:rFonts w:hint="eastAsia" w:ascii="Cambria Math" w:hAnsi="Cambria Math"/>
                    <w:kern w:val="0"/>
                    <w:szCs w:val="20"/>
                  </w:rPr>
                  <m:t>2</m:t>
                </m:r>
                <m:ctrlPr>
                  <w:rPr>
                    <w:rFonts w:ascii="Cambria Math" w:hAnsi="Cambria Math"/>
                    <w:kern w:val="0"/>
                    <w:szCs w:val="20"/>
                  </w:rPr>
                </m:ctrlPr>
              </m:sub>
            </m:sSub>
            <m:r>
              <m:rPr>
                <m:sty m:val="p"/>
              </m:rPr>
              <w:rPr>
                <w:rFonts w:hint="eastAsia" w:ascii="Cambria Math" w:hAnsi="Cambria Math"/>
                <w:kern w:val="0"/>
                <w:szCs w:val="20"/>
              </w:rPr>
              <m:t>−C</m:t>
            </m:r>
            <m:sSub>
              <m:sSubPr>
                <m:ctrlPr>
                  <w:rPr>
                    <w:rFonts w:ascii="Cambria Math" w:hAnsi="Cambria Math"/>
                    <w:kern w:val="0"/>
                    <w:szCs w:val="20"/>
                  </w:rPr>
                </m:ctrlPr>
              </m:sSubPr>
              <m:e>
                <m:r>
                  <m:rPr>
                    <m:sty m:val="p"/>
                  </m:rPr>
                  <w:rPr>
                    <w:rFonts w:hint="eastAsia" w:ascii="Cambria Math" w:hAnsi="Cambria Math"/>
                    <w:kern w:val="0"/>
                    <w:szCs w:val="20"/>
                  </w:rPr>
                  <m:t>t</m:t>
                </m:r>
                <m:ctrlPr>
                  <w:rPr>
                    <w:rFonts w:ascii="Cambria Math" w:hAnsi="Cambria Math"/>
                    <w:kern w:val="0"/>
                    <w:szCs w:val="20"/>
                  </w:rPr>
                </m:ctrlPr>
              </m:e>
              <m:sub>
                <m:r>
                  <m:rPr>
                    <m:sty m:val="p"/>
                  </m:rPr>
                  <w:rPr>
                    <w:rFonts w:hint="eastAsia" w:ascii="Cambria Math" w:hAnsi="Cambria Math"/>
                    <w:kern w:val="0"/>
                    <w:szCs w:val="20"/>
                  </w:rPr>
                  <m:t>1</m:t>
                </m:r>
                <m:ctrlPr>
                  <w:rPr>
                    <w:rFonts w:ascii="Cambria Math" w:hAnsi="Cambria Math"/>
                    <w:kern w:val="0"/>
                    <w:szCs w:val="20"/>
                  </w:rPr>
                </m:ctrlPr>
              </m:sub>
            </m:sSub>
            <m:ctrlPr>
              <w:rPr>
                <w:rFonts w:ascii="Cambria Math" w:hAnsi="Cambria Math"/>
                <w:kern w:val="0"/>
                <w:szCs w:val="20"/>
              </w:rPr>
            </m:ctrlPr>
          </m:num>
          <m:den>
            <m:sSub>
              <m:sSubPr>
                <m:ctrlPr>
                  <w:rPr>
                    <w:rFonts w:ascii="Cambria Math" w:hAnsi="Cambria Math"/>
                    <w:kern w:val="0"/>
                    <w:szCs w:val="20"/>
                  </w:rPr>
                </m:ctrlPr>
              </m:sSubPr>
              <m:e>
                <m:r>
                  <m:rPr>
                    <m:sty m:val="p"/>
                  </m:rPr>
                  <w:rPr>
                    <w:rFonts w:hint="eastAsia" w:ascii="Cambria Math" w:hAnsi="Cambria Math"/>
                    <w:kern w:val="0"/>
                    <w:szCs w:val="20"/>
                  </w:rPr>
                  <m:t>t</m:t>
                </m:r>
                <m:ctrlPr>
                  <w:rPr>
                    <w:rFonts w:ascii="Cambria Math" w:hAnsi="Cambria Math"/>
                    <w:kern w:val="0"/>
                    <w:szCs w:val="20"/>
                  </w:rPr>
                </m:ctrlPr>
              </m:e>
              <m:sub>
                <m:r>
                  <m:rPr>
                    <m:sty m:val="p"/>
                  </m:rPr>
                  <w:rPr>
                    <w:rFonts w:hint="eastAsia" w:ascii="Cambria Math" w:hAnsi="Cambria Math"/>
                    <w:kern w:val="0"/>
                    <w:szCs w:val="20"/>
                  </w:rPr>
                  <m:t>2</m:t>
                </m:r>
                <m:ctrlPr>
                  <w:rPr>
                    <w:rFonts w:ascii="Cambria Math" w:hAnsi="Cambria Math"/>
                    <w:kern w:val="0"/>
                    <w:szCs w:val="20"/>
                  </w:rPr>
                </m:ctrlPr>
              </m:sub>
            </m:sSub>
            <m:r>
              <m:rPr>
                <m:sty m:val="p"/>
              </m:rPr>
              <w:rPr>
                <w:rFonts w:hint="eastAsia" w:ascii="Cambria Math" w:hAnsi="Cambria Math"/>
                <w:kern w:val="0"/>
                <w:szCs w:val="20"/>
              </w:rPr>
              <m:t>−</m:t>
            </m:r>
            <m:sSub>
              <m:sSubPr>
                <m:ctrlPr>
                  <w:rPr>
                    <w:rFonts w:ascii="Cambria Math" w:hAnsi="Cambria Math"/>
                    <w:kern w:val="0"/>
                    <w:szCs w:val="20"/>
                  </w:rPr>
                </m:ctrlPr>
              </m:sSubPr>
              <m:e>
                <m:r>
                  <m:rPr>
                    <m:sty m:val="p"/>
                  </m:rPr>
                  <w:rPr>
                    <w:rFonts w:hint="eastAsia" w:ascii="Cambria Math" w:hAnsi="Cambria Math"/>
                    <w:kern w:val="0"/>
                    <w:szCs w:val="20"/>
                  </w:rPr>
                  <m:t>t</m:t>
                </m:r>
                <m:ctrlPr>
                  <w:rPr>
                    <w:rFonts w:ascii="Cambria Math" w:hAnsi="Cambria Math"/>
                    <w:kern w:val="0"/>
                    <w:szCs w:val="20"/>
                  </w:rPr>
                </m:ctrlPr>
              </m:e>
              <m:sub>
                <m:r>
                  <m:rPr>
                    <m:sty m:val="p"/>
                  </m:rPr>
                  <w:rPr>
                    <w:rFonts w:hint="eastAsia" w:ascii="Cambria Math" w:hAnsi="Cambria Math"/>
                    <w:kern w:val="0"/>
                    <w:szCs w:val="20"/>
                  </w:rPr>
                  <m:t>1</m:t>
                </m:r>
                <m:ctrlPr>
                  <w:rPr>
                    <w:rFonts w:ascii="Cambria Math" w:hAnsi="Cambria Math"/>
                    <w:kern w:val="0"/>
                    <w:szCs w:val="20"/>
                  </w:rPr>
                </m:ctrlPr>
              </m:sub>
            </m:sSub>
            <m:ctrlPr>
              <w:rPr>
                <w:rFonts w:ascii="Cambria Math" w:hAnsi="Cambria Math"/>
                <w:kern w:val="0"/>
                <w:szCs w:val="20"/>
              </w:rPr>
            </m:ctrlPr>
          </m:den>
        </m:f>
        <m:r>
          <m:rPr/>
          <w:rPr>
            <w:rFonts w:ascii="Cambria Math" w:hAnsi="Cambria Math"/>
          </w:rPr>
          <m:t xml:space="preserve"> </m:t>
        </m:r>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w:r>
        <w:rPr>
          <w:rFonts w:ascii="Times New Roman"/>
        </w:rPr>
        <w:t>∆C  ——为t</w:t>
      </w:r>
      <w:r>
        <w:rPr>
          <w:rFonts w:ascii="Times New Roman"/>
          <w:vertAlign w:val="subscript"/>
        </w:rPr>
        <w:t>2</w:t>
      </w:r>
      <w:r>
        <w:rPr>
          <w:rFonts w:ascii="Times New Roman"/>
        </w:rPr>
        <w:t>和t</w:t>
      </w:r>
      <w:r>
        <w:rPr>
          <w:rFonts w:ascii="Times New Roman"/>
          <w:vertAlign w:val="subscript"/>
        </w:rPr>
        <w:t>1</w:t>
      </w:r>
      <w:r>
        <w:rPr>
          <w:rFonts w:ascii="Times New Roman"/>
        </w:rPr>
        <w:t xml:space="preserve"> 2 个时间点年平均碳汇量，单位为吨（t）；</w:t>
      </w:r>
    </w:p>
    <w:p>
      <w:pPr>
        <w:pStyle w:val="56"/>
        <w:ind w:firstLine="420"/>
        <w:rPr>
          <w:rFonts w:ascii="Times New Roman"/>
        </w:rPr>
      </w:pPr>
      <w:r>
        <w:rPr>
          <w:rFonts w:ascii="Times New Roman"/>
        </w:rPr>
        <w:t>Ct</w:t>
      </w:r>
      <w:r>
        <w:rPr>
          <w:rFonts w:ascii="Times New Roman"/>
          <w:vertAlign w:val="subscript"/>
        </w:rPr>
        <w:t>2</w:t>
      </w:r>
      <w:r>
        <w:rPr>
          <w:rFonts w:ascii="Times New Roman"/>
        </w:rPr>
        <w:t xml:space="preserve">  ——为面积为S的湿地在当年调查样地的碳储量,单位为吨（t）；</w:t>
      </w:r>
    </w:p>
    <w:p>
      <w:pPr>
        <w:pStyle w:val="56"/>
        <w:ind w:firstLine="420"/>
        <w:rPr>
          <w:rFonts w:ascii="Times New Roman"/>
        </w:rPr>
      </w:pPr>
      <w:r>
        <w:rPr>
          <w:rFonts w:ascii="Times New Roman"/>
        </w:rPr>
        <w:t>Ct</w:t>
      </w:r>
      <w:r>
        <w:rPr>
          <w:rFonts w:ascii="Times New Roman"/>
          <w:vertAlign w:val="subscript"/>
        </w:rPr>
        <w:t>1</w:t>
      </w:r>
      <w:r>
        <w:rPr>
          <w:rFonts w:ascii="Times New Roman"/>
        </w:rPr>
        <w:t xml:space="preserve">  ——为面积为S的湿地在基年调查样地的碳储量,单位为吨（t）；</w:t>
      </w:r>
    </w:p>
    <w:p>
      <w:pPr>
        <w:pStyle w:val="56"/>
        <w:ind w:firstLine="420"/>
        <w:rPr>
          <w:rFonts w:ascii="Times New Roman"/>
        </w:rPr>
      </w:pPr>
      <w:r>
        <w:rPr>
          <w:rFonts w:ascii="Times New Roman"/>
        </w:rPr>
        <w:t>t</w:t>
      </w:r>
      <w:r>
        <w:rPr>
          <w:rFonts w:ascii="Times New Roman"/>
          <w:vertAlign w:val="subscript"/>
        </w:rPr>
        <w:t>2</w:t>
      </w:r>
      <w:r>
        <w:rPr>
          <w:rFonts w:ascii="Times New Roman"/>
        </w:rPr>
        <w:t xml:space="preserve">   ——为当年的年份，单位为年（a）；</w:t>
      </w:r>
    </w:p>
    <w:p>
      <w:pPr>
        <w:pStyle w:val="56"/>
        <w:ind w:firstLine="420"/>
        <w:rPr>
          <w:rFonts w:ascii="Times New Roman"/>
        </w:rPr>
      </w:pPr>
      <w:r>
        <w:rPr>
          <w:rFonts w:ascii="Times New Roman"/>
        </w:rPr>
        <w:t>t</w:t>
      </w:r>
      <w:r>
        <w:rPr>
          <w:rFonts w:ascii="Times New Roman"/>
          <w:vertAlign w:val="subscript"/>
        </w:rPr>
        <w:t>1</w:t>
      </w:r>
      <w:r>
        <w:rPr>
          <w:rFonts w:ascii="Times New Roman"/>
        </w:rPr>
        <w:t xml:space="preserve">   ——为基年的年份，单位为年（a）。</w:t>
      </w:r>
    </w:p>
    <w:p>
      <w:pPr>
        <w:pStyle w:val="56"/>
        <w:ind w:firstLine="420"/>
      </w:pPr>
      <w:r>
        <w:rPr>
          <w:rFonts w:hint="eastAsia"/>
        </w:rPr>
        <w:t>根据不同类型湿地按照各碳层单位面积碳储量与总面积的乘积得到包头地区湿地总碳储量。采用以下公式获得：</w:t>
      </w:r>
    </w:p>
    <w:p>
      <w:pPr>
        <w:pStyle w:val="113"/>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总</m:t>
            </m:r>
            <m:ctrlPr>
              <w:rPr>
                <w:rFonts w:ascii="Cambria Math" w:hAnsi="Cambria Math"/>
              </w:rPr>
            </m:ctrlPr>
          </m:sub>
        </m:sSub>
        <m:r>
          <m:rPr>
            <m:sty m:val="p"/>
          </m:rPr>
          <w:rPr>
            <w:rFonts w:ascii="Cambria Math" w:hAnsi="Cambria Math"/>
          </w:rPr>
          <m:t>=S×</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单</m:t>
            </m:r>
            <m:ctrlPr>
              <w:rPr>
                <w:rFonts w:ascii="Cambria Math" w:hAnsi="Cambria Math"/>
              </w:rPr>
            </m:ctrlPr>
          </m:sub>
        </m:sSub>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w:r>
        <w:rPr>
          <w:rFonts w:ascii="Times New Roman"/>
        </w:rPr>
        <w:t>C</w:t>
      </w:r>
      <w:r>
        <w:rPr>
          <w:rFonts w:ascii="Times New Roman"/>
          <w:vertAlign w:val="subscript"/>
        </w:rPr>
        <w:t>总</w:t>
      </w:r>
      <w:r>
        <w:rPr>
          <w:rFonts w:ascii="Times New Roman"/>
        </w:rPr>
        <w:t xml:space="preserve">  ——为面积为S的湿地在监测周期内调查样地的碳储量,单位为吨（t）；</w:t>
      </w:r>
    </w:p>
    <w:p>
      <w:pPr>
        <w:pStyle w:val="56"/>
        <w:ind w:firstLine="420"/>
        <w:rPr>
          <w:rFonts w:ascii="Times New Roman"/>
        </w:rPr>
      </w:pPr>
      <w:r>
        <w:rPr>
          <w:rFonts w:ascii="Times New Roman"/>
        </w:rPr>
        <w:t>S   ——为监测周期内湿地面积,单位为平方千米（km</w:t>
      </w:r>
      <w:r>
        <w:rPr>
          <w:rFonts w:ascii="Times New Roman"/>
          <w:vertAlign w:val="superscript"/>
        </w:rPr>
        <w:t>2</w:t>
      </w:r>
      <w:r>
        <w:rPr>
          <w:rFonts w:ascii="Times New Roman"/>
        </w:rPr>
        <w:t>）；</w:t>
      </w:r>
    </w:p>
    <w:p>
      <w:pPr>
        <w:pStyle w:val="56"/>
        <w:ind w:firstLine="420"/>
        <w:rPr>
          <w:rFonts w:ascii="Times New Roman"/>
        </w:rPr>
      </w:pPr>
      <w:r>
        <w:rPr>
          <w:rFonts w:ascii="Times New Roman"/>
        </w:rPr>
        <w:t>C</w:t>
      </w:r>
      <w:r>
        <w:rPr>
          <w:rFonts w:ascii="Times New Roman"/>
          <w:vertAlign w:val="subscript"/>
        </w:rPr>
        <w:t>单</w:t>
      </w:r>
      <w:r>
        <w:rPr>
          <w:rFonts w:ascii="Times New Roman"/>
        </w:rPr>
        <w:t xml:space="preserve">  ——为1单位面积内湿地在监测周期内调查样地的碳储量,单位为吨（t）。</w:t>
      </w:r>
    </w:p>
    <w:p>
      <w:pPr>
        <w:pStyle w:val="56"/>
        <w:ind w:firstLine="420"/>
      </w:pPr>
      <w:r>
        <w:rPr>
          <w:rFonts w:hint="eastAsia"/>
        </w:rPr>
        <w:t>结合土地利用数据和处理后的高分卫星遥感数据，对湿地信息提取后计算面积。采用以下公式获得：</w:t>
      </w:r>
    </w:p>
    <w:p>
      <w:pPr>
        <w:pStyle w:val="113"/>
      </w:pPr>
      <w:r>
        <w:tab/>
      </w:r>
      <m:oMath>
        <m:r>
          <m:rPr>
            <m:sty m:val="p"/>
          </m:rPr>
          <w:rPr>
            <w:rFonts w:ascii="Cambria Math" w:hAnsi="Cambria Math"/>
          </w:rPr>
          <m:t>S=</m:t>
        </m:r>
        <m:nary>
          <m:naryPr>
            <m:chr m:val="∑"/>
            <m:limLoc m:val="undOvr"/>
            <m:ctrlPr>
              <w:rPr>
                <w:rFonts w:ascii="Cambria Math" w:hAnsi="Cambria Math"/>
              </w:rPr>
            </m:ctrlPr>
          </m:naryPr>
          <m:sub>
            <m:r>
              <m:rPr/>
              <w:rPr>
                <w:rFonts w:hint="eastAsia" w:ascii="Cambria Math" w:hAnsi="Cambria Math"/>
              </w:rPr>
              <m:t>i</m:t>
            </m:r>
            <m:r>
              <m:rPr/>
              <w:rPr>
                <w:rFonts w:ascii="Cambria Math" w:hAnsi="Cambria Math"/>
              </w:rPr>
              <m:t>=1</m:t>
            </m:r>
            <m:ctrlPr>
              <w:rPr>
                <w:rFonts w:ascii="Cambria Math" w:hAnsi="Cambria Math"/>
              </w:rPr>
            </m:ctrlPr>
          </m:sub>
          <m:sup>
            <m:r>
              <m:rPr/>
              <w:rPr>
                <w:rFonts w:hint="eastAsia" w:ascii="Cambria Math" w:hAnsi="Cambria Math"/>
              </w:rPr>
              <m:t>n</m:t>
            </m:r>
            <m:ctrlPr>
              <w:rPr>
                <w:rFonts w:ascii="Cambria Math" w:hAnsi="Cambria Math"/>
              </w:rPr>
            </m:ctrlPr>
          </m:sup>
          <m:e>
            <m:sSub>
              <m:sSubPr>
                <m:ctrlPr>
                  <w:rPr>
                    <w:rFonts w:ascii="Cambria Math" w:hAnsi="Cambria Math"/>
                  </w:rPr>
                </m:ctrlPr>
              </m:sSubPr>
              <m:e>
                <m:r>
                  <m:rPr>
                    <m:sty m:val="p"/>
                  </m:rPr>
                  <w:rPr>
                    <w:rFonts w:ascii="Cambria Math" w:hAnsi="Cambria Math"/>
                  </w:rPr>
                  <m:t>S</m:t>
                </m:r>
                <m:ctrlPr>
                  <w:rPr>
                    <w:rFonts w:ascii="Cambria Math" w:hAnsi="Cambria Math"/>
                  </w:rPr>
                </m:ctrlPr>
              </m:e>
              <m:sub>
                <m:r>
                  <m:rPr>
                    <m:sty m:val="p"/>
                  </m:rPr>
                  <w:rPr>
                    <w:rFonts w:ascii="Cambria Math" w:hAnsi="Cambria Math"/>
                  </w:rPr>
                  <m:t>i</m:t>
                </m:r>
                <m:ctrlPr>
                  <w:rPr>
                    <w:rFonts w:ascii="Cambria Math" w:hAnsi="Cambria Math"/>
                  </w:rPr>
                </m:ctrlPr>
              </m:sub>
            </m:sSub>
            <m:ctrlPr>
              <w:rPr>
                <w:rFonts w:ascii="Cambria Math" w:hAnsi="Cambria Math"/>
              </w:rPr>
            </m:ctrlPr>
          </m:e>
        </m:nary>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w:r>
        <w:rPr>
          <w:rFonts w:ascii="Times New Roman"/>
        </w:rPr>
        <w:t>n   ——为湿地区内像元序号；</w:t>
      </w:r>
    </w:p>
    <w:p>
      <w:pPr>
        <w:pStyle w:val="56"/>
        <w:ind w:firstLine="420"/>
        <w:rPr>
          <w:rFonts w:ascii="Times New Roman"/>
        </w:rPr>
      </w:pPr>
      <w:r>
        <w:rPr>
          <w:rFonts w:ascii="Times New Roman"/>
        </w:rPr>
        <w:t>i   ——为湿地区内像元总数；</w:t>
      </w:r>
    </w:p>
    <w:p>
      <w:pPr>
        <w:pStyle w:val="56"/>
        <w:ind w:firstLine="420"/>
        <w:rPr>
          <w:rFonts w:ascii="Times New Roman"/>
        </w:rPr>
      </w:pPr>
      <m:oMath>
        <m:sSub>
          <m:sSubPr>
            <m:ctrlPr>
              <w:rPr>
                <w:rFonts w:ascii="Cambria Math" w:hAnsi="Cambria Math"/>
                <w:kern w:val="2"/>
                <w:szCs w:val="21"/>
              </w:rPr>
            </m:ctrlPr>
          </m:sSubPr>
          <m:e>
            <m:r>
              <m:rPr>
                <m:sty m:val="p"/>
              </m:rPr>
              <w:rPr>
                <w:rFonts w:ascii="Cambria Math" w:hAnsi="Cambria Math"/>
              </w:rPr>
              <m:t>S</m:t>
            </m:r>
            <m:ctrlPr>
              <w:rPr>
                <w:rFonts w:ascii="Cambria Math" w:hAnsi="Cambria Math"/>
                <w:kern w:val="2"/>
                <w:szCs w:val="21"/>
              </w:rPr>
            </m:ctrlPr>
          </m:e>
          <m:sub>
            <m:r>
              <m:rPr>
                <m:sty m:val="p"/>
              </m:rPr>
              <w:rPr>
                <w:rFonts w:ascii="Cambria Math" w:hAnsi="Cambria Math"/>
              </w:rPr>
              <m:t>i</m:t>
            </m:r>
            <m:ctrlPr>
              <w:rPr>
                <w:rFonts w:ascii="Cambria Math" w:hAnsi="Cambria Math"/>
                <w:kern w:val="2"/>
                <w:szCs w:val="21"/>
              </w:rPr>
            </m:ctrlPr>
          </m:sub>
        </m:sSub>
      </m:oMath>
      <w:r>
        <w:rPr>
          <w:rFonts w:ascii="Times New Roman"/>
        </w:rPr>
        <w:t xml:space="preserve">   ——为第i像元面积，单位为平方千米（km</w:t>
      </w:r>
      <w:r>
        <w:rPr>
          <w:rFonts w:ascii="Times New Roman"/>
          <w:vertAlign w:val="superscript"/>
        </w:rPr>
        <w:t>2</w:t>
      </w:r>
      <w:r>
        <w:rPr>
          <w:rFonts w:ascii="Times New Roman"/>
        </w:rPr>
        <w:t>）。</w:t>
      </w:r>
    </w:p>
    <w:p>
      <w:pPr>
        <w:pStyle w:val="56"/>
        <w:ind w:firstLine="420"/>
      </w:pPr>
      <w:r>
        <w:rPr>
          <w:rFonts w:hint="eastAsia"/>
        </w:rPr>
        <w:t>湿地碳汇量估算采用生物量法将将湿地碳库按照碳层分别划分为灌木层、草本层和枯落物层，按照各碳层碳汇求和得到包头地区湿地植被碳汇量，参见附表A</w:t>
      </w:r>
      <w:r>
        <w:t>.1</w:t>
      </w:r>
      <w:r>
        <w:rPr>
          <w:rFonts w:hint="eastAsia"/>
        </w:rPr>
        <w:t>。采用以下公式获得：</w:t>
      </w:r>
    </w:p>
    <w:p>
      <w:pPr>
        <w:pStyle w:val="113"/>
      </w:pPr>
      <w:r>
        <w:tab/>
      </w:r>
      <m:oMath>
        <m:r>
          <m:rPr>
            <m:sty m:val="p"/>
          </m:rPr>
          <w:rPr>
            <w:rFonts w:ascii="Cambria Math" w:hAnsi="Cambria Math"/>
          </w:rPr>
          <m:t>∆C=</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灌</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草</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枯</m:t>
            </m:r>
            <m:ctrlPr>
              <w:rPr>
                <w:rFonts w:ascii="Cambria Math" w:hAnsi="Cambria Math"/>
              </w:rPr>
            </m:ctrlPr>
          </m:sub>
        </m:sSub>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w:r>
        <w:rPr>
          <w:rFonts w:ascii="Times New Roman"/>
        </w:rPr>
        <w:t>∆C</w:t>
      </w:r>
      <w:r>
        <w:rPr>
          <w:rFonts w:ascii="Times New Roman"/>
          <w:vertAlign w:val="subscript"/>
        </w:rPr>
        <w:t>灌</w:t>
      </w:r>
      <w:r>
        <w:rPr>
          <w:rFonts w:ascii="Times New Roman"/>
        </w:rPr>
        <w:t xml:space="preserve">  ——为当年与基年湿地灌木层年平均碳汇量，单位为吨（t）；</w:t>
      </w:r>
    </w:p>
    <w:p>
      <w:pPr>
        <w:pStyle w:val="56"/>
        <w:ind w:firstLine="420"/>
        <w:rPr>
          <w:rFonts w:ascii="Times New Roman"/>
        </w:rPr>
      </w:pPr>
      <w:r>
        <w:rPr>
          <w:rFonts w:ascii="Times New Roman"/>
        </w:rPr>
        <w:t>∆C</w:t>
      </w:r>
      <w:r>
        <w:rPr>
          <w:rFonts w:ascii="Times New Roman"/>
          <w:vertAlign w:val="subscript"/>
        </w:rPr>
        <w:t>草</w:t>
      </w:r>
      <w:r>
        <w:rPr>
          <w:rFonts w:ascii="Times New Roman"/>
        </w:rPr>
        <w:t xml:space="preserve">  ——为当年与基年湿地草本层年平均碳汇量，单位为吨（t）；</w:t>
      </w:r>
    </w:p>
    <w:p>
      <w:pPr>
        <w:pStyle w:val="56"/>
        <w:ind w:firstLine="420"/>
        <w:rPr>
          <w:rFonts w:ascii="Times New Roman"/>
        </w:rPr>
      </w:pPr>
      <w:r>
        <w:rPr>
          <w:rFonts w:ascii="Times New Roman"/>
        </w:rPr>
        <w:t>∆C</w:t>
      </w:r>
      <w:r>
        <w:rPr>
          <w:rFonts w:ascii="Times New Roman"/>
          <w:vertAlign w:val="subscript"/>
        </w:rPr>
        <w:t>枯</w:t>
      </w:r>
      <w:r>
        <w:rPr>
          <w:rFonts w:ascii="Times New Roman"/>
        </w:rPr>
        <w:t xml:space="preserve">  ——为当年与基年湿地枯落物层年平均碳汇量,单位为吨（t）。</w:t>
      </w:r>
    </w:p>
    <w:p>
      <w:pPr>
        <w:pStyle w:val="199"/>
        <w:numPr>
          <w:ilvl w:val="0"/>
          <w:numId w:val="0"/>
        </w:numPr>
        <w:jc w:val="both"/>
        <w:rPr>
          <w:vanish w:val="0"/>
        </w:rPr>
      </w:pPr>
    </w:p>
    <w:p>
      <w:pPr>
        <w:pStyle w:val="56"/>
        <w:ind w:firstLine="420"/>
        <w:sectPr>
          <w:pgSz w:w="11906" w:h="16838"/>
          <w:pgMar w:top="1928" w:right="1134" w:bottom="1134" w:left="1134" w:header="1418" w:footer="1134" w:gutter="284"/>
          <w:cols w:space="425" w:num="1"/>
          <w:formProt w:val="0"/>
          <w:docGrid w:type="lines" w:linePitch="312" w:charSpace="0"/>
        </w:sectPr>
      </w:pPr>
    </w:p>
    <w:bookmarkEnd w:id="25"/>
    <w:p>
      <w:pPr>
        <w:pStyle w:val="198"/>
        <w:rPr>
          <w:vanish w:val="0"/>
        </w:rPr>
      </w:pPr>
      <w:bookmarkStart w:id="74" w:name="BookMark5"/>
    </w:p>
    <w:p>
      <w:pPr>
        <w:pStyle w:val="199"/>
        <w:rPr>
          <w:vanish w:val="0"/>
        </w:rPr>
      </w:pPr>
    </w:p>
    <w:p>
      <w:pPr>
        <w:pStyle w:val="76"/>
        <w:spacing w:after="156"/>
      </w:pPr>
      <w:r>
        <w:br w:type="textWrapping"/>
      </w:r>
      <w:bookmarkStart w:id="75" w:name="_Toc168521047"/>
      <w:bookmarkStart w:id="76" w:name="_Toc162971177"/>
      <w:r>
        <w:rPr>
          <w:rFonts w:hint="eastAsia"/>
        </w:rPr>
        <w:t>（资料性）</w:t>
      </w:r>
      <w:r>
        <w:br w:type="textWrapping"/>
      </w:r>
      <w:r>
        <w:rPr>
          <w:rFonts w:hint="eastAsia"/>
        </w:rPr>
        <w:t>包头地区湿地碳储量表</w:t>
      </w:r>
      <w:bookmarkEnd w:id="75"/>
      <w:bookmarkEnd w:id="76"/>
    </w:p>
    <w:tbl>
      <w:tblPr>
        <w:tblStyle w:val="27"/>
        <w:tblW w:w="3983"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26"/>
        <w:gridCol w:w="2021"/>
        <w:gridCol w:w="1910"/>
        <w:gridCol w:w="191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089" w:type="pct"/>
            <w:tcBorders>
              <w:top w:val="single" w:color="auto" w:sz="8" w:space="0"/>
              <w:bottom w:val="single" w:color="auto" w:sz="8" w:space="0"/>
            </w:tcBorders>
            <w:shd w:val="clear" w:color="auto" w:fill="auto"/>
            <w:vAlign w:val="center"/>
          </w:tcPr>
          <w:p>
            <w:pPr>
              <w:pStyle w:val="178"/>
              <w:rPr>
                <w:rFonts w:hAnsi="宋体"/>
                <w:szCs w:val="18"/>
              </w:rPr>
            </w:pPr>
            <w:r>
              <w:rPr>
                <w:rFonts w:hint="eastAsia" w:hAnsi="宋体"/>
                <w:szCs w:val="18"/>
              </w:rPr>
              <w:t>湿地类型</w:t>
            </w:r>
          </w:p>
        </w:tc>
        <w:tc>
          <w:tcPr>
            <w:tcW w:w="1353" w:type="pct"/>
            <w:tcBorders>
              <w:top w:val="single" w:color="auto" w:sz="8" w:space="0"/>
              <w:bottom w:val="single" w:color="auto" w:sz="8" w:space="0"/>
            </w:tcBorders>
            <w:shd w:val="clear" w:color="auto" w:fill="auto"/>
            <w:vAlign w:val="center"/>
          </w:tcPr>
          <w:p>
            <w:pPr>
              <w:pStyle w:val="178"/>
              <w:rPr>
                <w:rFonts w:hAnsi="宋体"/>
                <w:szCs w:val="18"/>
              </w:rPr>
            </w:pPr>
            <w:r>
              <w:rPr>
                <w:rFonts w:hint="eastAsia" w:hAnsi="宋体"/>
                <w:szCs w:val="18"/>
              </w:rPr>
              <w:t>灌木层碳储量（kg）</w:t>
            </w:r>
          </w:p>
        </w:tc>
        <w:tc>
          <w:tcPr>
            <w:tcW w:w="1279" w:type="pct"/>
            <w:tcBorders>
              <w:top w:val="single" w:color="auto" w:sz="8" w:space="0"/>
              <w:bottom w:val="single" w:color="auto" w:sz="8" w:space="0"/>
            </w:tcBorders>
            <w:vAlign w:val="center"/>
          </w:tcPr>
          <w:p>
            <w:pPr>
              <w:pStyle w:val="178"/>
              <w:rPr>
                <w:rFonts w:hAnsi="宋体"/>
                <w:szCs w:val="18"/>
              </w:rPr>
            </w:pPr>
            <w:r>
              <w:rPr>
                <w:rFonts w:hint="eastAsia" w:hAnsi="宋体"/>
                <w:szCs w:val="18"/>
              </w:rPr>
              <w:t>草本层碳储量（kg）</w:t>
            </w:r>
          </w:p>
        </w:tc>
        <w:tc>
          <w:tcPr>
            <w:tcW w:w="1279" w:type="pct"/>
            <w:tcBorders>
              <w:top w:val="single" w:color="auto" w:sz="8" w:space="0"/>
              <w:bottom w:val="single" w:color="auto" w:sz="8" w:space="0"/>
            </w:tcBorders>
            <w:vAlign w:val="center"/>
          </w:tcPr>
          <w:p>
            <w:pPr>
              <w:pStyle w:val="178"/>
              <w:rPr>
                <w:rFonts w:hAnsi="宋体"/>
                <w:szCs w:val="18"/>
              </w:rPr>
            </w:pPr>
            <w:r>
              <w:rPr>
                <w:rFonts w:hint="eastAsia" w:hAnsi="宋体"/>
                <w:szCs w:val="18"/>
              </w:rPr>
              <w:t>枯落物层碳储量（kg）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89" w:type="pct"/>
            <w:tcBorders>
              <w:top w:val="single" w:color="auto" w:sz="8" w:space="0"/>
            </w:tcBorders>
            <w:shd w:val="clear" w:color="auto" w:fill="auto"/>
            <w:vAlign w:val="center"/>
          </w:tcPr>
          <w:p>
            <w:pPr>
              <w:pStyle w:val="178"/>
              <w:spacing w:after="156"/>
              <w:rPr>
                <w:rFonts w:hAnsi="宋体"/>
                <w:szCs w:val="18"/>
              </w:rPr>
            </w:pPr>
            <w:r>
              <w:rPr>
                <w:rFonts w:hint="eastAsia" w:hAnsi="宋体"/>
                <w:szCs w:val="18"/>
              </w:rPr>
              <w:t>沟渠</w:t>
            </w:r>
          </w:p>
        </w:tc>
        <w:tc>
          <w:tcPr>
            <w:tcW w:w="1353" w:type="pct"/>
            <w:tcBorders>
              <w:top w:val="single" w:color="auto" w:sz="8" w:space="0"/>
            </w:tcBorders>
            <w:shd w:val="clear" w:color="auto" w:fill="auto"/>
            <w:vAlign w:val="center"/>
          </w:tcPr>
          <w:p>
            <w:pPr>
              <w:pStyle w:val="178"/>
              <w:rPr>
                <w:rFonts w:hAnsi="宋体"/>
                <w:szCs w:val="18"/>
              </w:rPr>
            </w:pPr>
            <w:r>
              <w:rPr>
                <w:rFonts w:ascii="Times New Roman"/>
                <w:color w:val="000000"/>
                <w:sz w:val="24"/>
                <w:szCs w:val="24"/>
              </w:rPr>
              <w:t>—</w:t>
            </w:r>
          </w:p>
        </w:tc>
        <w:tc>
          <w:tcPr>
            <w:tcW w:w="1279" w:type="pct"/>
            <w:tcBorders>
              <w:top w:val="single" w:color="auto" w:sz="8" w:space="0"/>
            </w:tcBorders>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sz w:val="18"/>
                <w:szCs w:val="18"/>
              </w:rPr>
              <w:t>0.085</w:t>
            </w:r>
          </w:p>
        </w:tc>
        <w:tc>
          <w:tcPr>
            <w:tcW w:w="1279" w:type="pct"/>
            <w:tcBorders>
              <w:top w:val="single" w:color="auto" w:sz="8" w:space="0"/>
            </w:tcBorders>
            <w:vAlign w:val="center"/>
          </w:tcPr>
          <w:p>
            <w:pPr>
              <w:pStyle w:val="178"/>
              <w:rPr>
                <w:rFonts w:hAnsi="宋体"/>
                <w:szCs w:val="18"/>
              </w:rPr>
            </w:pPr>
            <w:r>
              <w:rPr>
                <w:rFonts w:ascii="Times New Roman"/>
                <w:color w:val="000000"/>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89" w:type="pct"/>
            <w:shd w:val="clear" w:color="auto" w:fill="auto"/>
            <w:vAlign w:val="center"/>
          </w:tcPr>
          <w:p>
            <w:pPr>
              <w:pStyle w:val="178"/>
              <w:spacing w:after="156"/>
              <w:rPr>
                <w:rFonts w:hAnsi="宋体"/>
                <w:szCs w:val="18"/>
              </w:rPr>
            </w:pPr>
            <w:r>
              <w:rPr>
                <w:rFonts w:hint="eastAsia" w:hAnsi="宋体"/>
                <w:szCs w:val="18"/>
              </w:rPr>
              <w:t>灌丛沼泽</w:t>
            </w:r>
          </w:p>
        </w:tc>
        <w:tc>
          <w:tcPr>
            <w:tcW w:w="1353" w:type="pct"/>
            <w:shd w:val="clear" w:color="auto" w:fill="auto"/>
            <w:vAlign w:val="center"/>
          </w:tcPr>
          <w:p>
            <w:pPr>
              <w:pStyle w:val="178"/>
              <w:rPr>
                <w:rFonts w:hAnsi="宋体"/>
                <w:szCs w:val="18"/>
              </w:rPr>
            </w:pPr>
            <w:r>
              <w:rPr>
                <w:rFonts w:hAnsi="宋体"/>
                <w:szCs w:val="18"/>
              </w:rPr>
              <w:t>0.052</w:t>
            </w:r>
          </w:p>
        </w:tc>
        <w:tc>
          <w:tcPr>
            <w:tcW w:w="1279" w:type="pct"/>
            <w:vAlign w:val="center"/>
          </w:tcPr>
          <w:p>
            <w:pPr>
              <w:jc w:val="center"/>
              <w:rPr>
                <w:rFonts w:ascii="宋体" w:hAnsi="宋体"/>
                <w:color w:val="000000"/>
                <w:sz w:val="18"/>
                <w:szCs w:val="18"/>
              </w:rPr>
            </w:pPr>
            <w:r>
              <w:rPr>
                <w:rFonts w:hint="eastAsia" w:ascii="宋体" w:hAnsi="宋体"/>
                <w:color w:val="000000"/>
                <w:sz w:val="18"/>
                <w:szCs w:val="18"/>
              </w:rPr>
              <w:t>0.063</w:t>
            </w:r>
          </w:p>
        </w:tc>
        <w:tc>
          <w:tcPr>
            <w:tcW w:w="1279" w:type="pct"/>
            <w:vAlign w:val="center"/>
          </w:tcPr>
          <w:p>
            <w:pPr>
              <w:pStyle w:val="178"/>
              <w:rPr>
                <w:rFonts w:hAnsi="宋体"/>
                <w:szCs w:val="18"/>
              </w:rPr>
            </w:pPr>
            <w:r>
              <w:rPr>
                <w:rFonts w:hAnsi="宋体"/>
                <w:szCs w:val="18"/>
              </w:rPr>
              <w:t>0.201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89" w:type="pct"/>
            <w:shd w:val="clear" w:color="auto" w:fill="auto"/>
            <w:vAlign w:val="center"/>
          </w:tcPr>
          <w:p>
            <w:pPr>
              <w:pStyle w:val="178"/>
              <w:spacing w:after="156"/>
              <w:rPr>
                <w:rFonts w:hAnsi="宋体"/>
                <w:szCs w:val="18"/>
              </w:rPr>
            </w:pPr>
            <w:r>
              <w:rPr>
                <w:rFonts w:hint="eastAsia" w:hAnsi="宋体"/>
                <w:szCs w:val="18"/>
              </w:rPr>
              <w:t>河流水面</w:t>
            </w:r>
          </w:p>
        </w:tc>
        <w:tc>
          <w:tcPr>
            <w:tcW w:w="1353" w:type="pct"/>
            <w:shd w:val="clear" w:color="auto" w:fill="auto"/>
            <w:vAlign w:val="center"/>
          </w:tcPr>
          <w:p>
            <w:pPr>
              <w:pStyle w:val="178"/>
              <w:rPr>
                <w:rFonts w:hAnsi="宋体"/>
                <w:szCs w:val="18"/>
              </w:rPr>
            </w:pPr>
            <w:r>
              <w:rPr>
                <w:rFonts w:ascii="Times New Roman"/>
                <w:color w:val="000000"/>
                <w:sz w:val="24"/>
                <w:szCs w:val="24"/>
              </w:rPr>
              <w:t>—</w:t>
            </w:r>
          </w:p>
        </w:tc>
        <w:tc>
          <w:tcPr>
            <w:tcW w:w="1279" w:type="pct"/>
            <w:vAlign w:val="center"/>
          </w:tcPr>
          <w:p>
            <w:pPr>
              <w:jc w:val="center"/>
              <w:rPr>
                <w:rFonts w:ascii="宋体" w:hAnsi="宋体"/>
                <w:color w:val="000000"/>
                <w:sz w:val="18"/>
                <w:szCs w:val="18"/>
              </w:rPr>
            </w:pPr>
            <w:r>
              <w:rPr>
                <w:rFonts w:hint="eastAsia" w:ascii="宋体" w:hAnsi="宋体"/>
                <w:color w:val="000000"/>
                <w:sz w:val="18"/>
                <w:szCs w:val="18"/>
              </w:rPr>
              <w:t>0.091</w:t>
            </w:r>
          </w:p>
        </w:tc>
        <w:tc>
          <w:tcPr>
            <w:tcW w:w="1279" w:type="pct"/>
            <w:vAlign w:val="center"/>
          </w:tcPr>
          <w:p>
            <w:pPr>
              <w:pStyle w:val="178"/>
              <w:rPr>
                <w:rFonts w:hAnsi="宋体"/>
                <w:szCs w:val="18"/>
              </w:rPr>
            </w:pPr>
            <w:r>
              <w:rPr>
                <w:rFonts w:hAnsi="宋体"/>
                <w:szCs w:val="18"/>
              </w:rPr>
              <w:t>0.125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89" w:type="pct"/>
            <w:shd w:val="clear" w:color="auto" w:fill="auto"/>
            <w:vAlign w:val="center"/>
          </w:tcPr>
          <w:p>
            <w:pPr>
              <w:pStyle w:val="178"/>
              <w:spacing w:after="156"/>
              <w:rPr>
                <w:rFonts w:hAnsi="宋体"/>
                <w:szCs w:val="18"/>
              </w:rPr>
            </w:pPr>
            <w:r>
              <w:rPr>
                <w:rFonts w:hint="eastAsia" w:hAnsi="宋体"/>
                <w:szCs w:val="18"/>
              </w:rPr>
              <w:t>湖泊水面</w:t>
            </w:r>
          </w:p>
        </w:tc>
        <w:tc>
          <w:tcPr>
            <w:tcW w:w="1353" w:type="pct"/>
            <w:shd w:val="clear" w:color="auto" w:fill="auto"/>
            <w:vAlign w:val="center"/>
          </w:tcPr>
          <w:p>
            <w:pPr>
              <w:pStyle w:val="178"/>
              <w:rPr>
                <w:rFonts w:hAnsi="宋体"/>
                <w:szCs w:val="18"/>
              </w:rPr>
            </w:pPr>
            <w:r>
              <w:rPr>
                <w:rFonts w:hAnsi="宋体"/>
                <w:szCs w:val="18"/>
              </w:rPr>
              <w:t>0.137</w:t>
            </w:r>
          </w:p>
        </w:tc>
        <w:tc>
          <w:tcPr>
            <w:tcW w:w="1279" w:type="pct"/>
            <w:vAlign w:val="center"/>
          </w:tcPr>
          <w:p>
            <w:pPr>
              <w:jc w:val="center"/>
              <w:rPr>
                <w:rFonts w:ascii="宋体" w:hAnsi="宋体"/>
                <w:color w:val="000000"/>
                <w:sz w:val="18"/>
                <w:szCs w:val="18"/>
              </w:rPr>
            </w:pPr>
            <w:r>
              <w:rPr>
                <w:rFonts w:hint="eastAsia" w:ascii="宋体" w:hAnsi="宋体"/>
                <w:color w:val="000000"/>
                <w:sz w:val="18"/>
                <w:szCs w:val="18"/>
              </w:rPr>
              <w:t>0.059</w:t>
            </w:r>
          </w:p>
        </w:tc>
        <w:tc>
          <w:tcPr>
            <w:tcW w:w="1279" w:type="pct"/>
            <w:vAlign w:val="center"/>
          </w:tcPr>
          <w:p>
            <w:pPr>
              <w:pStyle w:val="178"/>
              <w:rPr>
                <w:rFonts w:hAnsi="宋体"/>
                <w:szCs w:val="18"/>
              </w:rPr>
            </w:pPr>
            <w:r>
              <w:rPr>
                <w:rFonts w:hAnsi="宋体"/>
                <w:szCs w:val="18"/>
              </w:rPr>
              <w:t>0.015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89" w:type="pct"/>
            <w:shd w:val="clear" w:color="auto" w:fill="auto"/>
            <w:vAlign w:val="center"/>
          </w:tcPr>
          <w:p>
            <w:pPr>
              <w:pStyle w:val="178"/>
              <w:spacing w:after="156"/>
              <w:rPr>
                <w:rFonts w:hAnsi="宋体"/>
                <w:szCs w:val="18"/>
              </w:rPr>
            </w:pPr>
            <w:r>
              <w:rPr>
                <w:rFonts w:hint="eastAsia" w:hAnsi="宋体"/>
                <w:szCs w:val="18"/>
              </w:rPr>
              <w:t>坑塘水面</w:t>
            </w:r>
          </w:p>
        </w:tc>
        <w:tc>
          <w:tcPr>
            <w:tcW w:w="1353" w:type="pct"/>
            <w:shd w:val="clear" w:color="auto" w:fill="auto"/>
            <w:vAlign w:val="center"/>
          </w:tcPr>
          <w:p>
            <w:pPr>
              <w:pStyle w:val="178"/>
              <w:rPr>
                <w:rFonts w:hAnsi="宋体"/>
                <w:szCs w:val="18"/>
              </w:rPr>
            </w:pPr>
            <w:r>
              <w:rPr>
                <w:rFonts w:hAnsi="宋体"/>
                <w:szCs w:val="18"/>
              </w:rPr>
              <w:t>0.086</w:t>
            </w:r>
          </w:p>
        </w:tc>
        <w:tc>
          <w:tcPr>
            <w:tcW w:w="1279" w:type="pct"/>
            <w:vAlign w:val="center"/>
          </w:tcPr>
          <w:p>
            <w:pPr>
              <w:jc w:val="center"/>
              <w:rPr>
                <w:rFonts w:ascii="宋体" w:hAnsi="宋体"/>
                <w:color w:val="000000"/>
                <w:sz w:val="18"/>
                <w:szCs w:val="18"/>
              </w:rPr>
            </w:pPr>
            <w:r>
              <w:rPr>
                <w:rFonts w:hint="eastAsia" w:ascii="宋体" w:hAnsi="宋体"/>
                <w:color w:val="000000"/>
                <w:sz w:val="18"/>
                <w:szCs w:val="18"/>
              </w:rPr>
              <w:t>0.092</w:t>
            </w:r>
          </w:p>
        </w:tc>
        <w:tc>
          <w:tcPr>
            <w:tcW w:w="1279" w:type="pct"/>
            <w:vAlign w:val="center"/>
          </w:tcPr>
          <w:p>
            <w:pPr>
              <w:pStyle w:val="178"/>
              <w:rPr>
                <w:rFonts w:hAnsi="宋体"/>
                <w:szCs w:val="18"/>
              </w:rPr>
            </w:pPr>
            <w:r>
              <w:rPr>
                <w:rFonts w:hAnsi="宋体"/>
                <w:szCs w:val="18"/>
              </w:rPr>
              <w:t>0.006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89" w:type="pct"/>
            <w:shd w:val="clear" w:color="auto" w:fill="auto"/>
            <w:vAlign w:val="center"/>
          </w:tcPr>
          <w:p>
            <w:pPr>
              <w:pStyle w:val="178"/>
              <w:spacing w:after="156"/>
              <w:rPr>
                <w:rFonts w:hAnsi="宋体"/>
                <w:szCs w:val="18"/>
              </w:rPr>
            </w:pPr>
            <w:r>
              <w:rPr>
                <w:rFonts w:hint="eastAsia" w:hAnsi="宋体"/>
                <w:szCs w:val="18"/>
              </w:rPr>
              <w:t>内陆滩涂</w:t>
            </w:r>
          </w:p>
        </w:tc>
        <w:tc>
          <w:tcPr>
            <w:tcW w:w="1353" w:type="pct"/>
            <w:shd w:val="clear" w:color="auto" w:fill="auto"/>
            <w:vAlign w:val="center"/>
          </w:tcPr>
          <w:p>
            <w:pPr>
              <w:pStyle w:val="178"/>
              <w:rPr>
                <w:rFonts w:hAnsi="宋体"/>
                <w:szCs w:val="18"/>
              </w:rPr>
            </w:pPr>
            <w:r>
              <w:rPr>
                <w:rFonts w:hAnsi="宋体"/>
                <w:szCs w:val="18"/>
              </w:rPr>
              <w:t>0.189</w:t>
            </w:r>
          </w:p>
        </w:tc>
        <w:tc>
          <w:tcPr>
            <w:tcW w:w="1279" w:type="pct"/>
            <w:vAlign w:val="center"/>
          </w:tcPr>
          <w:p>
            <w:pPr>
              <w:jc w:val="center"/>
              <w:rPr>
                <w:rFonts w:ascii="宋体" w:hAnsi="宋体"/>
                <w:color w:val="000000"/>
                <w:sz w:val="18"/>
                <w:szCs w:val="18"/>
              </w:rPr>
            </w:pPr>
            <w:r>
              <w:rPr>
                <w:rFonts w:hint="eastAsia" w:ascii="宋体" w:hAnsi="宋体"/>
                <w:color w:val="000000"/>
                <w:sz w:val="18"/>
                <w:szCs w:val="18"/>
              </w:rPr>
              <w:t>0.220</w:t>
            </w:r>
          </w:p>
        </w:tc>
        <w:tc>
          <w:tcPr>
            <w:tcW w:w="1279" w:type="pct"/>
            <w:vAlign w:val="center"/>
          </w:tcPr>
          <w:p>
            <w:pPr>
              <w:pStyle w:val="178"/>
              <w:rPr>
                <w:rFonts w:hAnsi="宋体"/>
                <w:szCs w:val="18"/>
              </w:rPr>
            </w:pPr>
            <w:r>
              <w:rPr>
                <w:rFonts w:hAnsi="宋体"/>
                <w:szCs w:val="18"/>
              </w:rPr>
              <w:t>0.011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89" w:type="pct"/>
            <w:shd w:val="clear" w:color="auto" w:fill="auto"/>
            <w:vAlign w:val="center"/>
          </w:tcPr>
          <w:p>
            <w:pPr>
              <w:pStyle w:val="178"/>
              <w:spacing w:after="156"/>
              <w:rPr>
                <w:rFonts w:hAnsi="宋体"/>
                <w:szCs w:val="18"/>
              </w:rPr>
            </w:pPr>
            <w:r>
              <w:rPr>
                <w:rFonts w:hint="eastAsia" w:hAnsi="宋体"/>
                <w:szCs w:val="18"/>
              </w:rPr>
              <w:t>水库水面</w:t>
            </w:r>
          </w:p>
        </w:tc>
        <w:tc>
          <w:tcPr>
            <w:tcW w:w="1353" w:type="pct"/>
            <w:shd w:val="clear" w:color="auto" w:fill="auto"/>
            <w:vAlign w:val="center"/>
          </w:tcPr>
          <w:p>
            <w:pPr>
              <w:pStyle w:val="178"/>
              <w:rPr>
                <w:rFonts w:hAnsi="宋体"/>
                <w:szCs w:val="18"/>
              </w:rPr>
            </w:pPr>
            <w:r>
              <w:rPr>
                <w:rFonts w:ascii="Times New Roman"/>
                <w:color w:val="000000"/>
                <w:sz w:val="24"/>
                <w:szCs w:val="24"/>
              </w:rPr>
              <w:t>—</w:t>
            </w:r>
          </w:p>
        </w:tc>
        <w:tc>
          <w:tcPr>
            <w:tcW w:w="1279" w:type="pct"/>
            <w:vAlign w:val="center"/>
          </w:tcPr>
          <w:p>
            <w:pPr>
              <w:jc w:val="center"/>
              <w:rPr>
                <w:rFonts w:ascii="宋体" w:hAnsi="宋体"/>
                <w:color w:val="000000"/>
                <w:sz w:val="18"/>
                <w:szCs w:val="18"/>
              </w:rPr>
            </w:pPr>
            <w:r>
              <w:rPr>
                <w:rFonts w:hint="eastAsia" w:ascii="宋体" w:hAnsi="宋体"/>
                <w:color w:val="000000"/>
                <w:sz w:val="18"/>
                <w:szCs w:val="18"/>
              </w:rPr>
              <w:t>0.091</w:t>
            </w:r>
          </w:p>
        </w:tc>
        <w:tc>
          <w:tcPr>
            <w:tcW w:w="1279" w:type="pct"/>
            <w:vAlign w:val="center"/>
          </w:tcPr>
          <w:p>
            <w:pPr>
              <w:pStyle w:val="178"/>
              <w:rPr>
                <w:rFonts w:hAnsi="宋体"/>
                <w:szCs w:val="18"/>
              </w:rPr>
            </w:pPr>
            <w:r>
              <w:rPr>
                <w:rFonts w:ascii="Times New Roman"/>
                <w:color w:val="000000"/>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89" w:type="pct"/>
            <w:shd w:val="clear" w:color="auto" w:fill="auto"/>
            <w:vAlign w:val="center"/>
          </w:tcPr>
          <w:p>
            <w:pPr>
              <w:pStyle w:val="178"/>
              <w:spacing w:after="156"/>
              <w:rPr>
                <w:rFonts w:hAnsi="宋体"/>
                <w:szCs w:val="18"/>
              </w:rPr>
            </w:pPr>
            <w:r>
              <w:rPr>
                <w:rFonts w:hint="eastAsia" w:hAnsi="宋体"/>
                <w:szCs w:val="18"/>
              </w:rPr>
              <w:t>沼泽草地</w:t>
            </w:r>
          </w:p>
        </w:tc>
        <w:tc>
          <w:tcPr>
            <w:tcW w:w="1353" w:type="pct"/>
            <w:shd w:val="clear" w:color="auto" w:fill="auto"/>
            <w:vAlign w:val="center"/>
          </w:tcPr>
          <w:p>
            <w:pPr>
              <w:pStyle w:val="178"/>
              <w:rPr>
                <w:rFonts w:hAnsi="宋体"/>
                <w:szCs w:val="18"/>
              </w:rPr>
            </w:pPr>
            <w:r>
              <w:rPr>
                <w:rFonts w:ascii="Times New Roman"/>
                <w:color w:val="000000"/>
                <w:sz w:val="24"/>
                <w:szCs w:val="24"/>
              </w:rPr>
              <w:t>—</w:t>
            </w:r>
          </w:p>
        </w:tc>
        <w:tc>
          <w:tcPr>
            <w:tcW w:w="1279" w:type="pct"/>
            <w:vAlign w:val="center"/>
          </w:tcPr>
          <w:p>
            <w:pPr>
              <w:jc w:val="center"/>
              <w:rPr>
                <w:rFonts w:ascii="宋体" w:hAnsi="宋体"/>
                <w:color w:val="000000"/>
                <w:sz w:val="18"/>
                <w:szCs w:val="18"/>
              </w:rPr>
            </w:pPr>
            <w:r>
              <w:rPr>
                <w:rFonts w:hint="eastAsia" w:ascii="宋体" w:hAnsi="宋体"/>
                <w:color w:val="000000"/>
                <w:sz w:val="18"/>
                <w:szCs w:val="18"/>
              </w:rPr>
              <w:t>0.054</w:t>
            </w:r>
          </w:p>
        </w:tc>
        <w:tc>
          <w:tcPr>
            <w:tcW w:w="1279" w:type="pct"/>
            <w:vAlign w:val="center"/>
          </w:tcPr>
          <w:p>
            <w:pPr>
              <w:pStyle w:val="178"/>
              <w:rPr>
                <w:rFonts w:hAnsi="宋体"/>
                <w:szCs w:val="18"/>
              </w:rPr>
            </w:pPr>
            <w:r>
              <w:rPr>
                <w:rFonts w:hAnsi="宋体"/>
                <w:szCs w:val="18"/>
              </w:rPr>
              <w:t>0.059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89" w:type="pct"/>
            <w:shd w:val="clear" w:color="auto" w:fill="auto"/>
            <w:vAlign w:val="center"/>
          </w:tcPr>
          <w:p>
            <w:pPr>
              <w:pStyle w:val="178"/>
              <w:spacing w:after="156"/>
              <w:rPr>
                <w:rFonts w:hAnsi="宋体"/>
                <w:szCs w:val="18"/>
              </w:rPr>
            </w:pPr>
            <w:r>
              <w:rPr>
                <w:rFonts w:hint="eastAsia" w:hAnsi="宋体"/>
                <w:szCs w:val="18"/>
              </w:rPr>
              <w:t>沼泽地</w:t>
            </w:r>
          </w:p>
        </w:tc>
        <w:tc>
          <w:tcPr>
            <w:tcW w:w="1353" w:type="pct"/>
            <w:shd w:val="clear" w:color="auto" w:fill="auto"/>
            <w:vAlign w:val="center"/>
          </w:tcPr>
          <w:p>
            <w:pPr>
              <w:pStyle w:val="178"/>
              <w:rPr>
                <w:rFonts w:hAnsi="宋体"/>
                <w:szCs w:val="18"/>
              </w:rPr>
            </w:pPr>
            <w:r>
              <w:rPr>
                <w:rFonts w:hAnsi="宋体"/>
                <w:szCs w:val="18"/>
              </w:rPr>
              <w:t>0.083</w:t>
            </w:r>
          </w:p>
        </w:tc>
        <w:tc>
          <w:tcPr>
            <w:tcW w:w="1279" w:type="pct"/>
            <w:vAlign w:val="center"/>
          </w:tcPr>
          <w:p>
            <w:pPr>
              <w:jc w:val="center"/>
              <w:rPr>
                <w:rFonts w:ascii="宋体" w:hAnsi="宋体"/>
                <w:color w:val="000000"/>
                <w:sz w:val="18"/>
                <w:szCs w:val="18"/>
              </w:rPr>
            </w:pPr>
            <w:r>
              <w:rPr>
                <w:rFonts w:hint="eastAsia" w:ascii="宋体" w:hAnsi="宋体"/>
                <w:color w:val="000000"/>
                <w:sz w:val="18"/>
                <w:szCs w:val="18"/>
              </w:rPr>
              <w:t>0.042</w:t>
            </w:r>
          </w:p>
        </w:tc>
        <w:tc>
          <w:tcPr>
            <w:tcW w:w="1279" w:type="pct"/>
            <w:vAlign w:val="center"/>
          </w:tcPr>
          <w:p>
            <w:pPr>
              <w:pStyle w:val="178"/>
              <w:rPr>
                <w:rFonts w:hAnsi="宋体"/>
                <w:szCs w:val="18"/>
              </w:rPr>
            </w:pPr>
            <w:r>
              <w:rPr>
                <w:rFonts w:hAnsi="宋体"/>
                <w:szCs w:val="18"/>
              </w:rPr>
              <w:t>0.041</w:t>
            </w:r>
          </w:p>
        </w:tc>
      </w:tr>
      <w:bookmarkEnd w:id="74"/>
    </w:tbl>
    <w:p>
      <w:pPr>
        <w:pStyle w:val="76"/>
        <w:numPr>
          <w:ilvl w:val="0"/>
          <w:numId w:val="0"/>
        </w:numPr>
        <w:spacing w:after="156"/>
      </w:pPr>
      <w:bookmarkStart w:id="77"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7"/>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1502/T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1502/T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cY3IzohVfEiibWgYzi/20Fmparm2u/Y20M7LSDduzuQvPWj02eOsoyOlqMXq4AeMEu8wocA48kz05xwaaE33uw==" w:salt="DDdt7yANcY18hlWeFXVvL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wOTFiNjkwNmZkZGViMDMxZGEyNTM1ZWZjMjRlZmIifQ=="/>
  </w:docVars>
  <w:rsids>
    <w:rsidRoot w:val="00BF58B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6BC"/>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05A"/>
    <w:rsid w:val="000E4C9E"/>
    <w:rsid w:val="000E6FD7"/>
    <w:rsid w:val="000F06E1"/>
    <w:rsid w:val="000F0E3C"/>
    <w:rsid w:val="000F19D5"/>
    <w:rsid w:val="000F4AEA"/>
    <w:rsid w:val="000F633F"/>
    <w:rsid w:val="000F67E9"/>
    <w:rsid w:val="00104926"/>
    <w:rsid w:val="0011012F"/>
    <w:rsid w:val="001133EC"/>
    <w:rsid w:val="00113B1E"/>
    <w:rsid w:val="0011711C"/>
    <w:rsid w:val="0012059C"/>
    <w:rsid w:val="00122154"/>
    <w:rsid w:val="00124E4F"/>
    <w:rsid w:val="0012575F"/>
    <w:rsid w:val="001260B7"/>
    <w:rsid w:val="001265CB"/>
    <w:rsid w:val="001321C6"/>
    <w:rsid w:val="001325C4"/>
    <w:rsid w:val="00132AFF"/>
    <w:rsid w:val="00133010"/>
    <w:rsid w:val="001338EE"/>
    <w:rsid w:val="00133AAE"/>
    <w:rsid w:val="00135323"/>
    <w:rsid w:val="001356C4"/>
    <w:rsid w:val="0013582B"/>
    <w:rsid w:val="00136CDD"/>
    <w:rsid w:val="00141114"/>
    <w:rsid w:val="00141611"/>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DED"/>
    <w:rsid w:val="00190087"/>
    <w:rsid w:val="001913C4"/>
    <w:rsid w:val="0019348F"/>
    <w:rsid w:val="00193A07"/>
    <w:rsid w:val="00193E5A"/>
    <w:rsid w:val="00194C95"/>
    <w:rsid w:val="00195C34"/>
    <w:rsid w:val="00196EF5"/>
    <w:rsid w:val="001A1A53"/>
    <w:rsid w:val="001A234A"/>
    <w:rsid w:val="001A40EA"/>
    <w:rsid w:val="001A4CF3"/>
    <w:rsid w:val="001A7774"/>
    <w:rsid w:val="001B049A"/>
    <w:rsid w:val="001B06E8"/>
    <w:rsid w:val="001B4B00"/>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142"/>
    <w:rsid w:val="001F69B4"/>
    <w:rsid w:val="001F77C7"/>
    <w:rsid w:val="00200183"/>
    <w:rsid w:val="00200333"/>
    <w:rsid w:val="0020107D"/>
    <w:rsid w:val="00202AA4"/>
    <w:rsid w:val="002031F7"/>
    <w:rsid w:val="002040E6"/>
    <w:rsid w:val="0020527B"/>
    <w:rsid w:val="00205F2C"/>
    <w:rsid w:val="00210B15"/>
    <w:rsid w:val="002134D5"/>
    <w:rsid w:val="002142EA"/>
    <w:rsid w:val="002204BB"/>
    <w:rsid w:val="00221B79"/>
    <w:rsid w:val="00221C6B"/>
    <w:rsid w:val="002253A1"/>
    <w:rsid w:val="00225CF8"/>
    <w:rsid w:val="0022794E"/>
    <w:rsid w:val="00233D64"/>
    <w:rsid w:val="0023482A"/>
    <w:rsid w:val="002359CB"/>
    <w:rsid w:val="002432E2"/>
    <w:rsid w:val="00243540"/>
    <w:rsid w:val="0024497B"/>
    <w:rsid w:val="0024515B"/>
    <w:rsid w:val="00246021"/>
    <w:rsid w:val="0024666E"/>
    <w:rsid w:val="00247F52"/>
    <w:rsid w:val="00250B25"/>
    <w:rsid w:val="00250BBE"/>
    <w:rsid w:val="002515C2"/>
    <w:rsid w:val="0025194F"/>
    <w:rsid w:val="00260E88"/>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CE3"/>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4D45"/>
    <w:rsid w:val="002F7AF6"/>
    <w:rsid w:val="00300E63"/>
    <w:rsid w:val="00302F5F"/>
    <w:rsid w:val="0030441D"/>
    <w:rsid w:val="00306063"/>
    <w:rsid w:val="00313B85"/>
    <w:rsid w:val="003170E7"/>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2EFB"/>
    <w:rsid w:val="00354124"/>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1B1"/>
    <w:rsid w:val="00394376"/>
    <w:rsid w:val="003943FF"/>
    <w:rsid w:val="00395700"/>
    <w:rsid w:val="003974EB"/>
    <w:rsid w:val="00397CC5"/>
    <w:rsid w:val="003A1582"/>
    <w:rsid w:val="003A4077"/>
    <w:rsid w:val="003B09AD"/>
    <w:rsid w:val="003B1F18"/>
    <w:rsid w:val="003B34E4"/>
    <w:rsid w:val="003B5BF0"/>
    <w:rsid w:val="003B60BF"/>
    <w:rsid w:val="003B6BE3"/>
    <w:rsid w:val="003C010C"/>
    <w:rsid w:val="003C0A6C"/>
    <w:rsid w:val="003C14F8"/>
    <w:rsid w:val="003C5A43"/>
    <w:rsid w:val="003C5DB2"/>
    <w:rsid w:val="003C7702"/>
    <w:rsid w:val="003D0519"/>
    <w:rsid w:val="003D0FF6"/>
    <w:rsid w:val="003D262C"/>
    <w:rsid w:val="003D6D61"/>
    <w:rsid w:val="003D79C6"/>
    <w:rsid w:val="003E091D"/>
    <w:rsid w:val="003E1C53"/>
    <w:rsid w:val="003E2A69"/>
    <w:rsid w:val="003E2D49"/>
    <w:rsid w:val="003E2FD4"/>
    <w:rsid w:val="003E49F6"/>
    <w:rsid w:val="003E660F"/>
    <w:rsid w:val="003F0841"/>
    <w:rsid w:val="003F1304"/>
    <w:rsid w:val="003F23D3"/>
    <w:rsid w:val="003F3F08"/>
    <w:rsid w:val="003F49F1"/>
    <w:rsid w:val="003F6272"/>
    <w:rsid w:val="00400E72"/>
    <w:rsid w:val="00401400"/>
    <w:rsid w:val="00404869"/>
    <w:rsid w:val="00405884"/>
    <w:rsid w:val="00407D39"/>
    <w:rsid w:val="004119B0"/>
    <w:rsid w:val="0041477A"/>
    <w:rsid w:val="004167A3"/>
    <w:rsid w:val="00421C0E"/>
    <w:rsid w:val="00432DAA"/>
    <w:rsid w:val="00434305"/>
    <w:rsid w:val="00435308"/>
    <w:rsid w:val="00435DF7"/>
    <w:rsid w:val="0044083F"/>
    <w:rsid w:val="00441AE7"/>
    <w:rsid w:val="00445574"/>
    <w:rsid w:val="004467FB"/>
    <w:rsid w:val="00452D6B"/>
    <w:rsid w:val="00454484"/>
    <w:rsid w:val="0045517B"/>
    <w:rsid w:val="00462452"/>
    <w:rsid w:val="00463B77"/>
    <w:rsid w:val="00463C7B"/>
    <w:rsid w:val="004644A6"/>
    <w:rsid w:val="004659BD"/>
    <w:rsid w:val="00470775"/>
    <w:rsid w:val="00474267"/>
    <w:rsid w:val="004746B1"/>
    <w:rsid w:val="00474BCD"/>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008C"/>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3C6F"/>
    <w:rsid w:val="004E4AA5"/>
    <w:rsid w:val="004E4AEE"/>
    <w:rsid w:val="004E59E3"/>
    <w:rsid w:val="004E67C0"/>
    <w:rsid w:val="004E6839"/>
    <w:rsid w:val="004F25F6"/>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28AD"/>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9D4"/>
    <w:rsid w:val="005B5CD7"/>
    <w:rsid w:val="005B6CF6"/>
    <w:rsid w:val="005B7422"/>
    <w:rsid w:val="005C1608"/>
    <w:rsid w:val="005C29B8"/>
    <w:rsid w:val="005C5F21"/>
    <w:rsid w:val="005C7156"/>
    <w:rsid w:val="005D0C75"/>
    <w:rsid w:val="005D4171"/>
    <w:rsid w:val="005D6A95"/>
    <w:rsid w:val="005D6B2C"/>
    <w:rsid w:val="005D6D9C"/>
    <w:rsid w:val="005E1046"/>
    <w:rsid w:val="005E2335"/>
    <w:rsid w:val="005E34CA"/>
    <w:rsid w:val="005E3C18"/>
    <w:rsid w:val="005E6812"/>
    <w:rsid w:val="005E7881"/>
    <w:rsid w:val="005E78E0"/>
    <w:rsid w:val="005F0761"/>
    <w:rsid w:val="005F0D9C"/>
    <w:rsid w:val="005F284E"/>
    <w:rsid w:val="005F4712"/>
    <w:rsid w:val="005F4A7F"/>
    <w:rsid w:val="006015CE"/>
    <w:rsid w:val="00604784"/>
    <w:rsid w:val="00606419"/>
    <w:rsid w:val="00607D29"/>
    <w:rsid w:val="00612952"/>
    <w:rsid w:val="00614CC1"/>
    <w:rsid w:val="00614EEB"/>
    <w:rsid w:val="00615A9D"/>
    <w:rsid w:val="00617387"/>
    <w:rsid w:val="00617CD2"/>
    <w:rsid w:val="006205D6"/>
    <w:rsid w:val="006252D8"/>
    <w:rsid w:val="006259BC"/>
    <w:rsid w:val="0062636B"/>
    <w:rsid w:val="00632182"/>
    <w:rsid w:val="00632AE0"/>
    <w:rsid w:val="00633C17"/>
    <w:rsid w:val="00634D9E"/>
    <w:rsid w:val="00636E3E"/>
    <w:rsid w:val="006379F7"/>
    <w:rsid w:val="00637ADE"/>
    <w:rsid w:val="00637E4D"/>
    <w:rsid w:val="00640620"/>
    <w:rsid w:val="00641A1F"/>
    <w:rsid w:val="00645904"/>
    <w:rsid w:val="00651949"/>
    <w:rsid w:val="00651ACB"/>
    <w:rsid w:val="00651C47"/>
    <w:rsid w:val="00652AB2"/>
    <w:rsid w:val="00653FED"/>
    <w:rsid w:val="00654EC0"/>
    <w:rsid w:val="0065525B"/>
    <w:rsid w:val="00655D4F"/>
    <w:rsid w:val="00656D29"/>
    <w:rsid w:val="00657825"/>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6284"/>
    <w:rsid w:val="006B2672"/>
    <w:rsid w:val="006B54BF"/>
    <w:rsid w:val="006B5F44"/>
    <w:rsid w:val="006B5F90"/>
    <w:rsid w:val="006B62E4"/>
    <w:rsid w:val="006B693D"/>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32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EF6"/>
    <w:rsid w:val="00756B26"/>
    <w:rsid w:val="00756EDF"/>
    <w:rsid w:val="00757CB5"/>
    <w:rsid w:val="007600E3"/>
    <w:rsid w:val="00765C43"/>
    <w:rsid w:val="00765EFB"/>
    <w:rsid w:val="007671CA"/>
    <w:rsid w:val="00767C61"/>
    <w:rsid w:val="0077008A"/>
    <w:rsid w:val="00773C1F"/>
    <w:rsid w:val="00774DA4"/>
    <w:rsid w:val="00776599"/>
    <w:rsid w:val="0078114B"/>
    <w:rsid w:val="00781DD2"/>
    <w:rsid w:val="00783ECF"/>
    <w:rsid w:val="0078413A"/>
    <w:rsid w:val="007903C5"/>
    <w:rsid w:val="00794B2E"/>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3AA8"/>
    <w:rsid w:val="007F75CE"/>
    <w:rsid w:val="008013A4"/>
    <w:rsid w:val="008027CE"/>
    <w:rsid w:val="00802F42"/>
    <w:rsid w:val="00804383"/>
    <w:rsid w:val="00804BB7"/>
    <w:rsid w:val="00804D41"/>
    <w:rsid w:val="00810257"/>
    <w:rsid w:val="008104F5"/>
    <w:rsid w:val="00811072"/>
    <w:rsid w:val="00811369"/>
    <w:rsid w:val="0081143C"/>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9C9"/>
    <w:rsid w:val="00843C13"/>
    <w:rsid w:val="008454F8"/>
    <w:rsid w:val="00847B20"/>
    <w:rsid w:val="0085173A"/>
    <w:rsid w:val="00856316"/>
    <w:rsid w:val="008603CE"/>
    <w:rsid w:val="008620FC"/>
    <w:rsid w:val="008627A5"/>
    <w:rsid w:val="00863E05"/>
    <w:rsid w:val="00865ACA"/>
    <w:rsid w:val="00865D28"/>
    <w:rsid w:val="00865F85"/>
    <w:rsid w:val="0086660E"/>
    <w:rsid w:val="00867C10"/>
    <w:rsid w:val="00870439"/>
    <w:rsid w:val="00870DA1"/>
    <w:rsid w:val="0087460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2B93"/>
    <w:rsid w:val="008A3215"/>
    <w:rsid w:val="008A57E6"/>
    <w:rsid w:val="008A6F81"/>
    <w:rsid w:val="008A769A"/>
    <w:rsid w:val="008B0C9C"/>
    <w:rsid w:val="008B166D"/>
    <w:rsid w:val="008B17F4"/>
    <w:rsid w:val="008B3615"/>
    <w:rsid w:val="008B4AC4"/>
    <w:rsid w:val="008B50C8"/>
    <w:rsid w:val="008B5281"/>
    <w:rsid w:val="008B5B7A"/>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52B"/>
    <w:rsid w:val="008F788F"/>
    <w:rsid w:val="008F7EA2"/>
    <w:rsid w:val="00902722"/>
    <w:rsid w:val="009027BC"/>
    <w:rsid w:val="0090530A"/>
    <w:rsid w:val="00905E86"/>
    <w:rsid w:val="009062E6"/>
    <w:rsid w:val="00911BE5"/>
    <w:rsid w:val="00913CA9"/>
    <w:rsid w:val="009145AE"/>
    <w:rsid w:val="009146CE"/>
    <w:rsid w:val="00914CA7"/>
    <w:rsid w:val="00915C3E"/>
    <w:rsid w:val="009161A8"/>
    <w:rsid w:val="009167BE"/>
    <w:rsid w:val="009245F5"/>
    <w:rsid w:val="009249EC"/>
    <w:rsid w:val="009273B3"/>
    <w:rsid w:val="009277B7"/>
    <w:rsid w:val="009305B5"/>
    <w:rsid w:val="00940A98"/>
    <w:rsid w:val="0094232D"/>
    <w:rsid w:val="009429D5"/>
    <w:rsid w:val="00942BF1"/>
    <w:rsid w:val="00945180"/>
    <w:rsid w:val="00945428"/>
    <w:rsid w:val="0094607B"/>
    <w:rsid w:val="00953604"/>
    <w:rsid w:val="0095496B"/>
    <w:rsid w:val="009610DC"/>
    <w:rsid w:val="00961490"/>
    <w:rsid w:val="0096381A"/>
    <w:rsid w:val="00965E04"/>
    <w:rsid w:val="009674AD"/>
    <w:rsid w:val="00970CDC"/>
    <w:rsid w:val="00974E9D"/>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54C5"/>
    <w:rsid w:val="009B6029"/>
    <w:rsid w:val="009B6971"/>
    <w:rsid w:val="009B7DBE"/>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7E9"/>
    <w:rsid w:val="00A169B6"/>
    <w:rsid w:val="00A16ADF"/>
    <w:rsid w:val="00A2271D"/>
    <w:rsid w:val="00A237D5"/>
    <w:rsid w:val="00A30EFC"/>
    <w:rsid w:val="00A31984"/>
    <w:rsid w:val="00A32D73"/>
    <w:rsid w:val="00A3367B"/>
    <w:rsid w:val="00A34BB7"/>
    <w:rsid w:val="00A3597D"/>
    <w:rsid w:val="00A36DD1"/>
    <w:rsid w:val="00A4006C"/>
    <w:rsid w:val="00A40091"/>
    <w:rsid w:val="00A4030F"/>
    <w:rsid w:val="00A41C79"/>
    <w:rsid w:val="00A41CB5"/>
    <w:rsid w:val="00A42CDF"/>
    <w:rsid w:val="00A4452E"/>
    <w:rsid w:val="00A4472C"/>
    <w:rsid w:val="00A44E69"/>
    <w:rsid w:val="00A4661E"/>
    <w:rsid w:val="00A52830"/>
    <w:rsid w:val="00A55BD6"/>
    <w:rsid w:val="00A55D50"/>
    <w:rsid w:val="00A57142"/>
    <w:rsid w:val="00A61508"/>
    <w:rsid w:val="00A648CD"/>
    <w:rsid w:val="00A64920"/>
    <w:rsid w:val="00A6537A"/>
    <w:rsid w:val="00A65D82"/>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6A0D"/>
    <w:rsid w:val="00AF0C18"/>
    <w:rsid w:val="00AF47C5"/>
    <w:rsid w:val="00AF5398"/>
    <w:rsid w:val="00B049AF"/>
    <w:rsid w:val="00B07242"/>
    <w:rsid w:val="00B10534"/>
    <w:rsid w:val="00B113DB"/>
    <w:rsid w:val="00B11D8A"/>
    <w:rsid w:val="00B12981"/>
    <w:rsid w:val="00B12F2A"/>
    <w:rsid w:val="00B147DD"/>
    <w:rsid w:val="00B156FD"/>
    <w:rsid w:val="00B21F61"/>
    <w:rsid w:val="00B261F1"/>
    <w:rsid w:val="00B265BC"/>
    <w:rsid w:val="00B31FB1"/>
    <w:rsid w:val="00B33557"/>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36B2"/>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87132"/>
    <w:rsid w:val="00B903A3"/>
    <w:rsid w:val="00B937A2"/>
    <w:rsid w:val="00B939B1"/>
    <w:rsid w:val="00B96D40"/>
    <w:rsid w:val="00B97386"/>
    <w:rsid w:val="00BA235D"/>
    <w:rsid w:val="00BA263B"/>
    <w:rsid w:val="00BA42B2"/>
    <w:rsid w:val="00BA58D4"/>
    <w:rsid w:val="00BA5B9E"/>
    <w:rsid w:val="00BA7C9A"/>
    <w:rsid w:val="00BB203B"/>
    <w:rsid w:val="00BB22E7"/>
    <w:rsid w:val="00BB5F8F"/>
    <w:rsid w:val="00BB657A"/>
    <w:rsid w:val="00BC1A4E"/>
    <w:rsid w:val="00BC3307"/>
    <w:rsid w:val="00BC4790"/>
    <w:rsid w:val="00BC5DC7"/>
    <w:rsid w:val="00BC6B8B"/>
    <w:rsid w:val="00BC73D8"/>
    <w:rsid w:val="00BD52D7"/>
    <w:rsid w:val="00BD5AD2"/>
    <w:rsid w:val="00BE1FD8"/>
    <w:rsid w:val="00BE22F3"/>
    <w:rsid w:val="00BE5B52"/>
    <w:rsid w:val="00BE7B8D"/>
    <w:rsid w:val="00BF0993"/>
    <w:rsid w:val="00BF10A9"/>
    <w:rsid w:val="00BF1703"/>
    <w:rsid w:val="00BF231C"/>
    <w:rsid w:val="00BF51E5"/>
    <w:rsid w:val="00BF58B9"/>
    <w:rsid w:val="00BF74A6"/>
    <w:rsid w:val="00C013AD"/>
    <w:rsid w:val="00C01B14"/>
    <w:rsid w:val="00C04408"/>
    <w:rsid w:val="00C04904"/>
    <w:rsid w:val="00C056B3"/>
    <w:rsid w:val="00C103E5"/>
    <w:rsid w:val="00C13319"/>
    <w:rsid w:val="00C13EE9"/>
    <w:rsid w:val="00C21540"/>
    <w:rsid w:val="00C21906"/>
    <w:rsid w:val="00C21BFA"/>
    <w:rsid w:val="00C22148"/>
    <w:rsid w:val="00C24C8D"/>
    <w:rsid w:val="00C25FE2"/>
    <w:rsid w:val="00C26B53"/>
    <w:rsid w:val="00C279B2"/>
    <w:rsid w:val="00C308C4"/>
    <w:rsid w:val="00C327C4"/>
    <w:rsid w:val="00C33E50"/>
    <w:rsid w:val="00C34C20"/>
    <w:rsid w:val="00C35A3E"/>
    <w:rsid w:val="00C36CC4"/>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2F28"/>
    <w:rsid w:val="00C80982"/>
    <w:rsid w:val="00C80CB8"/>
    <w:rsid w:val="00C819F8"/>
    <w:rsid w:val="00C8248C"/>
    <w:rsid w:val="00C84E33"/>
    <w:rsid w:val="00C86D6F"/>
    <w:rsid w:val="00C905FC"/>
    <w:rsid w:val="00C92D03"/>
    <w:rsid w:val="00C9319C"/>
    <w:rsid w:val="00C9435D"/>
    <w:rsid w:val="00C94DF2"/>
    <w:rsid w:val="00C96688"/>
    <w:rsid w:val="00C96741"/>
    <w:rsid w:val="00CA2D1B"/>
    <w:rsid w:val="00CA375D"/>
    <w:rsid w:val="00CA662A"/>
    <w:rsid w:val="00CA7AFD"/>
    <w:rsid w:val="00CA7C3C"/>
    <w:rsid w:val="00CB0189"/>
    <w:rsid w:val="00CB0BA2"/>
    <w:rsid w:val="00CB1A42"/>
    <w:rsid w:val="00CB1B0C"/>
    <w:rsid w:val="00CB2C0B"/>
    <w:rsid w:val="00CB40D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18A"/>
    <w:rsid w:val="00D06AB1"/>
    <w:rsid w:val="00D072ED"/>
    <w:rsid w:val="00D07A16"/>
    <w:rsid w:val="00D1067E"/>
    <w:rsid w:val="00D10F50"/>
    <w:rsid w:val="00D11272"/>
    <w:rsid w:val="00D126F5"/>
    <w:rsid w:val="00D1489E"/>
    <w:rsid w:val="00D20737"/>
    <w:rsid w:val="00D21E81"/>
    <w:rsid w:val="00D223DE"/>
    <w:rsid w:val="00D23C10"/>
    <w:rsid w:val="00D25E37"/>
    <w:rsid w:val="00D2661A"/>
    <w:rsid w:val="00D27582"/>
    <w:rsid w:val="00D27EC4"/>
    <w:rsid w:val="00D32719"/>
    <w:rsid w:val="00D33333"/>
    <w:rsid w:val="00D33457"/>
    <w:rsid w:val="00D352A2"/>
    <w:rsid w:val="00D3660F"/>
    <w:rsid w:val="00D4162B"/>
    <w:rsid w:val="00D4217A"/>
    <w:rsid w:val="00D4514F"/>
    <w:rsid w:val="00D451E2"/>
    <w:rsid w:val="00D45E89"/>
    <w:rsid w:val="00D45E8D"/>
    <w:rsid w:val="00D466AE"/>
    <w:rsid w:val="00D4734F"/>
    <w:rsid w:val="00D51BF3"/>
    <w:rsid w:val="00D62030"/>
    <w:rsid w:val="00D66846"/>
    <w:rsid w:val="00D675FB"/>
    <w:rsid w:val="00D71F25"/>
    <w:rsid w:val="00D72A9C"/>
    <w:rsid w:val="00D77031"/>
    <w:rsid w:val="00D84941"/>
    <w:rsid w:val="00D84FA1"/>
    <w:rsid w:val="00D851F0"/>
    <w:rsid w:val="00D86DB7"/>
    <w:rsid w:val="00D90A88"/>
    <w:rsid w:val="00D926D0"/>
    <w:rsid w:val="00D93030"/>
    <w:rsid w:val="00D937AE"/>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1691"/>
    <w:rsid w:val="00DC3067"/>
    <w:rsid w:val="00DC370B"/>
    <w:rsid w:val="00DC5B90"/>
    <w:rsid w:val="00DD00FF"/>
    <w:rsid w:val="00DD0619"/>
    <w:rsid w:val="00DD07FB"/>
    <w:rsid w:val="00DD25C6"/>
    <w:rsid w:val="00DD458C"/>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2D6C"/>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760A"/>
    <w:rsid w:val="00EE0350"/>
    <w:rsid w:val="00EE0719"/>
    <w:rsid w:val="00EE0E80"/>
    <w:rsid w:val="00EE1D3F"/>
    <w:rsid w:val="00EE54A6"/>
    <w:rsid w:val="00EE613F"/>
    <w:rsid w:val="00EE7295"/>
    <w:rsid w:val="00EE7869"/>
    <w:rsid w:val="00EF054A"/>
    <w:rsid w:val="00EF3235"/>
    <w:rsid w:val="00EF7E72"/>
    <w:rsid w:val="00F06D37"/>
    <w:rsid w:val="00F078DD"/>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7240"/>
    <w:rsid w:val="00F6194E"/>
    <w:rsid w:val="00F623AC"/>
    <w:rsid w:val="00F6412A"/>
    <w:rsid w:val="00F65893"/>
    <w:rsid w:val="00F66A4A"/>
    <w:rsid w:val="00F672F0"/>
    <w:rsid w:val="00F71E22"/>
    <w:rsid w:val="00F72142"/>
    <w:rsid w:val="00F72AE7"/>
    <w:rsid w:val="00F74F58"/>
    <w:rsid w:val="00F81141"/>
    <w:rsid w:val="00F833BA"/>
    <w:rsid w:val="00F84FD0"/>
    <w:rsid w:val="00F859A8"/>
    <w:rsid w:val="00F86D87"/>
    <w:rsid w:val="00F9108B"/>
    <w:rsid w:val="00F91349"/>
    <w:rsid w:val="00F93A8A"/>
    <w:rsid w:val="00F95248"/>
    <w:rsid w:val="00F956A9"/>
    <w:rsid w:val="00F963E3"/>
    <w:rsid w:val="00F963ED"/>
    <w:rsid w:val="00F966CF"/>
    <w:rsid w:val="00F96CAE"/>
    <w:rsid w:val="00F97C99"/>
    <w:rsid w:val="00F97FF8"/>
    <w:rsid w:val="00FA4DAC"/>
    <w:rsid w:val="00FA662D"/>
    <w:rsid w:val="00FA73B1"/>
    <w:rsid w:val="00FB0225"/>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EDB"/>
    <w:rsid w:val="00FE1FBE"/>
    <w:rsid w:val="00FE3901"/>
    <w:rsid w:val="00FE39D3"/>
    <w:rsid w:val="00FE40A7"/>
    <w:rsid w:val="00FE4BCE"/>
    <w:rsid w:val="00FE54AE"/>
    <w:rsid w:val="00FE576A"/>
    <w:rsid w:val="00FE7E79"/>
    <w:rsid w:val="00FF3E7D"/>
    <w:rsid w:val="00FF5B99"/>
    <w:rsid w:val="00FF730C"/>
    <w:rsid w:val="00FF73F4"/>
    <w:rsid w:val="00FF7CE4"/>
    <w:rsid w:val="00FF7E39"/>
    <w:rsid w:val="055577F4"/>
    <w:rsid w:val="0B653116"/>
    <w:rsid w:val="4E975AD9"/>
    <w:rsid w:val="6BFD3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4"/>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2 字符"/>
    <w:link w:val="3"/>
    <w:qFormat/>
    <w:uiPriority w:val="0"/>
    <w:rPr>
      <w:rFonts w:ascii="Arial" w:hAnsi="Arial" w:eastAsia="黑体"/>
      <w:b/>
      <w:bCs/>
      <w:kern w:val="2"/>
      <w:sz w:val="32"/>
      <w:szCs w:val="32"/>
    </w:rPr>
  </w:style>
  <w:style w:type="character" w:customStyle="1" w:styleId="35">
    <w:name w:val="标题 1 字符"/>
    <w:link w:val="2"/>
    <w:qFormat/>
    <w:uiPriority w:val="0"/>
    <w:rPr>
      <w:b/>
      <w:bCs/>
      <w:kern w:val="44"/>
      <w:sz w:val="44"/>
      <w:szCs w:val="44"/>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3A134526FFB4AECB173CB0135A02C0D"/>
        <w:style w:val=""/>
        <w:category>
          <w:name w:val="常规"/>
          <w:gallery w:val="placeholder"/>
        </w:category>
        <w:types>
          <w:type w:val="bbPlcHdr"/>
        </w:types>
        <w:behaviors>
          <w:behavior w:val="content"/>
        </w:behaviors>
        <w:description w:val=""/>
        <w:guid w:val="{5F24A729-246C-461A-9D43-7F97EA093B78}"/>
      </w:docPartPr>
      <w:docPartBody>
        <w:p>
          <w:pPr>
            <w:pStyle w:val="5"/>
          </w:pPr>
          <w:r>
            <w:rPr>
              <w:rStyle w:val="4"/>
              <w:rFonts w:hint="eastAsia"/>
            </w:rPr>
            <w:t>单击或点击此处输入文字。</w:t>
          </w:r>
        </w:p>
      </w:docPartBody>
    </w:docPart>
    <w:docPart>
      <w:docPartPr>
        <w:name w:val="3B13529BAECC410E92E9401770E4449E"/>
        <w:style w:val=""/>
        <w:category>
          <w:name w:val="常规"/>
          <w:gallery w:val="placeholder"/>
        </w:category>
        <w:types>
          <w:type w:val="bbPlcHdr"/>
        </w:types>
        <w:behaviors>
          <w:behavior w:val="content"/>
        </w:behaviors>
        <w:description w:val=""/>
        <w:guid w:val="{A24F0E1D-D058-4C21-99BA-44E3D0D80A1B}"/>
      </w:docPartPr>
      <w:docPartBody>
        <w:p>
          <w:pPr>
            <w:pStyle w:val="6"/>
          </w:pPr>
          <w:r>
            <w:rPr>
              <w:rStyle w:val="4"/>
              <w:rFonts w:hint="eastAsia"/>
            </w:rPr>
            <w:t>选择一项。</w:t>
          </w:r>
        </w:p>
      </w:docPartBody>
    </w:docPart>
    <w:docPart>
      <w:docPartPr>
        <w:name w:val="BAFF91CC91CC4390A63504EDBB803505"/>
        <w:style w:val=""/>
        <w:category>
          <w:name w:val="常规"/>
          <w:gallery w:val="placeholder"/>
        </w:category>
        <w:types>
          <w:type w:val="bbPlcHdr"/>
        </w:types>
        <w:behaviors>
          <w:behavior w:val="content"/>
        </w:behaviors>
        <w:description w:val=""/>
        <w:guid w:val="{81A77FCA-D31C-4658-80D1-7231487E0F0D}"/>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5F9"/>
    <w:rsid w:val="001B1D37"/>
    <w:rsid w:val="00310AEE"/>
    <w:rsid w:val="003166B8"/>
    <w:rsid w:val="008455F9"/>
    <w:rsid w:val="008A0B80"/>
    <w:rsid w:val="00975A59"/>
    <w:rsid w:val="00A655B2"/>
    <w:rsid w:val="00B22081"/>
    <w:rsid w:val="00BE1545"/>
    <w:rsid w:val="00D64C0C"/>
    <w:rsid w:val="00E06E01"/>
    <w:rsid w:val="00EE028E"/>
    <w:rsid w:val="00F07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D3A134526FFB4AECB173CB0135A02C0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B13529BAECC410E92E9401770E4449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AFF91CC91CC4390A63504EDBB80350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8CFE66E82CF644D9B772D306C9C0D6EB"/>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0BFF80-CA64-47AA-8C8B-AEFF60420D2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6</Pages>
  <Words>1612</Words>
  <Characters>1945</Characters>
  <Lines>22</Lines>
  <Paragraphs>6</Paragraphs>
  <TotalTime>504</TotalTime>
  <ScaleCrop>false</ScaleCrop>
  <LinksUpToDate>false</LinksUpToDate>
  <CharactersWithSpaces>2065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2024-03-28T00:47:00Z</dcterms:created>
  <dc:creator>韩淑敏</dc:creator>
  <dc:description>&lt;config cover="true" show_menu="true" version="1.0.0" doctype="SDKXY"&gt;_x000d_
&lt;/config&gt;</dc:description>
  <cp:lastModifiedBy>YY</cp:lastModifiedBy>
  <cp:lastPrinted>2020-08-30T10:00:00Z</cp:lastPrinted>
  <dcterms:modified xsi:type="dcterms:W3CDTF">2024-06-24T08:24:48Z</dcterms:modified>
  <dc:title>地方标准</dc:title>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C86EF4D735DF40FBBB0F2DA42ACB5FC4_12</vt:lpwstr>
  </property>
</Properties>
</file>