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65.020.40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B40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1502/T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包头地区森林增汇技术规程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regulation of forest sequestration increase in Baotou 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5560449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"_Toc168558686" </w:instrText>
      </w:r>
      <w:r>
        <w:fldChar w:fldCharType="separate"/>
      </w:r>
      <w:r>
        <w:rPr>
          <w:rStyle w:val="32"/>
        </w:rPr>
        <w:t>前言</w:t>
      </w:r>
      <w:r>
        <w:tab/>
      </w:r>
      <w:r>
        <w:fldChar w:fldCharType="begin"/>
      </w:r>
      <w:r>
        <w:instrText xml:space="preserve"> PAGEREF _Toc168558686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"_Toc168558687" </w:instrText>
      </w:r>
      <w:r>
        <w:fldChar w:fldCharType="separate"/>
      </w:r>
      <w:r>
        <w:rPr>
          <w:rStyle w:val="32"/>
        </w:rPr>
        <w:t>1  范围</w:t>
      </w:r>
      <w:r>
        <w:tab/>
      </w:r>
      <w:r>
        <w:fldChar w:fldCharType="begin"/>
      </w:r>
      <w:r>
        <w:instrText xml:space="preserve"> PAGEREF _Toc168558687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"_Toc168558688" </w:instrText>
      </w:r>
      <w:r>
        <w:fldChar w:fldCharType="separate"/>
      </w:r>
      <w:r>
        <w:rPr>
          <w:rStyle w:val="32"/>
        </w:rPr>
        <w:t>2  规范性引用文件</w:t>
      </w:r>
      <w:r>
        <w:tab/>
      </w:r>
      <w:r>
        <w:fldChar w:fldCharType="begin"/>
      </w:r>
      <w:r>
        <w:instrText xml:space="preserve"> PAGEREF _Toc168558688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"_Toc168558689" </w:instrText>
      </w:r>
      <w:r>
        <w:fldChar w:fldCharType="separate"/>
      </w:r>
      <w:r>
        <w:rPr>
          <w:rStyle w:val="32"/>
        </w:rPr>
        <w:t>3  术语和定义</w:t>
      </w:r>
      <w:r>
        <w:tab/>
      </w:r>
      <w:r>
        <w:fldChar w:fldCharType="begin"/>
      </w:r>
      <w:r>
        <w:instrText xml:space="preserve"> PAGEREF _Toc168558689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"_Toc168558694" </w:instrText>
      </w:r>
      <w:r>
        <w:fldChar w:fldCharType="separate"/>
      </w:r>
      <w:r>
        <w:rPr>
          <w:rStyle w:val="32"/>
        </w:rPr>
        <w:t>4  基本原则</w:t>
      </w:r>
      <w:r>
        <w:tab/>
      </w:r>
      <w:r>
        <w:fldChar w:fldCharType="begin"/>
      </w:r>
      <w:r>
        <w:instrText xml:space="preserve"> PAGEREF _Toc168558694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"_Toc168558695" </w:instrText>
      </w:r>
      <w:r>
        <w:fldChar w:fldCharType="separate"/>
      </w:r>
      <w:r>
        <w:rPr>
          <w:rStyle w:val="32"/>
        </w:rPr>
        <w:t>5  经营编制方案</w:t>
      </w:r>
      <w:r>
        <w:tab/>
      </w:r>
      <w:r>
        <w:fldChar w:fldCharType="begin"/>
      </w:r>
      <w:r>
        <w:instrText xml:space="preserve"> PAGEREF _Toc168558695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"_Toc168558696" </w:instrText>
      </w:r>
      <w:r>
        <w:fldChar w:fldCharType="separate"/>
      </w:r>
      <w:r>
        <w:rPr>
          <w:rStyle w:val="32"/>
          <w14:scene3d>
            <w14:lightRig w14:rig="threePt" w14:dir="t">
              <w14:rot w14:lat="0" w14:lon="0" w14:rev="0"/>
            </w14:lightRig>
          </w14:scene3d>
        </w:rPr>
        <w:t xml:space="preserve">5.1 </w:t>
      </w:r>
      <w:r>
        <w:rPr>
          <w:rStyle w:val="32"/>
        </w:rPr>
        <w:t xml:space="preserve"> 调查内容</w:t>
      </w:r>
      <w:r>
        <w:tab/>
      </w:r>
      <w:r>
        <w:fldChar w:fldCharType="begin"/>
      </w:r>
      <w:r>
        <w:instrText xml:space="preserve"> PAGEREF _Toc168558696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"_Toc168558697" </w:instrText>
      </w:r>
      <w:r>
        <w:fldChar w:fldCharType="separate"/>
      </w:r>
      <w:r>
        <w:rPr>
          <w:rStyle w:val="32"/>
          <w14:scene3d>
            <w14:lightRig w14:rig="threePt" w14:dir="t">
              <w14:rot w14:lat="0" w14:lon="0" w14:rev="0"/>
            </w14:lightRig>
          </w14:scene3d>
        </w:rPr>
        <w:t xml:space="preserve">5.2 </w:t>
      </w:r>
      <w:r>
        <w:rPr>
          <w:rStyle w:val="32"/>
        </w:rPr>
        <w:t xml:space="preserve"> 经营规划设计</w:t>
      </w:r>
      <w:r>
        <w:tab/>
      </w:r>
      <w:r>
        <w:fldChar w:fldCharType="begin"/>
      </w:r>
      <w:r>
        <w:instrText xml:space="preserve"> PAGEREF _Toc168558697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"_Toc168558698" </w:instrText>
      </w:r>
      <w:r>
        <w:fldChar w:fldCharType="separate"/>
      </w:r>
      <w:r>
        <w:rPr>
          <w:rStyle w:val="32"/>
        </w:rPr>
        <w:t>6  增汇技术</w:t>
      </w:r>
      <w:r>
        <w:tab/>
      </w:r>
      <w:r>
        <w:fldChar w:fldCharType="begin"/>
      </w:r>
      <w:r>
        <w:instrText xml:space="preserve"> PAGEREF _Toc168558698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"_Toc168558699" </w:instrText>
      </w:r>
      <w:r>
        <w:fldChar w:fldCharType="separate"/>
      </w:r>
      <w:r>
        <w:rPr>
          <w:rStyle w:val="32"/>
          <w14:scene3d>
            <w14:lightRig w14:rig="threePt" w14:dir="t">
              <w14:rot w14:lat="0" w14:lon="0" w14:rev="0"/>
            </w14:lightRig>
          </w14:scene3d>
        </w:rPr>
        <w:t xml:space="preserve">6.1 </w:t>
      </w:r>
      <w:r>
        <w:rPr>
          <w:rStyle w:val="32"/>
        </w:rPr>
        <w:t xml:space="preserve"> 补植补造</w:t>
      </w:r>
      <w:r>
        <w:tab/>
      </w:r>
      <w:r>
        <w:fldChar w:fldCharType="begin"/>
      </w:r>
      <w:r>
        <w:instrText xml:space="preserve"> PAGEREF _Toc168558699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"_Toc168558700" </w:instrText>
      </w:r>
      <w:r>
        <w:fldChar w:fldCharType="separate"/>
      </w:r>
      <w:r>
        <w:rPr>
          <w:rStyle w:val="32"/>
          <w14:scene3d>
            <w14:lightRig w14:rig="threePt" w14:dir="t">
              <w14:rot w14:lat="0" w14:lon="0" w14:rev="0"/>
            </w14:lightRig>
          </w14:scene3d>
        </w:rPr>
        <w:t xml:space="preserve">6.2 </w:t>
      </w:r>
      <w:r>
        <w:rPr>
          <w:rStyle w:val="32"/>
        </w:rPr>
        <w:t xml:space="preserve"> 抚育增汇</w:t>
      </w:r>
      <w:r>
        <w:tab/>
      </w:r>
      <w:r>
        <w:fldChar w:fldCharType="begin"/>
      </w:r>
      <w:r>
        <w:instrText xml:space="preserve"> PAGEREF _Toc168558700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"_Toc168558701" </w:instrText>
      </w:r>
      <w:r>
        <w:fldChar w:fldCharType="separate"/>
      </w:r>
      <w:r>
        <w:rPr>
          <w:rStyle w:val="32"/>
        </w:rPr>
        <w:t>6.2.1  定株间苗</w:t>
      </w:r>
      <w:r>
        <w:tab/>
      </w:r>
      <w:r>
        <w:fldChar w:fldCharType="begin"/>
      </w:r>
      <w:r>
        <w:instrText xml:space="preserve"> PAGEREF _Toc168558701 \h </w:instrText>
      </w:r>
      <w:r>
        <w:fldChar w:fldCharType="separate"/>
      </w:r>
      <w:r>
        <w:t>2</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"_Toc168558702" </w:instrText>
      </w:r>
      <w:r>
        <w:fldChar w:fldCharType="separate"/>
      </w:r>
      <w:r>
        <w:rPr>
          <w:rStyle w:val="32"/>
        </w:rPr>
        <w:t>6.2.2  抚育间伐</w:t>
      </w:r>
      <w:r>
        <w:tab/>
      </w:r>
      <w:r>
        <w:fldChar w:fldCharType="begin"/>
      </w:r>
      <w:r>
        <w:instrText xml:space="preserve"> PAGEREF _Toc168558702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"_Toc168558703" </w:instrText>
      </w:r>
      <w:r>
        <w:fldChar w:fldCharType="separate"/>
      </w:r>
      <w:r>
        <w:rPr>
          <w:rStyle w:val="32"/>
        </w:rPr>
        <w:t>6.2.3  封育管理</w:t>
      </w:r>
      <w:r>
        <w:tab/>
      </w:r>
      <w:r>
        <w:fldChar w:fldCharType="begin"/>
      </w:r>
      <w:r>
        <w:instrText xml:space="preserve"> PAGEREF _Toc168558703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"_Toc168558704" </w:instrText>
      </w:r>
      <w:r>
        <w:fldChar w:fldCharType="separate"/>
      </w:r>
      <w:r>
        <w:rPr>
          <w:rStyle w:val="32"/>
          <w14:scene3d>
            <w14:lightRig w14:rig="threePt" w14:dir="t">
              <w14:rot w14:lat="0" w14:lon="0" w14:rev="0"/>
            </w14:lightRig>
          </w14:scene3d>
        </w:rPr>
        <w:t xml:space="preserve">6.3 </w:t>
      </w:r>
      <w:r>
        <w:rPr>
          <w:rStyle w:val="32"/>
        </w:rPr>
        <w:t xml:space="preserve"> 低效固碳林改造</w:t>
      </w:r>
      <w:r>
        <w:tab/>
      </w:r>
      <w:r>
        <w:fldChar w:fldCharType="begin"/>
      </w:r>
      <w:r>
        <w:instrText xml:space="preserve"> PAGEREF _Toc168558704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"_Toc168558705" </w:instrText>
      </w:r>
      <w:r>
        <w:fldChar w:fldCharType="separate"/>
      </w:r>
      <w:r>
        <w:rPr>
          <w:rStyle w:val="32"/>
          <w14:scene3d>
            <w14:lightRig w14:rig="threePt" w14:dir="t">
              <w14:rot w14:lat="0" w14:lon="0" w14:rev="0"/>
            </w14:lightRig>
          </w14:scene3d>
        </w:rPr>
        <w:t xml:space="preserve">6.4 </w:t>
      </w:r>
      <w:r>
        <w:rPr>
          <w:rStyle w:val="32"/>
        </w:rPr>
        <w:t xml:space="preserve"> 成熟林、过熟林更新</w:t>
      </w:r>
      <w:r>
        <w:tab/>
      </w:r>
      <w:r>
        <w:fldChar w:fldCharType="begin"/>
      </w:r>
      <w:r>
        <w:instrText xml:space="preserve"> PAGEREF _Toc168558705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"_Toc168558706" </w:instrText>
      </w:r>
      <w:r>
        <w:fldChar w:fldCharType="separate"/>
      </w:r>
      <w:r>
        <w:rPr>
          <w:rStyle w:val="32"/>
          <w14:scene3d>
            <w14:lightRig w14:rig="threePt" w14:dir="t">
              <w14:rot w14:lat="0" w14:lon="0" w14:rev="0"/>
            </w14:lightRig>
          </w14:scene3d>
        </w:rPr>
        <w:t xml:space="preserve">6.5 </w:t>
      </w:r>
      <w:r>
        <w:rPr>
          <w:rStyle w:val="32"/>
        </w:rPr>
        <w:t xml:space="preserve"> 减排管护</w:t>
      </w:r>
      <w:r>
        <w:tab/>
      </w:r>
      <w:r>
        <w:fldChar w:fldCharType="begin"/>
      </w:r>
      <w:r>
        <w:instrText xml:space="preserve"> PAGEREF _Toc168558706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"_Toc168558707" </w:instrText>
      </w:r>
      <w:r>
        <w:fldChar w:fldCharType="separate"/>
      </w:r>
      <w:r>
        <w:rPr>
          <w:rStyle w:val="32"/>
        </w:rPr>
        <w:t>6.5.1  林地土壤管理</w:t>
      </w:r>
      <w:r>
        <w:tab/>
      </w:r>
      <w:r>
        <w:fldChar w:fldCharType="begin"/>
      </w:r>
      <w:r>
        <w:instrText xml:space="preserve"> PAGEREF _Toc168558707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"_Toc168558708" </w:instrText>
      </w:r>
      <w:r>
        <w:fldChar w:fldCharType="separate"/>
      </w:r>
      <w:r>
        <w:rPr>
          <w:rStyle w:val="32"/>
        </w:rPr>
        <w:t>6.5.2  人为活动监控</w:t>
      </w:r>
      <w:r>
        <w:tab/>
      </w:r>
      <w:r>
        <w:fldChar w:fldCharType="begin"/>
      </w:r>
      <w:r>
        <w:instrText xml:space="preserve"> PAGEREF _Toc168558708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"_Toc168558709" </w:instrText>
      </w:r>
      <w:r>
        <w:fldChar w:fldCharType="separate"/>
      </w:r>
      <w:r>
        <w:rPr>
          <w:rStyle w:val="32"/>
          <w14:scene3d>
            <w14:lightRig w14:rig="threePt" w14:dir="t">
              <w14:rot w14:lat="0" w14:lon="0" w14:rev="0"/>
            </w14:lightRig>
          </w14:scene3d>
        </w:rPr>
        <w:t xml:space="preserve">6.6 </w:t>
      </w:r>
      <w:r>
        <w:rPr>
          <w:rStyle w:val="32"/>
        </w:rPr>
        <w:t xml:space="preserve"> 灾害预防</w:t>
      </w:r>
      <w:r>
        <w:tab/>
      </w:r>
      <w:r>
        <w:fldChar w:fldCharType="begin"/>
      </w:r>
      <w:r>
        <w:instrText xml:space="preserve"> PAGEREF _Toc168558709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"_Toc168558710" </w:instrText>
      </w:r>
      <w:r>
        <w:fldChar w:fldCharType="separate"/>
      </w:r>
      <w:r>
        <w:rPr>
          <w:rStyle w:val="32"/>
        </w:rPr>
        <w:t>7  档案管理</w:t>
      </w:r>
      <w:r>
        <w:tab/>
      </w:r>
      <w:r>
        <w:fldChar w:fldCharType="begin"/>
      </w:r>
      <w:r>
        <w:instrText xml:space="preserve"> PAGEREF _Toc168558710 \h </w:instrText>
      </w:r>
      <w:r>
        <w:fldChar w:fldCharType="separate"/>
      </w:r>
      <w:r>
        <w:t>4</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8558686"/>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230"/>
        <w:ind w:firstLine="420" w:firstLineChars="200"/>
      </w:pPr>
      <w:r>
        <w:rPr>
          <w:rFonts w:hint="eastAsia"/>
        </w:rPr>
        <w:t>本文件起草单位：</w:t>
      </w:r>
      <w:r>
        <w:rPr>
          <w:rFonts w:hint="eastAsia" w:ascii="宋体" w:hAnsi="宋体"/>
        </w:rPr>
        <w:t>包头市林业和草原工作站、内蒙古农业大学、包头市检验检测中心、内蒙古自治区林业和草原种苗总站、包头市林业和草原局</w:t>
      </w:r>
      <w:bookmarkStart w:id="91" w:name="_GoBack"/>
      <w:bookmarkEnd w:id="91"/>
      <w:r>
        <w:rPr>
          <w:rFonts w:hint="eastAsia" w:ascii="宋体" w:hAnsi="宋体"/>
        </w:rPr>
        <w:t>。</w:t>
      </w:r>
    </w:p>
    <w:p>
      <w:pPr>
        <w:pStyle w:val="230"/>
        <w:ind w:firstLine="420" w:firstLineChars="200"/>
      </w:pPr>
      <w:r>
        <w:rPr>
          <w:rFonts w:hint="eastAsia"/>
        </w:rPr>
        <w:t>本文件主要起草人：</w:t>
      </w:r>
      <w:r>
        <w:rPr>
          <w:rFonts w:hint="eastAsia" w:ascii="宋体" w:hAnsi="宋体"/>
        </w:rPr>
        <w:t>韩淑敏、高润红、翁靖韬、王石塄、田丰、陶格斯，李茂森、张文英、吴乐、谢金君、冀鹏浩、冯小东、张瑞、吕整荣、姚瑶、任超伟、白钢。</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1AC1E51D896F4E779E31009BBB493A28"/>
        </w:placeholder>
      </w:sdtPr>
      <w:sdtContent>
        <w:p>
          <w:pPr>
            <w:pStyle w:val="177"/>
            <w:spacing w:before="312" w:beforeLines="100" w:after="686" w:afterLines="220"/>
          </w:pPr>
          <w:bookmarkStart w:id="26" w:name="NEW_STAND_NAME"/>
          <w:r>
            <w:rPr>
              <w:rFonts w:hint="eastAsia"/>
            </w:rPr>
            <w:t>包头地区森林增汇技术规程</w:t>
          </w:r>
        </w:p>
      </w:sdtContent>
    </w:sdt>
    <w:bookmarkEnd w:id="26"/>
    <w:p>
      <w:pPr>
        <w:pStyle w:val="104"/>
        <w:spacing w:before="312" w:after="312"/>
      </w:pPr>
      <w:bookmarkStart w:id="27" w:name="_Toc17233325"/>
      <w:bookmarkStart w:id="28" w:name="_Toc168558687"/>
      <w:bookmarkStart w:id="29" w:name="_Toc97191423"/>
      <w:bookmarkStart w:id="30" w:name="_Toc17233333"/>
      <w:bookmarkStart w:id="31" w:name="_Toc26648465"/>
      <w:bookmarkStart w:id="32" w:name="_Toc24884218"/>
      <w:bookmarkStart w:id="33" w:name="_Toc155604497"/>
      <w:bookmarkStart w:id="34" w:name="_Toc26986530"/>
      <w:bookmarkStart w:id="35" w:name="_Toc26986771"/>
      <w:bookmarkStart w:id="36" w:name="_Toc24884211"/>
      <w:bookmarkStart w:id="37" w:name="_Toc26718930"/>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6"/>
        <w:ind w:firstLine="420"/>
      </w:pPr>
      <w:bookmarkStart w:id="38" w:name="_Toc17233334"/>
      <w:bookmarkStart w:id="39" w:name="_Toc24884212"/>
      <w:bookmarkStart w:id="40" w:name="_Toc17233326"/>
      <w:bookmarkStart w:id="41" w:name="_Toc24884219"/>
      <w:bookmarkStart w:id="42" w:name="_Toc26648466"/>
      <w:r>
        <w:rPr>
          <w:rFonts w:hint="eastAsia"/>
        </w:rPr>
        <w:t xml:space="preserve">本标准规定了森林固碳增汇经营的基本原则、经营方案编制、经营技术与档案管理等技术内容。 </w:t>
      </w:r>
    </w:p>
    <w:p>
      <w:pPr>
        <w:pStyle w:val="56"/>
        <w:ind w:firstLine="420"/>
      </w:pPr>
      <w:r>
        <w:rPr>
          <w:rFonts w:hint="eastAsia"/>
        </w:rPr>
        <w:t>本标准适用于包头地区主要森林类型的人工及天然起源林分的增汇经营。</w:t>
      </w:r>
    </w:p>
    <w:p>
      <w:pPr>
        <w:pStyle w:val="104"/>
        <w:spacing w:before="312" w:after="312"/>
      </w:pPr>
      <w:bookmarkStart w:id="43" w:name="_Toc26718931"/>
      <w:bookmarkStart w:id="44" w:name="_Toc155604498"/>
      <w:bookmarkStart w:id="45" w:name="_Toc26986772"/>
      <w:bookmarkStart w:id="46" w:name="_Toc26986531"/>
      <w:bookmarkStart w:id="47" w:name="_Toc97191424"/>
      <w:bookmarkStart w:id="48" w:name="_Toc168558688"/>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50AE608A23754ECE8281A4DE105DDB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autoSpaceDE w:val="0"/>
        <w:autoSpaceDN w:val="0"/>
        <w:ind w:firstLine="420" w:firstLineChars="200"/>
        <w:rPr>
          <w:rFonts w:ascii="Times New Roman" w:hAnsi="Times New Roman"/>
          <w:kern w:val="0"/>
        </w:rPr>
      </w:pPr>
      <w:r>
        <w:rPr>
          <w:rFonts w:ascii="Times New Roman" w:hAnsi="Times New Roman"/>
          <w:kern w:val="0"/>
        </w:rPr>
        <w:t xml:space="preserve">GB/T 15781 </w:t>
      </w:r>
      <w:r>
        <w:rPr>
          <w:rFonts w:ascii="宋体" w:hAnsi="宋体"/>
          <w:kern w:val="0"/>
        </w:rPr>
        <w:t xml:space="preserve">森林抚育规程 </w:t>
      </w:r>
    </w:p>
    <w:p>
      <w:pPr>
        <w:widowControl/>
        <w:autoSpaceDE w:val="0"/>
        <w:autoSpaceDN w:val="0"/>
        <w:ind w:firstLine="420" w:firstLineChars="200"/>
        <w:rPr>
          <w:rFonts w:ascii="Times New Roman" w:hAnsi="Times New Roman"/>
          <w:kern w:val="0"/>
        </w:rPr>
      </w:pPr>
      <w:r>
        <w:rPr>
          <w:rFonts w:ascii="Times New Roman" w:hAnsi="Times New Roman"/>
          <w:kern w:val="0"/>
        </w:rPr>
        <w:t xml:space="preserve">LY/T 1646 </w:t>
      </w:r>
      <w:r>
        <w:rPr>
          <w:rFonts w:ascii="宋体" w:hAnsi="宋体"/>
          <w:kern w:val="0"/>
        </w:rPr>
        <w:t xml:space="preserve">森林采伐作业规程 </w:t>
      </w:r>
    </w:p>
    <w:p>
      <w:pPr>
        <w:widowControl/>
        <w:autoSpaceDE w:val="0"/>
        <w:autoSpaceDN w:val="0"/>
        <w:ind w:firstLine="420" w:firstLineChars="200"/>
        <w:rPr>
          <w:rFonts w:ascii="宋体" w:hAnsi="宋体"/>
          <w:kern w:val="0"/>
        </w:rPr>
      </w:pPr>
      <w:r>
        <w:rPr>
          <w:rFonts w:ascii="Times New Roman" w:hAnsi="Times New Roman"/>
          <w:kern w:val="0"/>
        </w:rPr>
        <w:t xml:space="preserve">LY/T 2252 </w:t>
      </w:r>
      <w:r>
        <w:rPr>
          <w:rFonts w:ascii="宋体" w:hAnsi="宋体"/>
          <w:kern w:val="0"/>
        </w:rPr>
        <w:t xml:space="preserve">碳汇造林技术规程 </w:t>
      </w:r>
    </w:p>
    <w:p>
      <w:pPr>
        <w:widowControl/>
        <w:autoSpaceDE w:val="0"/>
        <w:autoSpaceDN w:val="0"/>
        <w:ind w:firstLine="420" w:firstLineChars="200"/>
        <w:rPr>
          <w:rFonts w:ascii="Times New Roman" w:hAnsi="Times New Roman"/>
          <w:kern w:val="0"/>
        </w:rPr>
      </w:pPr>
      <w:r>
        <w:rPr>
          <w:rFonts w:hint="eastAsia" w:ascii="Times New Roman" w:hAnsi="Times New Roman"/>
          <w:kern w:val="0"/>
        </w:rPr>
        <w:t>DB 1502/T 022 森林碳汇调查与监测技术规程</w:t>
      </w:r>
    </w:p>
    <w:p>
      <w:pPr>
        <w:pStyle w:val="104"/>
        <w:spacing w:before="312" w:after="312"/>
      </w:pPr>
      <w:bookmarkStart w:id="49" w:name="_Toc155604499"/>
      <w:bookmarkStart w:id="50" w:name="_Toc97191425"/>
      <w:bookmarkStart w:id="51" w:name="_Toc168558689"/>
      <w:r>
        <w:rPr>
          <w:rFonts w:hint="eastAsia"/>
          <w:szCs w:val="21"/>
        </w:rPr>
        <w:t>术语和定义</w:t>
      </w:r>
      <w:bookmarkEnd w:id="49"/>
      <w:bookmarkEnd w:id="50"/>
      <w:bookmarkEnd w:id="51"/>
    </w:p>
    <w:sdt>
      <w:sdtPr>
        <w:id w:val="-1909835108"/>
        <w:placeholder>
          <w:docPart w:val="C05117C20CB14E72B865E88E416BD3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2" w:name="_Toc26986532"/>
          <w:bookmarkEnd w:id="52"/>
          <w:r>
            <w:t>下列术语和定义适用于本文件。</w:t>
          </w:r>
        </w:p>
      </w:sdtContent>
    </w:sdt>
    <w:p>
      <w:pPr>
        <w:pStyle w:val="105"/>
        <w:spacing w:before="156" w:after="156"/>
      </w:pPr>
      <w:bookmarkStart w:id="53" w:name="_Toc168558690"/>
      <w:bookmarkEnd w:id="53"/>
      <w:bookmarkStart w:id="54" w:name="_Toc155604500"/>
      <w:bookmarkEnd w:id="54"/>
    </w:p>
    <w:p>
      <w:pPr>
        <w:pStyle w:val="223"/>
        <w:numPr>
          <w:ilvl w:val="0"/>
          <w:numId w:val="0"/>
        </w:numPr>
        <w:ind w:left="420"/>
        <w:rPr>
          <w:rFonts w:ascii="黑体" w:hAnsi="黑体" w:eastAsia="黑体"/>
          <w:szCs w:val="21"/>
        </w:rPr>
      </w:pPr>
      <w:r>
        <w:rPr>
          <w:rFonts w:hint="eastAsia" w:ascii="黑体" w:hAnsi="黑体" w:eastAsia="黑体"/>
        </w:rPr>
        <w:t>森林碳汇 forest carbon sequestration</w:t>
      </w:r>
    </w:p>
    <w:p>
      <w:pPr>
        <w:pStyle w:val="56"/>
        <w:ind w:firstLine="420"/>
      </w:pPr>
      <w:r>
        <w:rPr>
          <w:rFonts w:hint="eastAsia" w:hAnsi="宋体"/>
        </w:rPr>
        <w:t>森林植物通过光合作用吸收大气中的二氧化碳将其固定在森林植被和土壤中的碳的积累量。</w:t>
      </w:r>
    </w:p>
    <w:p>
      <w:pPr>
        <w:pStyle w:val="105"/>
        <w:spacing w:before="156" w:after="156"/>
      </w:pPr>
      <w:bookmarkStart w:id="55" w:name="_Toc155604501"/>
      <w:bookmarkEnd w:id="55"/>
      <w:bookmarkStart w:id="56" w:name="_Toc168558691"/>
      <w:bookmarkEnd w:id="56"/>
    </w:p>
    <w:p>
      <w:pPr>
        <w:pStyle w:val="56"/>
        <w:ind w:firstLine="420"/>
        <w:rPr>
          <w:rFonts w:ascii="黑体" w:hAnsi="黑体" w:eastAsia="黑体"/>
        </w:rPr>
      </w:pPr>
      <w:r>
        <w:rPr>
          <w:rFonts w:hint="eastAsia" w:ascii="黑体" w:hAnsi="黑体" w:eastAsia="黑体"/>
        </w:rPr>
        <w:t>本底调查 background survey</w:t>
      </w:r>
    </w:p>
    <w:p>
      <w:pPr>
        <w:pStyle w:val="56"/>
        <w:ind w:firstLine="420"/>
      </w:pPr>
      <w:r>
        <w:rPr>
          <w:rFonts w:hint="eastAsia"/>
        </w:rPr>
        <w:t>为掌握森林在固碳增汇经营活动实施前林分的基本特征，针对森林植被与土壤、水文、气象等基本 环境因子所开展的调查活动。</w:t>
      </w:r>
    </w:p>
    <w:p>
      <w:pPr>
        <w:pStyle w:val="105"/>
        <w:spacing w:before="156" w:after="156"/>
      </w:pPr>
      <w:bookmarkStart w:id="57" w:name="_Toc168558692"/>
      <w:bookmarkEnd w:id="57"/>
      <w:bookmarkStart w:id="58" w:name="_Toc155604502"/>
      <w:bookmarkEnd w:id="58"/>
    </w:p>
    <w:p>
      <w:pPr>
        <w:pStyle w:val="56"/>
        <w:ind w:firstLine="420"/>
        <w:rPr>
          <w:rFonts w:ascii="黑体" w:hAnsi="黑体" w:eastAsia="黑体"/>
        </w:rPr>
      </w:pPr>
      <w:r>
        <w:rPr>
          <w:rFonts w:hint="eastAsia" w:ascii="黑体" w:hAnsi="黑体" w:eastAsia="黑体"/>
        </w:rPr>
        <w:t>低效固碳林 low production carbon sequestration forest</w:t>
      </w:r>
    </w:p>
    <w:p>
      <w:pPr>
        <w:pStyle w:val="56"/>
        <w:ind w:firstLine="420"/>
      </w:pPr>
      <w:r>
        <w:rPr>
          <w:rFonts w:hint="eastAsia"/>
        </w:rPr>
        <w:t>受人为或自然因素的影响，林分结构和稳定性失调，林木生长发育逐渐衰竭，系统功能逐步退化或 丧失，导致碳汇功能低于同类立地条件下平均水平的林分。</w:t>
      </w:r>
    </w:p>
    <w:p>
      <w:pPr>
        <w:pStyle w:val="105"/>
        <w:spacing w:before="156" w:after="156"/>
      </w:pPr>
      <w:bookmarkStart w:id="59" w:name="_Toc155604503"/>
      <w:bookmarkEnd w:id="59"/>
      <w:bookmarkStart w:id="60" w:name="_Toc168558693"/>
      <w:bookmarkEnd w:id="60"/>
    </w:p>
    <w:p>
      <w:pPr>
        <w:pStyle w:val="56"/>
        <w:ind w:firstLine="420"/>
        <w:rPr>
          <w:rFonts w:ascii="黑体" w:hAnsi="黑体" w:eastAsia="黑体"/>
        </w:rPr>
      </w:pPr>
      <w:r>
        <w:rPr>
          <w:rFonts w:hint="eastAsia" w:ascii="黑体" w:hAnsi="黑体" w:eastAsia="黑体"/>
        </w:rPr>
        <w:t>森林固碳增汇经营 management of forest carbon sequestration</w:t>
      </w:r>
    </w:p>
    <w:p>
      <w:pPr>
        <w:pStyle w:val="56"/>
        <w:ind w:firstLine="420"/>
      </w:pPr>
      <w:r>
        <w:rPr>
          <w:rFonts w:hint="eastAsia"/>
        </w:rPr>
        <w:t>又称森林增汇经营,是指为了吸收和固定大气中的二氧化碳、减少该气体在大气中的浓度而进行的 植树绿化、加强森林经营管理、保护和恢复森林植被等活动。</w:t>
      </w:r>
    </w:p>
    <w:p>
      <w:pPr>
        <w:pStyle w:val="104"/>
        <w:spacing w:before="312" w:after="312"/>
      </w:pPr>
      <w:bookmarkStart w:id="61" w:name="_Toc155604504"/>
      <w:bookmarkStart w:id="62" w:name="_Toc168558694"/>
      <w:r>
        <w:rPr>
          <w:rFonts w:hint="eastAsia"/>
        </w:rPr>
        <w:t>基本原则</w:t>
      </w:r>
      <w:bookmarkEnd w:id="61"/>
      <w:bookmarkEnd w:id="62"/>
    </w:p>
    <w:p>
      <w:pPr>
        <w:pStyle w:val="56"/>
        <w:ind w:firstLine="420"/>
        <w:rPr>
          <w:szCs w:val="21"/>
        </w:rPr>
      </w:pPr>
      <w:r>
        <w:rPr>
          <w:rFonts w:hint="eastAsia" w:hAnsi="宋体"/>
        </w:rPr>
        <w:t>本标准坚持以下原则：</w:t>
      </w:r>
    </w:p>
    <w:p>
      <w:pPr>
        <w:pStyle w:val="56"/>
        <w:ind w:firstLine="420"/>
      </w:pPr>
      <w:r>
        <w:rPr>
          <w:rFonts w:hint="eastAsia" w:hAnsi="宋体"/>
        </w:rPr>
        <w:t>保护现有碳库，减少碳排放与碳泄漏；</w:t>
      </w:r>
      <w:r>
        <w:rPr>
          <w:rFonts w:hint="eastAsia"/>
        </w:rPr>
        <w:t xml:space="preserve"> </w:t>
      </w:r>
    </w:p>
    <w:p>
      <w:pPr>
        <w:pStyle w:val="56"/>
        <w:ind w:firstLine="420"/>
      </w:pPr>
      <w:r>
        <w:rPr>
          <w:rFonts w:hint="eastAsia" w:hAnsi="宋体"/>
        </w:rPr>
        <w:t>坚持适地适树，注重科学合理化经营；</w:t>
      </w:r>
    </w:p>
    <w:p>
      <w:pPr>
        <w:pStyle w:val="56"/>
        <w:ind w:firstLine="420"/>
      </w:pPr>
      <w:r>
        <w:rPr>
          <w:rFonts w:hint="eastAsia" w:hAnsi="宋体"/>
        </w:rPr>
        <w:t>提升碳汇为主，兼顾各种效益的发挥；</w:t>
      </w:r>
    </w:p>
    <w:p>
      <w:pPr>
        <w:pStyle w:val="56"/>
        <w:ind w:firstLine="420"/>
      </w:pPr>
      <w:r>
        <w:rPr>
          <w:rFonts w:hint="eastAsia" w:hAnsi="宋体"/>
        </w:rPr>
        <w:t>开展有效维护，保障经营成果持续性。</w:t>
      </w:r>
    </w:p>
    <w:p>
      <w:pPr>
        <w:pStyle w:val="104"/>
        <w:spacing w:before="312" w:after="312"/>
      </w:pPr>
      <w:bookmarkStart w:id="63" w:name="_Toc168558695"/>
      <w:bookmarkStart w:id="64" w:name="_Toc155604505"/>
      <w:r>
        <w:rPr>
          <w:rFonts w:hint="eastAsia"/>
        </w:rPr>
        <w:t>经营编制方案</w:t>
      </w:r>
      <w:bookmarkEnd w:id="63"/>
      <w:bookmarkEnd w:id="64"/>
    </w:p>
    <w:p>
      <w:pPr>
        <w:pStyle w:val="105"/>
        <w:spacing w:before="156" w:after="156"/>
      </w:pPr>
      <w:bookmarkStart w:id="65" w:name="_Toc168558696"/>
      <w:bookmarkStart w:id="66" w:name="_Toc155604506"/>
      <w:r>
        <w:rPr>
          <w:rFonts w:hint="eastAsia"/>
        </w:rPr>
        <w:t>调查内容</w:t>
      </w:r>
      <w:bookmarkEnd w:id="65"/>
      <w:bookmarkEnd w:id="66"/>
    </w:p>
    <w:p>
      <w:pPr>
        <w:pStyle w:val="56"/>
        <w:ind w:firstLine="420"/>
      </w:pPr>
      <w:r>
        <w:rPr>
          <w:rFonts w:hint="eastAsia"/>
        </w:rPr>
        <w:t>样地本底调查按照</w:t>
      </w:r>
      <w:r>
        <w:rPr>
          <w:rFonts w:hint="eastAsia" w:ascii="Times New Roman"/>
        </w:rPr>
        <w:t>DB 1502/T 022</w:t>
      </w:r>
      <w:r>
        <w:rPr>
          <w:rFonts w:ascii="Times New Roman"/>
        </w:rPr>
        <w:t xml:space="preserve"> </w:t>
      </w:r>
      <w:r>
        <w:rPr>
          <w:rFonts w:hint="eastAsia" w:ascii="Times New Roman"/>
        </w:rPr>
        <w:t>中调查与监测方法进行。</w:t>
      </w:r>
    </w:p>
    <w:p>
      <w:pPr>
        <w:pStyle w:val="105"/>
        <w:spacing w:before="156" w:after="156"/>
      </w:pPr>
      <w:bookmarkStart w:id="67" w:name="_Toc155604507"/>
      <w:bookmarkStart w:id="68" w:name="_Toc168558697"/>
      <w:r>
        <w:rPr>
          <w:rFonts w:hint="eastAsia"/>
        </w:rPr>
        <w:t>经营规划设计</w:t>
      </w:r>
      <w:bookmarkEnd w:id="67"/>
      <w:bookmarkEnd w:id="68"/>
    </w:p>
    <w:p>
      <w:pPr>
        <w:pStyle w:val="56"/>
        <w:ind w:firstLine="420"/>
      </w:pPr>
      <w:r>
        <w:rPr>
          <w:rFonts w:hint="eastAsia"/>
        </w:rPr>
        <w:t>针对补植补造、更新造林、抚育采伐、低效固碳林改造等森林固碳增汇经营措施分类进行规划设计。</w:t>
      </w:r>
    </w:p>
    <w:p>
      <w:pPr>
        <w:pStyle w:val="56"/>
        <w:ind w:firstLine="420"/>
      </w:pPr>
      <w:r>
        <w:rPr>
          <w:rFonts w:hint="eastAsia"/>
        </w:rPr>
        <w:t>充分考虑有利于地力维护的培肥技术、采伐要求等保护对策，提倡培育阔叶林和混交林。水土流失严重地区在补植补造、采伐更新作业时，采取土壤水肥保持措施。</w:t>
      </w:r>
    </w:p>
    <w:p>
      <w:pPr>
        <w:pStyle w:val="56"/>
        <w:ind w:firstLine="420"/>
      </w:pPr>
      <w:r>
        <w:rPr>
          <w:rFonts w:hint="eastAsia"/>
        </w:rPr>
        <w:t>森林防火规划应重点区划森林火险等级，制定森林防火布控与应急预案，规划森林扑火队伍、装备和基础设施。</w:t>
      </w:r>
    </w:p>
    <w:p>
      <w:pPr>
        <w:pStyle w:val="56"/>
        <w:ind w:firstLine="420"/>
      </w:pPr>
      <w:r>
        <w:rPr>
          <w:rFonts w:hint="eastAsia"/>
        </w:rPr>
        <w:t>林业有害生物防控以营造林防控为主，辅以生物防治和抗性育种措施。重点规划预测预报系统与监测预警体系、防治检疫站点与检疫体系，制定林业有害生物和疫源疫病防控预案。</w:t>
      </w:r>
    </w:p>
    <w:p>
      <w:pPr>
        <w:pStyle w:val="56"/>
        <w:ind w:firstLine="420"/>
      </w:pPr>
      <w:r>
        <w:rPr>
          <w:rFonts w:hint="eastAsia"/>
        </w:rPr>
        <w:t>根据森林固碳增汇经营实际需要和建设能力规划设计基础设施，包括：林道、林地水利及其他营林配套基础设施等。</w:t>
      </w:r>
    </w:p>
    <w:p>
      <w:pPr>
        <w:pStyle w:val="104"/>
        <w:spacing w:before="312" w:after="312"/>
      </w:pPr>
      <w:bookmarkStart w:id="69" w:name="_Toc168558698"/>
      <w:bookmarkStart w:id="70" w:name="_Toc155604508"/>
      <w:r>
        <w:rPr>
          <w:rFonts w:hint="eastAsia"/>
        </w:rPr>
        <w:t>增汇技术</w:t>
      </w:r>
      <w:bookmarkEnd w:id="69"/>
      <w:bookmarkEnd w:id="70"/>
    </w:p>
    <w:p>
      <w:pPr>
        <w:pStyle w:val="105"/>
        <w:spacing w:before="156" w:after="156"/>
      </w:pPr>
      <w:bookmarkStart w:id="71" w:name="_Toc168558699"/>
      <w:bookmarkStart w:id="72" w:name="_Toc155604509"/>
      <w:r>
        <w:rPr>
          <w:rFonts w:hint="eastAsia"/>
        </w:rPr>
        <w:t>补植补造</w:t>
      </w:r>
      <w:bookmarkEnd w:id="71"/>
      <w:bookmarkEnd w:id="72"/>
    </w:p>
    <w:p>
      <w:pPr>
        <w:pStyle w:val="56"/>
        <w:ind w:firstLine="420"/>
      </w:pPr>
      <w:r>
        <w:rPr>
          <w:rFonts w:hint="eastAsia"/>
        </w:rPr>
        <w:t>主要适用于林分郁闭度 0.5 以下的针叶纯林、林相残破的林分、造林不合格的林分或火烧迹地、自然灾害受损林分、采伐迹地、病虫危害迹地等。</w:t>
      </w:r>
    </w:p>
    <w:p>
      <w:pPr>
        <w:pStyle w:val="56"/>
        <w:ind w:firstLine="420"/>
      </w:pPr>
      <w:r>
        <w:rPr>
          <w:rFonts w:hint="eastAsia"/>
        </w:rPr>
        <w:t>补植补造后应能形成不同树种镶嵌分布的混交群落。补植后的林分郁闭度应控制在 0.6</w:t>
      </w:r>
      <w:r>
        <w:t>~</w:t>
      </w:r>
      <w:r>
        <w:rPr>
          <w:rFonts w:hint="eastAsia"/>
        </w:rPr>
        <w:t>0.8。</w:t>
      </w:r>
    </w:p>
    <w:p>
      <w:pPr>
        <w:pStyle w:val="56"/>
        <w:ind w:firstLine="420"/>
      </w:pPr>
      <w:r>
        <w:rPr>
          <w:rFonts w:hint="eastAsia"/>
        </w:rPr>
        <w:t>在林地调查的基础上，以乡土树种为主选择适宜本地区的固碳能力强的树种。</w:t>
      </w:r>
    </w:p>
    <w:p>
      <w:pPr>
        <w:pStyle w:val="56"/>
        <w:ind w:firstLine="420"/>
      </w:pPr>
      <w:r>
        <w:rPr>
          <w:rFonts w:hint="eastAsia"/>
        </w:rPr>
        <w:t>以人工植苗为主，裸根苗木栽植前应对苗木根部进行浸水，栽植时应做到栽正、栽紧、舒根、不吊空，栽植后及时浇水覆土。在条件适宜的情况下，可采取人工播种造林。春、雨、秋季均可，宜选择在春季和雨季集中进行。</w:t>
      </w:r>
    </w:p>
    <w:p>
      <w:pPr>
        <w:pStyle w:val="56"/>
        <w:ind w:firstLine="420"/>
      </w:pPr>
      <w:r>
        <w:rPr>
          <w:rFonts w:hint="eastAsia"/>
        </w:rPr>
        <w:t>补植补造后 3 年内，应采取浇水、扩堰、立支架、垒树盘、清除杂草灌木、落叶乔木树干涂白、有害生物防治等养护管理措施。灌溉应根据林地的实际情况采用节水灌溉技术，禁止漫灌。</w:t>
      </w:r>
    </w:p>
    <w:p>
      <w:pPr>
        <w:pStyle w:val="105"/>
        <w:spacing w:before="156" w:after="156"/>
      </w:pPr>
      <w:bookmarkStart w:id="73" w:name="_Toc168558700"/>
      <w:bookmarkStart w:id="74" w:name="_Toc155604510"/>
      <w:r>
        <w:rPr>
          <w:rFonts w:hint="eastAsia"/>
        </w:rPr>
        <w:t>抚育增汇</w:t>
      </w:r>
      <w:bookmarkEnd w:id="73"/>
      <w:bookmarkEnd w:id="74"/>
    </w:p>
    <w:p>
      <w:pPr>
        <w:pStyle w:val="65"/>
        <w:spacing w:before="156" w:after="156"/>
      </w:pPr>
      <w:bookmarkStart w:id="75" w:name="_Toc168558701"/>
      <w:r>
        <w:rPr>
          <w:rFonts w:hint="eastAsia"/>
        </w:rPr>
        <w:t>定株间苗</w:t>
      </w:r>
      <w:bookmarkEnd w:id="75"/>
    </w:p>
    <w:p>
      <w:pPr>
        <w:pStyle w:val="56"/>
        <w:ind w:firstLine="420"/>
      </w:pPr>
      <w:r>
        <w:rPr>
          <w:rFonts w:hint="eastAsia"/>
        </w:rPr>
        <w:t>在幼林出现明显营养竞争前，分 1</w:t>
      </w:r>
      <w:r>
        <w:t>~</w:t>
      </w:r>
      <w:r>
        <w:rPr>
          <w:rFonts w:hint="eastAsia"/>
        </w:rPr>
        <w:t>2 次伐除过密的幼树、受害木和多头木，在稀疏地段补植目的 树种。做到保留木分布均匀，不开天窗。定株后，林分郁闭度 不低于 0.7，林分平均胸径不应低于伐前林分平均胸径。</w:t>
      </w:r>
    </w:p>
    <w:p>
      <w:pPr>
        <w:pStyle w:val="65"/>
        <w:spacing w:before="156" w:after="156"/>
      </w:pPr>
      <w:bookmarkStart w:id="76" w:name="_Toc168558702"/>
      <w:r>
        <w:rPr>
          <w:rFonts w:hint="eastAsia"/>
        </w:rPr>
        <w:t>抚育间伐</w:t>
      </w:r>
      <w:bookmarkEnd w:id="76"/>
    </w:p>
    <w:p>
      <w:pPr>
        <w:pStyle w:val="56"/>
        <w:ind w:firstLine="420"/>
      </w:pPr>
      <w:r>
        <w:rPr>
          <w:rFonts w:hint="eastAsia"/>
        </w:rPr>
        <w:t>主要针对密度过大的林分或林分中密度过大的团块，伐除生长较弱、已被危害、影响其它目标树种 或林木生长的被压木、劣质木以及病腐木等。当受害木数量较多时，应适当保留受害较轻的林木，使林 分郁闭度保持在 0.6</w:t>
      </w:r>
      <w:r>
        <w:t>~</w:t>
      </w:r>
      <w:r>
        <w:rPr>
          <w:rFonts w:hint="eastAsia"/>
        </w:rPr>
        <w:t>0.8。</w:t>
      </w:r>
    </w:p>
    <w:p>
      <w:pPr>
        <w:pStyle w:val="65"/>
        <w:spacing w:before="156" w:after="156"/>
      </w:pPr>
      <w:bookmarkStart w:id="77" w:name="_Toc168558703"/>
      <w:r>
        <w:rPr>
          <w:rFonts w:hint="eastAsia"/>
        </w:rPr>
        <w:t>封育管理</w:t>
      </w:r>
      <w:bookmarkEnd w:id="77"/>
    </w:p>
    <w:p>
      <w:pPr>
        <w:pStyle w:val="56"/>
        <w:ind w:firstLine="420"/>
      </w:pPr>
      <w:r>
        <w:rPr>
          <w:rFonts w:hint="eastAsia"/>
        </w:rPr>
        <w:t>加强封育管理，防止人畜破坏，增加植物种类与数量，增加碳储量。</w:t>
      </w:r>
    </w:p>
    <w:p>
      <w:pPr>
        <w:pStyle w:val="105"/>
        <w:spacing w:before="156" w:after="156"/>
      </w:pPr>
      <w:bookmarkStart w:id="78" w:name="_Toc168558704"/>
      <w:bookmarkStart w:id="79" w:name="_Toc155604511"/>
      <w:r>
        <w:rPr>
          <w:rFonts w:hint="eastAsia"/>
        </w:rPr>
        <w:t>低效固碳林改造</w:t>
      </w:r>
      <w:bookmarkEnd w:id="78"/>
      <w:bookmarkEnd w:id="79"/>
    </w:p>
    <w:p>
      <w:pPr>
        <w:pStyle w:val="56"/>
        <w:ind w:firstLine="420"/>
      </w:pPr>
      <w:r>
        <w:rPr>
          <w:rFonts w:hint="eastAsia"/>
        </w:rPr>
        <w:t>主要采用均匀补植或局部补植乡土树种的方式，调整林分结构，提高林分质量，促进林分形成复层 混交异龄林。</w:t>
      </w:r>
    </w:p>
    <w:p>
      <w:pPr>
        <w:pStyle w:val="105"/>
        <w:spacing w:before="156" w:after="156"/>
      </w:pPr>
      <w:bookmarkStart w:id="80" w:name="_Toc168558705"/>
      <w:bookmarkStart w:id="81" w:name="_Toc155604512"/>
      <w:r>
        <w:rPr>
          <w:rFonts w:hint="eastAsia"/>
        </w:rPr>
        <w:t>成熟林、过熟林更新</w:t>
      </w:r>
      <w:bookmarkEnd w:id="80"/>
      <w:bookmarkEnd w:id="81"/>
    </w:p>
    <w:p>
      <w:pPr>
        <w:pStyle w:val="56"/>
        <w:ind w:firstLine="420"/>
      </w:pPr>
      <w:r>
        <w:rPr>
          <w:rFonts w:hint="eastAsia"/>
        </w:rPr>
        <w:t>对成熟林和过熟林，一般采用皆伐或择伐方式进行采伐更新，采伐作业按照 LY/T 1646 的规定执行。 采伐后当年或者次年内应完成更新造林作业，更新抚育按照 GB/T 15781 的规定执行，更新造林按照 LY/T 2252 的规定执行。</w:t>
      </w:r>
    </w:p>
    <w:p>
      <w:pPr>
        <w:pStyle w:val="105"/>
        <w:spacing w:before="156" w:after="156"/>
      </w:pPr>
      <w:bookmarkStart w:id="82" w:name="_Toc168558706"/>
      <w:bookmarkStart w:id="83" w:name="_Toc155604513"/>
      <w:r>
        <w:rPr>
          <w:rFonts w:hint="eastAsia"/>
        </w:rPr>
        <w:t>减排管护</w:t>
      </w:r>
      <w:bookmarkEnd w:id="82"/>
      <w:bookmarkEnd w:id="83"/>
    </w:p>
    <w:p>
      <w:pPr>
        <w:pStyle w:val="65"/>
        <w:spacing w:before="156" w:after="156"/>
      </w:pPr>
      <w:bookmarkStart w:id="84" w:name="_Toc168558707"/>
      <w:r>
        <w:rPr>
          <w:rFonts w:hint="eastAsia"/>
        </w:rPr>
        <w:t>林地土壤管理</w:t>
      </w:r>
      <w:bookmarkEnd w:id="84"/>
    </w:p>
    <w:p>
      <w:pPr>
        <w:pStyle w:val="56"/>
        <w:ind w:firstLine="420"/>
      </w:pPr>
      <w:r>
        <w:rPr>
          <w:rFonts w:hint="eastAsia"/>
        </w:rPr>
        <w:t>采用穴状施肥方式，以就地堆肥为主。把抚育剩余物、枯枝落叶等集中粉碎后施于林地中，或施用 有机肥及其它生物肥料，施肥后覆土盖严，以减少碳排放。禁止施用化肥。</w:t>
      </w:r>
    </w:p>
    <w:p>
      <w:pPr>
        <w:pStyle w:val="56"/>
        <w:ind w:firstLine="420"/>
      </w:pPr>
      <w:r>
        <w:rPr>
          <w:rFonts w:hint="eastAsia"/>
        </w:rPr>
        <w:t>抚育和采伐剩余物、凋落物应保留在林中，保留在山地时应沿等高线摆放，在平地时应集中堆放， 待自然分解后归还林地。林内凋落物量大时，可将凋落物收集后粉碎、腐化后返还林地。严禁将剩余物 和凋落物焚烧或运出林地。</w:t>
      </w:r>
    </w:p>
    <w:p>
      <w:pPr>
        <w:pStyle w:val="65"/>
        <w:spacing w:before="156" w:after="156"/>
      </w:pPr>
      <w:bookmarkStart w:id="85" w:name="_Toc168558708"/>
      <w:r>
        <w:rPr>
          <w:rFonts w:hint="eastAsia"/>
        </w:rPr>
        <w:t>人为活动监控</w:t>
      </w:r>
      <w:bookmarkEnd w:id="85"/>
    </w:p>
    <w:p>
      <w:pPr>
        <w:pStyle w:val="56"/>
        <w:ind w:firstLine="420"/>
      </w:pPr>
      <w:r>
        <w:rPr>
          <w:rFonts w:hint="eastAsia"/>
        </w:rPr>
        <w:t>因抚育、更新、改造等经营措施需要采伐一定数量的林木，应列入采伐限额，按照相关法律法规规 定办理林木采伐许可证。</w:t>
      </w:r>
    </w:p>
    <w:p>
      <w:pPr>
        <w:pStyle w:val="56"/>
        <w:ind w:firstLine="420"/>
      </w:pPr>
      <w:r>
        <w:rPr>
          <w:rFonts w:hint="eastAsia"/>
        </w:rPr>
        <w:t>通过采取综合管护措施，防止乱砍滥伐、乱捕滥猎、乱采滥挖、放牧等人为破坏森林和土壤碳库的 行为发生。除林业辅助生产设施以外，不应在林地内开垦、开矿、采石、筑坟、挖沙取土。</w:t>
      </w:r>
    </w:p>
    <w:p>
      <w:pPr>
        <w:pStyle w:val="56"/>
        <w:ind w:firstLine="420"/>
      </w:pPr>
      <w:r>
        <w:rPr>
          <w:rFonts w:hint="eastAsia"/>
        </w:rPr>
        <w:t>在森林增汇经营项目周期内，不得随意改变林地用途。</w:t>
      </w:r>
    </w:p>
    <w:p>
      <w:pPr>
        <w:pStyle w:val="105"/>
        <w:spacing w:before="156" w:after="156"/>
      </w:pPr>
      <w:bookmarkStart w:id="86" w:name="_Toc168558709"/>
      <w:bookmarkStart w:id="87" w:name="_Toc155604514"/>
      <w:r>
        <w:rPr>
          <w:rFonts w:hint="eastAsia"/>
        </w:rPr>
        <w:t>灾害预防</w:t>
      </w:r>
      <w:bookmarkEnd w:id="86"/>
      <w:bookmarkEnd w:id="87"/>
    </w:p>
    <w:p>
      <w:pPr>
        <w:pStyle w:val="56"/>
        <w:ind w:firstLine="420"/>
      </w:pPr>
      <w:r>
        <w:rPr>
          <w:rFonts w:hint="eastAsia"/>
        </w:rPr>
        <w:t>根据气象预报，结合森林植物物候观测，准确及时地采取抗旱、防涝、防寒、防风等措施，避免、 减少气象灾害引发的碳损失。</w:t>
      </w:r>
    </w:p>
    <w:p>
      <w:pPr>
        <w:pStyle w:val="56"/>
        <w:ind w:firstLine="420"/>
      </w:pPr>
      <w:r>
        <w:rPr>
          <w:rFonts w:hint="eastAsia"/>
        </w:rPr>
        <w:t>加强对森林火灾的预防，降低野火发生的频率和强度。可通过补植补造或改造形成阔叶混交林或针 阔混交林；充分利用河流、湖泊、道路的阻隔作用和建设生物防火带建立完善的林火阻隔体系；建立健全森林火灾管理的组织体系、预测预报体系、监测体系、灾害管理信息指挥体系、灾害救助体系，提高 森林火灾防控实战应对能力。</w:t>
      </w:r>
    </w:p>
    <w:p>
      <w:pPr>
        <w:pStyle w:val="56"/>
        <w:ind w:firstLine="420"/>
      </w:pPr>
      <w:r>
        <w:rPr>
          <w:rFonts w:hint="eastAsia"/>
        </w:rPr>
        <w:t>坚持预防为主、标本兼治，在控灾同时重视生态系统的维护及环境的安全。通过建立和健全森林病 虫害监测预警体系和防治减灾体系，实现森林灾害的可持续控制。严格检疫制度，有效控制外来危害性生物的入侵和对森林的危害。将重大威胁性森林病虫害、外来有害生物和防治难度大、损失严重的病虫害作为重点预防对象。重点采取生物防治措施，有效控制美国白蛾、天牛、松梢螟等毁灭性虫害的发生；以营林措施为主导培育健康森林。在碳汇林培育与经营管理等生产过程中，优先选用乡土树种和抗性强的树种营造混交林，做好中幼林的抚育管理，及时清理病虫木。</w:t>
      </w:r>
    </w:p>
    <w:p>
      <w:pPr>
        <w:pStyle w:val="104"/>
        <w:spacing w:before="312" w:after="312"/>
      </w:pPr>
      <w:bookmarkStart w:id="88" w:name="_Toc155604515"/>
      <w:bookmarkStart w:id="89" w:name="_Toc168558710"/>
      <w:r>
        <w:rPr>
          <w:rFonts w:hint="eastAsia"/>
        </w:rPr>
        <w:t>档案管理</w:t>
      </w:r>
      <w:bookmarkEnd w:id="88"/>
      <w:bookmarkEnd w:id="89"/>
    </w:p>
    <w:p>
      <w:pPr>
        <w:pStyle w:val="56"/>
        <w:ind w:firstLine="420"/>
      </w:pPr>
      <w:r>
        <w:rPr>
          <w:rFonts w:hint="eastAsia"/>
        </w:rPr>
        <w:t>在整个森林增汇经营周期内，工程管理与施工单位应指派专人负责，建立健全项目技术和管理档案。</w:t>
      </w:r>
    </w:p>
    <w:p>
      <w:pPr>
        <w:pStyle w:val="56"/>
        <w:ind w:firstLine="420"/>
      </w:pPr>
      <w:r>
        <w:rPr>
          <w:rFonts w:hint="eastAsia"/>
        </w:rPr>
        <w:t>实施过程中的相关材料应及时归档、长期保存、便于查询。材料主要包括：林地本底调查资料、设计文件和图表、各经营阶段（补植补造、抚育、管护、更新）技术资料、全部建设过程的影像、图片资料、 施工或作业检查验收资料，活动碳排放记录资料，以及各种科学研究资料等。</w:t>
      </w:r>
    </w:p>
    <w:bookmarkEnd w:id="25"/>
    <w:p>
      <w:pPr>
        <w:pStyle w:val="56"/>
        <w:ind w:firstLine="0" w:firstLineChars="0"/>
        <w:jc w:val="center"/>
      </w:pPr>
      <w:bookmarkStart w:id="90"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0Lm4uqqCPF6wuQEI9B1P2bhA86WC4HZUN+JgznAIaRcrd+WxVR7ooOb/Sl6UeSMIPBsqQJVXi0spkpMO2hxzdw==" w:salt="2eDh1yCCXsUs+pX1oaT97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174C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FEB"/>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41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6986"/>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76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C27"/>
    <w:rsid w:val="00176DFD"/>
    <w:rsid w:val="001852C9"/>
    <w:rsid w:val="00190087"/>
    <w:rsid w:val="001913C4"/>
    <w:rsid w:val="0019348F"/>
    <w:rsid w:val="00193A07"/>
    <w:rsid w:val="00194C95"/>
    <w:rsid w:val="00195C34"/>
    <w:rsid w:val="00196EF5"/>
    <w:rsid w:val="001A1A53"/>
    <w:rsid w:val="001A234A"/>
    <w:rsid w:val="001A4CF3"/>
    <w:rsid w:val="001B06E8"/>
    <w:rsid w:val="001B0927"/>
    <w:rsid w:val="001B71D0"/>
    <w:rsid w:val="001B71EE"/>
    <w:rsid w:val="001C04A8"/>
    <w:rsid w:val="001C2C03"/>
    <w:rsid w:val="001C3B67"/>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1AA"/>
    <w:rsid w:val="00202AA4"/>
    <w:rsid w:val="002031F7"/>
    <w:rsid w:val="002040E6"/>
    <w:rsid w:val="0020527B"/>
    <w:rsid w:val="00205F2C"/>
    <w:rsid w:val="00207A88"/>
    <w:rsid w:val="00210B15"/>
    <w:rsid w:val="002142EA"/>
    <w:rsid w:val="002204BB"/>
    <w:rsid w:val="00221B79"/>
    <w:rsid w:val="00221C6B"/>
    <w:rsid w:val="002253A1"/>
    <w:rsid w:val="00225CF8"/>
    <w:rsid w:val="0022794E"/>
    <w:rsid w:val="00233D64"/>
    <w:rsid w:val="0023482A"/>
    <w:rsid w:val="002359CB"/>
    <w:rsid w:val="00243540"/>
    <w:rsid w:val="00244680"/>
    <w:rsid w:val="0024497B"/>
    <w:rsid w:val="0024515B"/>
    <w:rsid w:val="00246021"/>
    <w:rsid w:val="0024666E"/>
    <w:rsid w:val="00247F52"/>
    <w:rsid w:val="00250B25"/>
    <w:rsid w:val="00250BBE"/>
    <w:rsid w:val="002515C2"/>
    <w:rsid w:val="0025194F"/>
    <w:rsid w:val="0025196A"/>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5B8"/>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6D"/>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9DD"/>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27E"/>
    <w:rsid w:val="00452D6B"/>
    <w:rsid w:val="00454484"/>
    <w:rsid w:val="0045517B"/>
    <w:rsid w:val="00463B77"/>
    <w:rsid w:val="00463C7B"/>
    <w:rsid w:val="004644A6"/>
    <w:rsid w:val="004659BD"/>
    <w:rsid w:val="00470775"/>
    <w:rsid w:val="004746B1"/>
    <w:rsid w:val="0047583F"/>
    <w:rsid w:val="00475DE8"/>
    <w:rsid w:val="00481C44"/>
    <w:rsid w:val="00484057"/>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DE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C18"/>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2C4"/>
    <w:rsid w:val="006E51A0"/>
    <w:rsid w:val="006F03A8"/>
    <w:rsid w:val="006F2ACA"/>
    <w:rsid w:val="006F2ADC"/>
    <w:rsid w:val="006F2BFE"/>
    <w:rsid w:val="006F31E9"/>
    <w:rsid w:val="006F6284"/>
    <w:rsid w:val="007002C5"/>
    <w:rsid w:val="00704387"/>
    <w:rsid w:val="00707669"/>
    <w:rsid w:val="00711CBA"/>
    <w:rsid w:val="00711FB5"/>
    <w:rsid w:val="00712A01"/>
    <w:rsid w:val="00714F58"/>
    <w:rsid w:val="007166FA"/>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5F9"/>
    <w:rsid w:val="007959E8"/>
    <w:rsid w:val="00795E9C"/>
    <w:rsid w:val="007A0521"/>
    <w:rsid w:val="007A2E12"/>
    <w:rsid w:val="007A3475"/>
    <w:rsid w:val="007A374B"/>
    <w:rsid w:val="007A4024"/>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70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057"/>
    <w:rsid w:val="009062E6"/>
    <w:rsid w:val="00911BE5"/>
    <w:rsid w:val="00913CA9"/>
    <w:rsid w:val="009145AE"/>
    <w:rsid w:val="009146CE"/>
    <w:rsid w:val="00914CA7"/>
    <w:rsid w:val="00915C3E"/>
    <w:rsid w:val="00915EF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19F"/>
    <w:rsid w:val="009C4CFA"/>
    <w:rsid w:val="009C5070"/>
    <w:rsid w:val="009D112C"/>
    <w:rsid w:val="009D47FA"/>
    <w:rsid w:val="009D4C5B"/>
    <w:rsid w:val="009D50D2"/>
    <w:rsid w:val="009D6BCA"/>
    <w:rsid w:val="009E038E"/>
    <w:rsid w:val="009E0F62"/>
    <w:rsid w:val="009E4A58"/>
    <w:rsid w:val="009E5A2D"/>
    <w:rsid w:val="009E5AB2"/>
    <w:rsid w:val="009E6219"/>
    <w:rsid w:val="009F03B3"/>
    <w:rsid w:val="009F156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014"/>
    <w:rsid w:val="00A36DD1"/>
    <w:rsid w:val="00A4006C"/>
    <w:rsid w:val="00A40091"/>
    <w:rsid w:val="00A4030F"/>
    <w:rsid w:val="00A41C79"/>
    <w:rsid w:val="00A41CB5"/>
    <w:rsid w:val="00A42CDF"/>
    <w:rsid w:val="00A4452E"/>
    <w:rsid w:val="00A4472C"/>
    <w:rsid w:val="00A44E69"/>
    <w:rsid w:val="00A4661E"/>
    <w:rsid w:val="00A46E83"/>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319E"/>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2DA3"/>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511"/>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682"/>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16C7630"/>
    <w:rsid w:val="32CF0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AC1E51D896F4E779E31009BBB493A28"/>
        <w:style w:val=""/>
        <w:category>
          <w:name w:val="常规"/>
          <w:gallery w:val="placeholder"/>
        </w:category>
        <w:types>
          <w:type w:val="bbPlcHdr"/>
        </w:types>
        <w:behaviors>
          <w:behavior w:val="content"/>
        </w:behaviors>
        <w:description w:val=""/>
        <w:guid w:val="{8A7A8002-A594-4A66-86E6-BF5CE02C0120}"/>
      </w:docPartPr>
      <w:docPartBody>
        <w:p>
          <w:pPr>
            <w:pStyle w:val="5"/>
          </w:pPr>
          <w:r>
            <w:rPr>
              <w:rStyle w:val="4"/>
              <w:rFonts w:hint="eastAsia"/>
            </w:rPr>
            <w:t>单击或点击此处输入文字。</w:t>
          </w:r>
        </w:p>
      </w:docPartBody>
    </w:docPart>
    <w:docPart>
      <w:docPartPr>
        <w:name w:val="50AE608A23754ECE8281A4DE105DDB1B"/>
        <w:style w:val=""/>
        <w:category>
          <w:name w:val="常规"/>
          <w:gallery w:val="placeholder"/>
        </w:category>
        <w:types>
          <w:type w:val="bbPlcHdr"/>
        </w:types>
        <w:behaviors>
          <w:behavior w:val="content"/>
        </w:behaviors>
        <w:description w:val=""/>
        <w:guid w:val="{6F57BAC7-8B30-464D-9CA1-7DC3E1EB278D}"/>
      </w:docPartPr>
      <w:docPartBody>
        <w:p>
          <w:pPr>
            <w:pStyle w:val="6"/>
          </w:pPr>
          <w:r>
            <w:rPr>
              <w:rStyle w:val="4"/>
              <w:rFonts w:hint="eastAsia"/>
            </w:rPr>
            <w:t>选择一项。</w:t>
          </w:r>
        </w:p>
      </w:docPartBody>
    </w:docPart>
    <w:docPart>
      <w:docPartPr>
        <w:name w:val="C05117C20CB14E72B865E88E416BD342"/>
        <w:style w:val=""/>
        <w:category>
          <w:name w:val="常规"/>
          <w:gallery w:val="placeholder"/>
        </w:category>
        <w:types>
          <w:type w:val="bbPlcHdr"/>
        </w:types>
        <w:behaviors>
          <w:behavior w:val="content"/>
        </w:behaviors>
        <w:description w:val=""/>
        <w:guid w:val="{3D9735A0-BA7C-4224-8C6C-BC2C1E8F6FF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47B"/>
    <w:rsid w:val="00427472"/>
    <w:rsid w:val="00514DC1"/>
    <w:rsid w:val="0091647B"/>
    <w:rsid w:val="00986D19"/>
    <w:rsid w:val="00E55ABD"/>
    <w:rsid w:val="00E74FF2"/>
    <w:rsid w:val="00FF2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AC1E51D896F4E779E31009BBB493A2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0AE608A23754ECE8281A4DE105DDB1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05117C20CB14E72B865E88E416BD342"/>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95F21C-F3BB-4DEE-BF64-81B85E95C32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3007</Words>
  <Characters>3322</Characters>
  <Lines>37</Lines>
  <Paragraphs>10</Paragraphs>
  <TotalTime>37</TotalTime>
  <ScaleCrop>false</ScaleCrop>
  <LinksUpToDate>false</LinksUpToDate>
  <CharactersWithSpaces>3479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2024-01-08T02:52:00Z</dcterms:created>
  <dc:creator>韩淑敏</dc:creator>
  <dc:description>&lt;config cover="true" show_menu="true" version="1.0.0" doctype="SDKXY"&gt;_x000d_
&lt;/config&gt;</dc:description>
  <cp:lastModifiedBy>YY</cp:lastModifiedBy>
  <cp:lastPrinted>2020-08-30T10:00:00Z</cp:lastPrinted>
  <dcterms:modified xsi:type="dcterms:W3CDTF">2024-06-24T07:42:14Z</dcterms:modified>
  <dc:title>地方标准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1F61D1E3A43240C8BB10DDEE7A23CEB5_12</vt:lpwstr>
  </property>
</Properties>
</file>