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65.020.40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w:t>
            </w:r>
            <w:r>
              <w:rPr>
                <w:rFonts w:hint="eastAsia" w:ascii="黑体" w:hAnsi="黑体" w:eastAsia="黑体"/>
                <w:sz w:val="21"/>
                <w:szCs w:val="21"/>
                <w:lang w:val="en-US" w:eastAsia="zh-CN"/>
              </w:rPr>
              <w:t xml:space="preserve"> 6</w:t>
            </w:r>
            <w:r>
              <w:rPr>
                <w:rFonts w:ascii="黑体" w:hAnsi="黑体" w:eastAsia="黑体"/>
                <w:sz w:val="21"/>
                <w:szCs w:val="21"/>
              </w:rPr>
              <w:t>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XX</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包头市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1502/T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包头地区草原增汇技术规程</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regulation of grassland sequestration increase in Baotou area</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包头市市场监督管理局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pPr>
      <w:bookmarkStart w:id="135" w:name="_GoBack"/>
      <w:bookmarkEnd w:id="135"/>
      <w:bookmarkStart w:id="21" w:name="BookMark1"/>
      <w:bookmarkStart w:id="22" w:name="_Toc155603302"/>
      <w:bookmarkStart w:id="23" w:name="_Toc155603175"/>
      <w:bookmarkStart w:id="24" w:name="_Toc153469565"/>
      <w:bookmarkStart w:id="25" w:name="_Toc153472748"/>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"标准文件_一级条标题,2,标准文件_二级条标题,3,标准文件_附录一级条标题,2,标准文件_附录二级条标题,3," </w:instrText>
      </w:r>
      <w:r>
        <w:fldChar w:fldCharType="separate"/>
      </w:r>
      <w:r>
        <w:fldChar w:fldCharType="begin"/>
      </w:r>
      <w:r>
        <w:instrText xml:space="preserve"> HYPERLINK \l "_Toc168559053" </w:instrText>
      </w:r>
      <w:r>
        <w:fldChar w:fldCharType="separate"/>
      </w:r>
      <w:r>
        <w:rPr>
          <w:rStyle w:val="32"/>
        </w:rPr>
        <w:t>前言</w:t>
      </w:r>
      <w:r>
        <w:tab/>
      </w:r>
      <w:r>
        <w:fldChar w:fldCharType="begin"/>
      </w:r>
      <w:r>
        <w:instrText xml:space="preserve"> PAGEREF _Toc168559053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"_Toc168559054" </w:instrText>
      </w:r>
      <w:r>
        <w:fldChar w:fldCharType="separate"/>
      </w:r>
      <w:r>
        <w:rPr>
          <w:rStyle w:val="32"/>
        </w:rPr>
        <w:t>1  范围</w:t>
      </w:r>
      <w:r>
        <w:tab/>
      </w:r>
      <w:r>
        <w:fldChar w:fldCharType="begin"/>
      </w:r>
      <w:r>
        <w:instrText xml:space="preserve"> PAGEREF _Toc168559054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"_Toc168559055" </w:instrText>
      </w:r>
      <w:r>
        <w:fldChar w:fldCharType="separate"/>
      </w:r>
      <w:r>
        <w:rPr>
          <w:rStyle w:val="32"/>
        </w:rPr>
        <w:t>2  规范性引用文件</w:t>
      </w:r>
      <w:r>
        <w:tab/>
      </w:r>
      <w:r>
        <w:fldChar w:fldCharType="begin"/>
      </w:r>
      <w:r>
        <w:instrText xml:space="preserve"> PAGEREF _Toc168559055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"_Toc168559056" </w:instrText>
      </w:r>
      <w:r>
        <w:fldChar w:fldCharType="separate"/>
      </w:r>
      <w:r>
        <w:rPr>
          <w:rStyle w:val="32"/>
        </w:rPr>
        <w:t>3  术语和定义</w:t>
      </w:r>
      <w:r>
        <w:tab/>
      </w:r>
      <w:r>
        <w:fldChar w:fldCharType="begin"/>
      </w:r>
      <w:r>
        <w:instrText xml:space="preserve"> PAGEREF _Toc168559056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"_Toc168559061" </w:instrText>
      </w:r>
      <w:r>
        <w:fldChar w:fldCharType="separate"/>
      </w:r>
      <w:r>
        <w:rPr>
          <w:rStyle w:val="32"/>
        </w:rPr>
        <w:t>4  基本原则</w:t>
      </w:r>
      <w:r>
        <w:tab/>
      </w:r>
      <w:r>
        <w:fldChar w:fldCharType="begin"/>
      </w:r>
      <w:r>
        <w:instrText xml:space="preserve"> PAGEREF _Toc168559061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"_Toc168559062" </w:instrText>
      </w:r>
      <w:r>
        <w:fldChar w:fldCharType="separate"/>
      </w:r>
      <w:r>
        <w:rPr>
          <w:rStyle w:val="32"/>
        </w:rPr>
        <w:t>5  经营方案</w:t>
      </w:r>
      <w:r>
        <w:tab/>
      </w:r>
      <w:r>
        <w:fldChar w:fldCharType="begin"/>
      </w:r>
      <w:r>
        <w:instrText xml:space="preserve"> PAGEREF _Toc168559062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"_Toc168559063" </w:instrText>
      </w:r>
      <w:r>
        <w:fldChar w:fldCharType="separate"/>
      </w:r>
      <w:r>
        <w:rPr>
          <w:rStyle w:val="32"/>
          <w14:scene3d>
            <w14:lightRig w14:rig="threePt" w14:dir="t">
              <w14:rot w14:lat="0" w14:lon="0" w14:rev="0"/>
            </w14:lightRig>
          </w14:scene3d>
        </w:rPr>
        <w:t xml:space="preserve">5.1 </w:t>
      </w:r>
      <w:r>
        <w:rPr>
          <w:rStyle w:val="32"/>
        </w:rPr>
        <w:t xml:space="preserve"> 样地设置</w:t>
      </w:r>
      <w:r>
        <w:tab/>
      </w:r>
      <w:r>
        <w:fldChar w:fldCharType="begin"/>
      </w:r>
      <w:r>
        <w:instrText xml:space="preserve"> PAGEREF _Toc168559063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"_Toc168559064" </w:instrText>
      </w:r>
      <w:r>
        <w:fldChar w:fldCharType="separate"/>
      </w:r>
      <w:r>
        <w:rPr>
          <w:rStyle w:val="32"/>
          <w14:scene3d>
            <w14:lightRig w14:rig="threePt" w14:dir="t">
              <w14:rot w14:lat="0" w14:lon="0" w14:rev="0"/>
            </w14:lightRig>
          </w14:scene3d>
        </w:rPr>
        <w:t xml:space="preserve">5.2 </w:t>
      </w:r>
      <w:r>
        <w:rPr>
          <w:rStyle w:val="32"/>
        </w:rPr>
        <w:t xml:space="preserve"> 调查内容</w:t>
      </w:r>
      <w:r>
        <w:tab/>
      </w:r>
      <w:r>
        <w:fldChar w:fldCharType="begin"/>
      </w:r>
      <w:r>
        <w:instrText xml:space="preserve"> PAGEREF _Toc168559064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"_Toc168559065" </w:instrText>
      </w:r>
      <w:r>
        <w:fldChar w:fldCharType="separate"/>
      </w:r>
      <w:r>
        <w:rPr>
          <w:rStyle w:val="32"/>
          <w14:scene3d>
            <w14:lightRig w14:rig="threePt" w14:dir="t">
              <w14:rot w14:lat="0" w14:lon="0" w14:rev="0"/>
            </w14:lightRig>
          </w14:scene3d>
        </w:rPr>
        <w:t xml:space="preserve">5.3 </w:t>
      </w:r>
      <w:r>
        <w:rPr>
          <w:rStyle w:val="32"/>
        </w:rPr>
        <w:t xml:space="preserve"> 经营规划设计</w:t>
      </w:r>
      <w:r>
        <w:tab/>
      </w:r>
      <w:r>
        <w:fldChar w:fldCharType="begin"/>
      </w:r>
      <w:r>
        <w:instrText xml:space="preserve"> PAGEREF _Toc168559065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"_Toc168559066" </w:instrText>
      </w:r>
      <w:r>
        <w:fldChar w:fldCharType="separate"/>
      </w:r>
      <w:r>
        <w:rPr>
          <w:rStyle w:val="32"/>
        </w:rPr>
        <w:t>6  增汇技术</w:t>
      </w:r>
      <w:r>
        <w:tab/>
      </w:r>
      <w:r>
        <w:fldChar w:fldCharType="begin"/>
      </w:r>
      <w:r>
        <w:instrText xml:space="preserve"> PAGEREF _Toc168559066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"_Toc168559067" </w:instrText>
      </w:r>
      <w:r>
        <w:fldChar w:fldCharType="separate"/>
      </w:r>
      <w:r>
        <w:rPr>
          <w:rStyle w:val="32"/>
          <w14:scene3d>
            <w14:lightRig w14:rig="threePt" w14:dir="t">
              <w14:rot w14:lat="0" w14:lon="0" w14:rev="0"/>
            </w14:lightRig>
          </w14:scene3d>
        </w:rPr>
        <w:t xml:space="preserve">6.1 </w:t>
      </w:r>
      <w:r>
        <w:rPr>
          <w:rStyle w:val="32"/>
        </w:rPr>
        <w:t xml:space="preserve"> 丰育增汇</w:t>
      </w:r>
      <w:r>
        <w:tab/>
      </w:r>
      <w:r>
        <w:fldChar w:fldCharType="begin"/>
      </w:r>
      <w:r>
        <w:instrText xml:space="preserve"> PAGEREF _Toc168559067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"_Toc168559068" </w:instrText>
      </w:r>
      <w:r>
        <w:fldChar w:fldCharType="separate"/>
      </w:r>
      <w:r>
        <w:rPr>
          <w:rStyle w:val="32"/>
          <w14:scene3d>
            <w14:lightRig w14:rig="threePt" w14:dir="t">
              <w14:rot w14:lat="0" w14:lon="0" w14:rev="0"/>
            </w14:lightRig>
          </w14:scene3d>
        </w:rPr>
        <w:t xml:space="preserve">6.2 </w:t>
      </w:r>
      <w:r>
        <w:rPr>
          <w:rStyle w:val="32"/>
        </w:rPr>
        <w:t xml:space="preserve"> 禁牧增汇</w:t>
      </w:r>
      <w:r>
        <w:tab/>
      </w:r>
      <w:r>
        <w:fldChar w:fldCharType="begin"/>
      </w:r>
      <w:r>
        <w:instrText xml:space="preserve"> PAGEREF _Toc168559068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"_Toc168559069" </w:instrText>
      </w:r>
      <w:r>
        <w:fldChar w:fldCharType="separate"/>
      </w:r>
      <w:r>
        <w:rPr>
          <w:rStyle w:val="32"/>
          <w14:scene3d>
            <w14:lightRig w14:rig="threePt" w14:dir="t">
              <w14:rot w14:lat="0" w14:lon="0" w14:rev="0"/>
            </w14:lightRig>
          </w14:scene3d>
        </w:rPr>
        <w:t xml:space="preserve">6.3 </w:t>
      </w:r>
      <w:r>
        <w:rPr>
          <w:rStyle w:val="32"/>
        </w:rPr>
        <w:t xml:space="preserve"> 休牧增汇</w:t>
      </w:r>
      <w:r>
        <w:tab/>
      </w:r>
      <w:r>
        <w:fldChar w:fldCharType="begin"/>
      </w:r>
      <w:r>
        <w:instrText xml:space="preserve"> PAGEREF _Toc168559069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"_Toc168559070" </w:instrText>
      </w:r>
      <w:r>
        <w:fldChar w:fldCharType="separate"/>
      </w:r>
      <w:r>
        <w:rPr>
          <w:rStyle w:val="32"/>
          <w14:scene3d>
            <w14:lightRig w14:rig="threePt" w14:dir="t">
              <w14:rot w14:lat="0" w14:lon="0" w14:rev="0"/>
            </w14:lightRig>
          </w14:scene3d>
        </w:rPr>
        <w:t xml:space="preserve">6.4 </w:t>
      </w:r>
      <w:r>
        <w:rPr>
          <w:rStyle w:val="32"/>
        </w:rPr>
        <w:t xml:space="preserve"> 人工经营增汇</w:t>
      </w:r>
      <w:r>
        <w:tab/>
      </w:r>
      <w:r>
        <w:fldChar w:fldCharType="begin"/>
      </w:r>
      <w:r>
        <w:instrText xml:space="preserve"> PAGEREF _Toc168559070 \h </w:instrText>
      </w:r>
      <w:r>
        <w:fldChar w:fldCharType="separate"/>
      </w:r>
      <w:r>
        <w:t>5</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"_Toc168559071" </w:instrText>
      </w:r>
      <w:r>
        <w:fldChar w:fldCharType="separate"/>
      </w:r>
      <w:r>
        <w:rPr>
          <w:rStyle w:val="32"/>
        </w:rPr>
        <w:t>6.4.1  施肥</w:t>
      </w:r>
      <w:r>
        <w:tab/>
      </w:r>
      <w:r>
        <w:fldChar w:fldCharType="begin"/>
      </w:r>
      <w:r>
        <w:instrText xml:space="preserve"> PAGEREF _Toc168559071 \h </w:instrText>
      </w:r>
      <w:r>
        <w:fldChar w:fldCharType="separate"/>
      </w:r>
      <w:r>
        <w:t>5</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"_Toc168559072" </w:instrText>
      </w:r>
      <w:r>
        <w:fldChar w:fldCharType="separate"/>
      </w:r>
      <w:r>
        <w:rPr>
          <w:rStyle w:val="32"/>
        </w:rPr>
        <w:t>6.4.2  灌溉</w:t>
      </w:r>
      <w:r>
        <w:tab/>
      </w:r>
      <w:r>
        <w:fldChar w:fldCharType="begin"/>
      </w:r>
      <w:r>
        <w:instrText xml:space="preserve"> PAGEREF _Toc168559072 \h </w:instrText>
      </w:r>
      <w:r>
        <w:fldChar w:fldCharType="separate"/>
      </w:r>
      <w:r>
        <w:t>5</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"_Toc168559073" </w:instrText>
      </w:r>
      <w:r>
        <w:fldChar w:fldCharType="separate"/>
      </w:r>
      <w:r>
        <w:rPr>
          <w:rStyle w:val="32"/>
        </w:rPr>
        <w:t>6.4.3  补播</w:t>
      </w:r>
      <w:r>
        <w:tab/>
      </w:r>
      <w:r>
        <w:fldChar w:fldCharType="begin"/>
      </w:r>
      <w:r>
        <w:instrText xml:space="preserve"> PAGEREF _Toc168559073 \h </w:instrText>
      </w:r>
      <w:r>
        <w:fldChar w:fldCharType="separate"/>
      </w:r>
      <w:r>
        <w:t>5</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"_Toc168559074" </w:instrText>
      </w:r>
      <w:r>
        <w:fldChar w:fldCharType="separate"/>
      </w:r>
      <w:r>
        <w:rPr>
          <w:rStyle w:val="32"/>
        </w:rPr>
        <w:t>6.4.4  补植</w:t>
      </w:r>
      <w:r>
        <w:tab/>
      </w:r>
      <w:r>
        <w:fldChar w:fldCharType="begin"/>
      </w:r>
      <w:r>
        <w:instrText xml:space="preserve"> PAGEREF _Toc168559074 \h </w:instrText>
      </w:r>
      <w:r>
        <w:fldChar w:fldCharType="separate"/>
      </w:r>
      <w:r>
        <w:t>5</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"_Toc168559075" </w:instrText>
      </w:r>
      <w:r>
        <w:fldChar w:fldCharType="separate"/>
      </w:r>
      <w:r>
        <w:rPr>
          <w:rStyle w:val="32"/>
        </w:rPr>
        <w:t>7  档案管理</w:t>
      </w:r>
      <w:r>
        <w:tab/>
      </w:r>
      <w:r>
        <w:fldChar w:fldCharType="begin"/>
      </w:r>
      <w:r>
        <w:instrText xml:space="preserve"> PAGEREF _Toc168559075 \h </w:instrText>
      </w:r>
      <w:r>
        <w:fldChar w:fldCharType="separate"/>
      </w:r>
      <w:r>
        <w:t>5</w:t>
      </w:r>
      <w:r>
        <w:fldChar w:fldCharType="end"/>
      </w:r>
      <w:r>
        <w:fldChar w:fldCharType="end"/>
      </w:r>
    </w:p>
    <w:p>
      <w:pPr>
        <w:pStyle w:val="91"/>
        <w:spacing w:after="468"/>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before="900" w:after="468"/>
      </w:pPr>
      <w:bookmarkStart w:id="26" w:name="_Toc168559053"/>
      <w:bookmarkStart w:id="27" w:name="BookMark2"/>
      <w:r>
        <w:rPr>
          <w:spacing w:val="320"/>
        </w:rPr>
        <w:t>前</w:t>
      </w:r>
      <w:r>
        <w:t>言</w:t>
      </w:r>
      <w:bookmarkEnd w:id="22"/>
      <w:bookmarkEnd w:id="23"/>
      <w:bookmarkEnd w:id="24"/>
      <w:bookmarkEnd w:id="25"/>
      <w:bookmarkEnd w:id="26"/>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本文件由包头市林业和草原局提出并归口</w:t>
      </w:r>
      <w:r>
        <w:t xml:space="preserve"> </w:t>
      </w:r>
      <w:r>
        <w:rPr>
          <w:rFonts w:hint="eastAsia"/>
        </w:rPr>
        <w:t>。</w:t>
      </w:r>
    </w:p>
    <w:p>
      <w:pPr>
        <w:pStyle w:val="56"/>
        <w:ind w:firstLine="420"/>
        <w:rPr>
          <w:rFonts w:hint="eastAsia"/>
        </w:rPr>
      </w:pPr>
      <w:r>
        <w:rPr>
          <w:rFonts w:hint="eastAsia"/>
        </w:rPr>
        <w:t>本文件起草单位：包头市林业和草原工作站、内蒙古农业大学、包头市林业和草原局、包头市林业和草原灾害防控中心、包头市检验检测中心。</w:t>
      </w:r>
    </w:p>
    <w:p>
      <w:pPr>
        <w:pStyle w:val="56"/>
        <w:ind w:firstLine="420"/>
      </w:pPr>
      <w:r>
        <w:rPr>
          <w:rFonts w:hint="eastAsia"/>
        </w:rPr>
        <w:t>本文件主要起草人：高润红、李茂森、杜华、贾彩霞，焦智斌、张文英、武文广、李蔓、韩淑敏、吴乐、谢金君、冀鹏浩、冯小东、张瑞、吕整荣、姚瑶、郝继君。</w:t>
      </w:r>
    </w:p>
    <w:p>
      <w:pPr>
        <w:pStyle w:val="56"/>
        <w:ind w:firstLine="420"/>
      </w:pP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7"/>
    <w:p>
      <w:pPr>
        <w:spacing w:line="20" w:lineRule="exact"/>
        <w:jc w:val="center"/>
        <w:rPr>
          <w:rFonts w:ascii="黑体" w:hAnsi="黑体" w:eastAsia="黑体"/>
          <w:sz w:val="32"/>
          <w:szCs w:val="32"/>
        </w:rPr>
      </w:pPr>
      <w:bookmarkStart w:id="28" w:name="BookMark4"/>
    </w:p>
    <w:p>
      <w:pPr>
        <w:spacing w:line="20" w:lineRule="exact"/>
        <w:jc w:val="center"/>
        <w:rPr>
          <w:rFonts w:ascii="黑体" w:hAnsi="黑体" w:eastAsia="黑体"/>
          <w:sz w:val="32"/>
          <w:szCs w:val="32"/>
        </w:rPr>
      </w:pPr>
    </w:p>
    <w:sdt>
      <w:sdtPr>
        <w:tag w:val="NEW_STAND_NAME"/>
        <w:id w:val="595910757"/>
        <w:lock w:val="sdtLocked"/>
        <w:placeholder>
          <w:docPart w:val="07FC13411F984DFEA2BC407775E50742"/>
        </w:placeholder>
      </w:sdtPr>
      <w:sdtContent>
        <w:p>
          <w:pPr>
            <w:pStyle w:val="177"/>
            <w:spacing w:before="3" w:beforeLines="1" w:after="686" w:afterLines="220"/>
          </w:pPr>
          <w:bookmarkStart w:id="29" w:name="NEW_STAND_NAME"/>
          <w:r>
            <w:rPr>
              <w:rFonts w:hint="eastAsia"/>
            </w:rPr>
            <w:t>包头地区草原增汇技术规程</w:t>
          </w:r>
        </w:p>
      </w:sdtContent>
    </w:sdt>
    <w:bookmarkEnd w:id="29"/>
    <w:p>
      <w:pPr>
        <w:pStyle w:val="104"/>
        <w:spacing w:before="312" w:after="312"/>
      </w:pPr>
      <w:bookmarkStart w:id="30" w:name="_Toc168559054"/>
      <w:bookmarkStart w:id="31" w:name="_Toc24884218"/>
      <w:bookmarkStart w:id="32" w:name="_Toc153469566"/>
      <w:bookmarkStart w:id="33" w:name="_Toc26986771"/>
      <w:bookmarkStart w:id="34" w:name="_Toc26718930"/>
      <w:bookmarkStart w:id="35" w:name="_Toc17233333"/>
      <w:bookmarkStart w:id="36" w:name="_Toc17233325"/>
      <w:bookmarkStart w:id="37" w:name="_Toc26986530"/>
      <w:bookmarkStart w:id="38" w:name="_Toc155603303"/>
      <w:bookmarkStart w:id="39" w:name="_Toc97191423"/>
      <w:bookmarkStart w:id="40" w:name="_Toc155603176"/>
      <w:bookmarkStart w:id="41" w:name="_Toc24884211"/>
      <w:bookmarkStart w:id="42" w:name="_Toc153472749"/>
      <w:bookmarkStart w:id="43" w:name="_Toc26648465"/>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p>
    <w:p>
      <w:pPr>
        <w:pStyle w:val="56"/>
        <w:ind w:firstLine="420"/>
      </w:pPr>
      <w:bookmarkStart w:id="44" w:name="_Toc17233326"/>
      <w:bookmarkStart w:id="45" w:name="_Toc24884219"/>
      <w:bookmarkStart w:id="46" w:name="_Toc17233334"/>
      <w:bookmarkStart w:id="47" w:name="_Toc26648466"/>
      <w:bookmarkStart w:id="48" w:name="_Toc24884212"/>
      <w:r>
        <w:rPr>
          <w:rFonts w:hint="eastAsia"/>
        </w:rPr>
        <w:t xml:space="preserve">本文件规定了草原固碳增汇经营的基本原则、经营方案、增汇技术和档案管理等技术内容。 </w:t>
      </w:r>
    </w:p>
    <w:p>
      <w:pPr>
        <w:pStyle w:val="56"/>
        <w:ind w:firstLine="420"/>
      </w:pPr>
      <w:r>
        <w:rPr>
          <w:rFonts w:hint="eastAsia"/>
        </w:rPr>
        <w:t>本文件适用于包头地区主要草原类型的增汇经营。</w:t>
      </w:r>
    </w:p>
    <w:p>
      <w:pPr>
        <w:pStyle w:val="104"/>
        <w:spacing w:before="312" w:after="312"/>
      </w:pPr>
      <w:bookmarkStart w:id="49" w:name="_Toc26718931"/>
      <w:bookmarkStart w:id="50" w:name="_Toc155603304"/>
      <w:bookmarkStart w:id="51" w:name="_Toc155603177"/>
      <w:bookmarkStart w:id="52" w:name="_Toc26986531"/>
      <w:bookmarkStart w:id="53" w:name="_Toc26986772"/>
      <w:bookmarkStart w:id="54" w:name="_Toc153472750"/>
      <w:bookmarkStart w:id="55" w:name="_Toc97191424"/>
      <w:bookmarkStart w:id="56" w:name="_Toc168559055"/>
      <w:bookmarkStart w:id="57" w:name="_Toc153469567"/>
      <w:r>
        <w:rPr>
          <w:rFonts w:hint="eastAsia"/>
        </w:rPr>
        <w:t>规范性引用文件</w:t>
      </w:r>
      <w:bookmarkEnd w:id="44"/>
      <w:bookmarkEnd w:id="45"/>
      <w:bookmarkEnd w:id="46"/>
      <w:bookmarkEnd w:id="47"/>
      <w:bookmarkEnd w:id="48"/>
      <w:bookmarkEnd w:id="49"/>
      <w:bookmarkEnd w:id="50"/>
      <w:bookmarkEnd w:id="51"/>
      <w:bookmarkEnd w:id="52"/>
      <w:bookmarkEnd w:id="53"/>
      <w:bookmarkEnd w:id="54"/>
      <w:bookmarkEnd w:id="55"/>
      <w:bookmarkEnd w:id="56"/>
      <w:bookmarkEnd w:id="57"/>
    </w:p>
    <w:sdt>
      <w:sdtPr>
        <w:rPr>
          <w:rFonts w:hint="eastAsia"/>
        </w:rPr>
        <w:id w:val="715848253"/>
        <w:placeholder>
          <w:docPart w:val="DC8FC5E630284E818AF7095F6A3B81C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widowControl/>
        <w:tabs>
          <w:tab w:val="center" w:pos="4201"/>
          <w:tab w:val="right" w:leader="dot" w:pos="9298"/>
        </w:tabs>
        <w:autoSpaceDE w:val="0"/>
        <w:autoSpaceDN w:val="0"/>
        <w:adjustRightInd/>
        <w:spacing w:line="240" w:lineRule="auto"/>
        <w:ind w:firstLine="420" w:firstLineChars="200"/>
        <w:rPr>
          <w:rFonts w:ascii="Times New Roman" w:hAnsi="Times New Roman"/>
          <w:kern w:val="0"/>
          <w:szCs w:val="20"/>
        </w:rPr>
      </w:pPr>
      <w:r>
        <w:rPr>
          <w:rFonts w:hint="eastAsia" w:ascii="Times New Roman" w:hAnsi="Times New Roman"/>
          <w:kern w:val="0"/>
          <w:szCs w:val="20"/>
        </w:rPr>
        <w:t>NY/T 2998 草地资源调查技术规程</w:t>
      </w:r>
    </w:p>
    <w:p>
      <w:pPr>
        <w:widowControl/>
        <w:tabs>
          <w:tab w:val="center" w:pos="4201"/>
          <w:tab w:val="right" w:leader="dot" w:pos="9298"/>
        </w:tabs>
        <w:autoSpaceDE w:val="0"/>
        <w:autoSpaceDN w:val="0"/>
        <w:adjustRightInd/>
        <w:spacing w:line="240" w:lineRule="auto"/>
        <w:ind w:firstLine="420" w:firstLineChars="200"/>
        <w:rPr>
          <w:rFonts w:ascii="Times New Roman" w:hAnsi="Times New Roman"/>
          <w:kern w:val="0"/>
          <w:szCs w:val="20"/>
        </w:rPr>
      </w:pPr>
      <w:r>
        <w:rPr>
          <w:rFonts w:hint="eastAsia" w:ascii="Times New Roman" w:hAnsi="Times New Roman"/>
          <w:kern w:val="0"/>
          <w:szCs w:val="20"/>
        </w:rPr>
        <w:t>DB 1502/T 02</w:t>
      </w:r>
      <w:r>
        <w:rPr>
          <w:rFonts w:ascii="Times New Roman" w:hAnsi="Times New Roman"/>
          <w:kern w:val="0"/>
          <w:szCs w:val="20"/>
        </w:rPr>
        <w:t xml:space="preserve">3 </w:t>
      </w:r>
      <w:r>
        <w:rPr>
          <w:rFonts w:hint="eastAsia" w:ascii="Times New Roman" w:hAnsi="Times New Roman"/>
          <w:kern w:val="0"/>
          <w:szCs w:val="20"/>
        </w:rPr>
        <w:t>草原碳汇调查与监测技术规程</w:t>
      </w:r>
    </w:p>
    <w:p>
      <w:pPr>
        <w:pStyle w:val="104"/>
        <w:spacing w:before="312" w:after="312"/>
      </w:pPr>
      <w:bookmarkStart w:id="58" w:name="_Toc155603305"/>
      <w:bookmarkStart w:id="59" w:name="_Toc97191425"/>
      <w:bookmarkStart w:id="60" w:name="_Toc153472751"/>
      <w:bookmarkStart w:id="61" w:name="_Toc168559056"/>
      <w:bookmarkStart w:id="62" w:name="_Toc155603178"/>
      <w:bookmarkStart w:id="63" w:name="_Toc153469568"/>
      <w:r>
        <w:rPr>
          <w:rFonts w:hint="eastAsia"/>
          <w:szCs w:val="21"/>
        </w:rPr>
        <w:t>术语和定义</w:t>
      </w:r>
      <w:bookmarkEnd w:id="58"/>
      <w:bookmarkEnd w:id="59"/>
      <w:bookmarkEnd w:id="60"/>
      <w:bookmarkEnd w:id="61"/>
      <w:bookmarkEnd w:id="62"/>
      <w:bookmarkEnd w:id="63"/>
    </w:p>
    <w:sdt>
      <w:sdtPr>
        <w:id w:val="-1909835108"/>
        <w:placeholder>
          <w:docPart w:val="6820B7145C3A44C98D71709ECC2995D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64" w:name="_Toc26986532"/>
          <w:bookmarkEnd w:id="64"/>
          <w:r>
            <w:t>下列术语和定义适用于本文件。</w:t>
          </w:r>
        </w:p>
      </w:sdtContent>
    </w:sdt>
    <w:p>
      <w:pPr>
        <w:pStyle w:val="105"/>
        <w:spacing w:before="156" w:after="156"/>
      </w:pPr>
      <w:bookmarkStart w:id="65" w:name="_Toc155603179"/>
      <w:bookmarkEnd w:id="65"/>
      <w:bookmarkStart w:id="66" w:name="_Toc155603306"/>
      <w:bookmarkEnd w:id="66"/>
      <w:bookmarkStart w:id="67" w:name="_Toc153472752"/>
      <w:bookmarkEnd w:id="67"/>
      <w:bookmarkStart w:id="68" w:name="_Toc168559057"/>
      <w:bookmarkEnd w:id="68"/>
    </w:p>
    <w:p>
      <w:pPr>
        <w:pStyle w:val="223"/>
        <w:numPr>
          <w:ilvl w:val="2"/>
          <w:numId w:val="0"/>
        </w:numPr>
        <w:ind w:firstLine="420" w:firstLineChars="200"/>
        <w:rPr>
          <w:rFonts w:hAnsi="宋体" w:cs="宋体"/>
        </w:rPr>
      </w:pPr>
      <w:r>
        <w:rPr>
          <w:rFonts w:hint="eastAsia" w:ascii="黑体" w:hAnsi="黑体" w:eastAsia="黑体" w:cs="宋体"/>
        </w:rPr>
        <w:t xml:space="preserve">草原 </w:t>
      </w:r>
      <w:r>
        <w:rPr>
          <w:rFonts w:ascii="黑体" w:hAnsi="黑体" w:eastAsia="黑体" w:cs="宋体"/>
        </w:rPr>
        <w:t>grassland</w:t>
      </w:r>
    </w:p>
    <w:p>
      <w:pPr>
        <w:pStyle w:val="56"/>
        <w:ind w:firstLine="420"/>
        <w:rPr>
          <w:rFonts w:ascii="黑体" w:hAnsi="黑体" w:eastAsia="黑体"/>
        </w:rPr>
      </w:pPr>
      <w:r>
        <w:rPr>
          <w:rFonts w:hint="eastAsia" w:hAnsi="宋体" w:cs="宋体"/>
        </w:rPr>
        <w:t>包头地区草原按照其类型划分为</w:t>
      </w:r>
      <w:r>
        <w:rPr>
          <w:rFonts w:hint="eastAsia"/>
        </w:rPr>
        <w:t>温性典型草原、温性荒漠草原、低地草甸草原、高山草甸。</w:t>
      </w:r>
    </w:p>
    <w:p>
      <w:pPr>
        <w:pStyle w:val="105"/>
        <w:spacing w:before="156" w:after="156"/>
      </w:pPr>
      <w:bookmarkStart w:id="69" w:name="_Toc155603307"/>
      <w:bookmarkEnd w:id="69"/>
      <w:bookmarkStart w:id="70" w:name="_Toc155603180"/>
      <w:bookmarkEnd w:id="70"/>
      <w:bookmarkStart w:id="71" w:name="_Toc168559058"/>
      <w:bookmarkEnd w:id="71"/>
      <w:bookmarkStart w:id="72" w:name="_Toc153472753"/>
      <w:bookmarkEnd w:id="72"/>
    </w:p>
    <w:p>
      <w:pPr>
        <w:pStyle w:val="56"/>
        <w:ind w:firstLine="420"/>
        <w:rPr>
          <w:rFonts w:ascii="黑体" w:hAnsi="黑体" w:eastAsia="黑体"/>
        </w:rPr>
      </w:pPr>
      <w:r>
        <w:rPr>
          <w:rFonts w:hint="eastAsia" w:ascii="黑体" w:hAnsi="黑体" w:eastAsia="黑体"/>
        </w:rPr>
        <w:t>固碳增汇 carbon sequestration and enhancement</w:t>
      </w:r>
    </w:p>
    <w:p>
      <w:pPr>
        <w:pStyle w:val="56"/>
        <w:ind w:firstLine="420"/>
      </w:pPr>
      <w:r>
        <w:rPr>
          <w:rFonts w:hint="eastAsia"/>
        </w:rPr>
        <w:t>固碳，即碳封存是指增加除大气之外的碳库碳含量的措施，固碳能够将多余的碳封存起来，不排放到大气中。增汇指增强对二氧化碳的储量和汇量。</w:t>
      </w:r>
    </w:p>
    <w:p>
      <w:pPr>
        <w:pStyle w:val="105"/>
        <w:spacing w:before="156" w:after="156"/>
      </w:pPr>
      <w:bookmarkStart w:id="73" w:name="_Toc155603308"/>
      <w:bookmarkEnd w:id="73"/>
      <w:bookmarkStart w:id="74" w:name="_Toc153472755"/>
      <w:bookmarkEnd w:id="74"/>
      <w:bookmarkStart w:id="75" w:name="_Toc168559059"/>
      <w:bookmarkEnd w:id="75"/>
      <w:bookmarkStart w:id="76" w:name="_Toc155603181"/>
      <w:bookmarkEnd w:id="76"/>
      <w:bookmarkStart w:id="77" w:name="_Toc153472754"/>
      <w:bookmarkEnd w:id="77"/>
    </w:p>
    <w:p>
      <w:pPr>
        <w:ind w:firstLine="420" w:firstLineChars="200"/>
        <w:rPr>
          <w:rFonts w:ascii="黑体" w:hAnsi="黑体" w:eastAsia="黑体"/>
        </w:rPr>
      </w:pPr>
      <w:bookmarkStart w:id="78" w:name="_Toc148297032"/>
      <w:r>
        <w:rPr>
          <w:rFonts w:hint="eastAsia" w:ascii="黑体" w:hAnsi="黑体" w:eastAsia="黑体"/>
        </w:rPr>
        <w:t>草原生态修复 g</w:t>
      </w:r>
      <w:r>
        <w:rPr>
          <w:rFonts w:ascii="黑体" w:hAnsi="黑体" w:eastAsia="黑体"/>
        </w:rPr>
        <w:t>rassland ecological restoration</w:t>
      </w:r>
      <w:bookmarkEnd w:id="78"/>
    </w:p>
    <w:p>
      <w:pPr>
        <w:pStyle w:val="56"/>
        <w:ind w:firstLine="420"/>
      </w:pPr>
      <w:r>
        <w:t>在不破坏或尽量少破坏草原自然植被的前提下,采用一定的生物、生态及工程的技术与手段,遵循生态学原理和生态系统的内在机制，促进植被正向演替和自我恢复,使被损害的草原实现自然状态下可持续、健康发展的方法。</w:t>
      </w:r>
    </w:p>
    <w:p>
      <w:pPr>
        <w:pStyle w:val="105"/>
        <w:spacing w:before="156" w:after="156"/>
      </w:pPr>
      <w:bookmarkStart w:id="79" w:name="_Toc155603182"/>
      <w:bookmarkEnd w:id="79"/>
      <w:bookmarkStart w:id="80" w:name="_Toc168559060"/>
      <w:bookmarkEnd w:id="80"/>
      <w:bookmarkStart w:id="81" w:name="_Toc155603309"/>
      <w:bookmarkEnd w:id="81"/>
      <w:bookmarkStart w:id="82" w:name="_Toc153472756"/>
      <w:bookmarkEnd w:id="82"/>
    </w:p>
    <w:p>
      <w:pPr>
        <w:ind w:firstLine="420" w:firstLineChars="200"/>
        <w:rPr>
          <w:rFonts w:ascii="黑体" w:hAnsi="黑体" w:eastAsia="黑体"/>
        </w:rPr>
      </w:pPr>
      <w:bookmarkStart w:id="83" w:name="_Toc148297034"/>
      <w:r>
        <w:rPr>
          <w:rFonts w:hint="eastAsia" w:ascii="黑体" w:hAnsi="黑体" w:eastAsia="黑体"/>
        </w:rPr>
        <w:t>草地改良 g</w:t>
      </w:r>
      <w:r>
        <w:rPr>
          <w:rFonts w:ascii="黑体" w:hAnsi="黑体" w:eastAsia="黑体"/>
        </w:rPr>
        <w:t>rassland improvement</w:t>
      </w:r>
      <w:bookmarkEnd w:id="83"/>
    </w:p>
    <w:p>
      <w:pPr>
        <w:ind w:firstLine="420" w:firstLineChars="200"/>
      </w:pPr>
      <w:r>
        <w:t>草地改良是对天然草地采取一定的农业技术措施，调节和改善草地生态环境中土、水、肥、气、热和植被等自然因素，促进牧草生长，提高草地生产能力的一种方法</w:t>
      </w:r>
      <w:r>
        <w:rPr>
          <w:rFonts w:hint="eastAsia"/>
        </w:rPr>
        <w:t>。</w:t>
      </w:r>
    </w:p>
    <w:p>
      <w:pPr>
        <w:pStyle w:val="104"/>
        <w:spacing w:before="312" w:after="312"/>
      </w:pPr>
      <w:bookmarkStart w:id="84" w:name="_Toc168559061"/>
      <w:bookmarkStart w:id="85" w:name="_Toc155603310"/>
      <w:bookmarkStart w:id="86" w:name="_Toc155603183"/>
      <w:bookmarkStart w:id="87" w:name="_Toc153472757"/>
      <w:r>
        <w:rPr>
          <w:rFonts w:hint="eastAsia"/>
        </w:rPr>
        <w:t>基本原则</w:t>
      </w:r>
      <w:bookmarkEnd w:id="84"/>
      <w:bookmarkEnd w:id="85"/>
      <w:bookmarkEnd w:id="86"/>
      <w:bookmarkEnd w:id="87"/>
    </w:p>
    <w:p>
      <w:pPr>
        <w:pStyle w:val="56"/>
        <w:ind w:firstLine="420"/>
      </w:pPr>
      <w:r>
        <w:rPr>
          <w:rFonts w:hint="eastAsia"/>
        </w:rPr>
        <w:t>本标准坚持以下原则：</w:t>
      </w:r>
    </w:p>
    <w:p>
      <w:pPr>
        <w:pStyle w:val="56"/>
        <w:ind w:firstLine="420"/>
      </w:pPr>
      <w:r>
        <w:rPr>
          <w:rFonts w:hint="eastAsia"/>
        </w:rPr>
        <w:t xml:space="preserve">保护现有碳库，减少碳排放与碳泄漏。 </w:t>
      </w:r>
    </w:p>
    <w:p>
      <w:pPr>
        <w:pStyle w:val="56"/>
        <w:ind w:firstLine="420"/>
      </w:pPr>
      <w:r>
        <w:rPr>
          <w:rFonts w:hint="eastAsia"/>
        </w:rPr>
        <w:t>坚持因地适宜，注重科学合理化经营。</w:t>
      </w:r>
    </w:p>
    <w:p>
      <w:pPr>
        <w:pStyle w:val="56"/>
        <w:ind w:firstLine="420"/>
      </w:pPr>
      <w:r>
        <w:rPr>
          <w:rFonts w:hint="eastAsia"/>
        </w:rPr>
        <w:t>提升碳汇为主，兼顾各种效益的发挥。</w:t>
      </w:r>
    </w:p>
    <w:p>
      <w:pPr>
        <w:pStyle w:val="56"/>
        <w:ind w:firstLine="420"/>
      </w:pPr>
      <w:r>
        <w:rPr>
          <w:rFonts w:hint="eastAsia"/>
        </w:rPr>
        <w:t>开展有效维护，保障经营成果持续性。</w:t>
      </w:r>
    </w:p>
    <w:p>
      <w:pPr>
        <w:pStyle w:val="104"/>
        <w:spacing w:before="312" w:after="312"/>
      </w:pPr>
      <w:bookmarkStart w:id="88" w:name="_Toc153472758"/>
      <w:bookmarkStart w:id="89" w:name="_Toc155603184"/>
      <w:bookmarkStart w:id="90" w:name="_Toc155603311"/>
      <w:bookmarkStart w:id="91" w:name="_Toc168559062"/>
      <w:r>
        <w:rPr>
          <w:rFonts w:hint="eastAsia"/>
        </w:rPr>
        <w:t>经营方案</w:t>
      </w:r>
      <w:bookmarkEnd w:id="88"/>
      <w:bookmarkEnd w:id="89"/>
      <w:bookmarkEnd w:id="90"/>
      <w:bookmarkEnd w:id="91"/>
    </w:p>
    <w:p>
      <w:pPr>
        <w:pStyle w:val="105"/>
        <w:spacing w:before="156" w:after="156"/>
      </w:pPr>
      <w:bookmarkStart w:id="92" w:name="_Toc155603312"/>
      <w:bookmarkStart w:id="93" w:name="_Toc153472759"/>
      <w:bookmarkStart w:id="94" w:name="_Toc168559063"/>
      <w:bookmarkStart w:id="95" w:name="_Toc155603185"/>
      <w:r>
        <w:rPr>
          <w:rFonts w:hint="eastAsia"/>
        </w:rPr>
        <w:t>样地设置</w:t>
      </w:r>
      <w:bookmarkEnd w:id="92"/>
      <w:bookmarkEnd w:id="93"/>
      <w:bookmarkEnd w:id="94"/>
      <w:bookmarkEnd w:id="95"/>
    </w:p>
    <w:p>
      <w:pPr>
        <w:pStyle w:val="56"/>
        <w:ind w:firstLine="420"/>
        <w:rPr>
          <w:rFonts w:hAnsi="宋体"/>
        </w:rPr>
      </w:pPr>
      <w:r>
        <w:rPr>
          <w:rFonts w:hint="eastAsia"/>
        </w:rPr>
        <w:t>按照</w:t>
      </w:r>
      <w:r>
        <w:t>N</w:t>
      </w:r>
      <w:r>
        <w:rPr>
          <w:rFonts w:hint="eastAsia"/>
        </w:rPr>
        <w:t xml:space="preserve">Y/T </w:t>
      </w:r>
      <w:r>
        <w:t xml:space="preserve">2998 </w:t>
      </w:r>
      <w:r>
        <w:rPr>
          <w:rFonts w:hint="eastAsia"/>
        </w:rPr>
        <w:t>草地资源调查技术规程</w:t>
      </w:r>
      <w:r>
        <w:t>7.4.1.2</w:t>
      </w:r>
      <w:r>
        <w:rPr>
          <w:rFonts w:hint="eastAsia"/>
        </w:rPr>
        <w:t>样地设置。</w:t>
      </w:r>
    </w:p>
    <w:p>
      <w:pPr>
        <w:pStyle w:val="105"/>
        <w:spacing w:before="156" w:after="156"/>
      </w:pPr>
      <w:bookmarkStart w:id="96" w:name="_Toc155603186"/>
      <w:bookmarkStart w:id="97" w:name="_Toc153472760"/>
      <w:bookmarkStart w:id="98" w:name="_Toc168559064"/>
      <w:bookmarkStart w:id="99" w:name="_Toc155603313"/>
      <w:r>
        <w:rPr>
          <w:rFonts w:hint="eastAsia"/>
        </w:rPr>
        <w:t>调查内容</w:t>
      </w:r>
      <w:bookmarkEnd w:id="96"/>
      <w:bookmarkEnd w:id="97"/>
      <w:bookmarkEnd w:id="98"/>
      <w:bookmarkEnd w:id="99"/>
    </w:p>
    <w:p>
      <w:pPr>
        <w:pStyle w:val="56"/>
        <w:ind w:firstLine="420"/>
      </w:pPr>
      <w:r>
        <w:rPr>
          <w:rFonts w:hint="eastAsia"/>
        </w:rPr>
        <w:t>样地调查按照</w:t>
      </w:r>
      <w:r>
        <w:rPr>
          <w:rFonts w:hint="eastAsia" w:ascii="Times New Roman"/>
        </w:rPr>
        <w:t>DB 1502/T 02</w:t>
      </w:r>
      <w:r>
        <w:rPr>
          <w:rFonts w:ascii="Times New Roman"/>
        </w:rPr>
        <w:t xml:space="preserve">3 </w:t>
      </w:r>
      <w:r>
        <w:rPr>
          <w:rFonts w:hint="eastAsia" w:ascii="Times New Roman"/>
        </w:rPr>
        <w:t>中调查与监测方法进行。</w:t>
      </w:r>
    </w:p>
    <w:p>
      <w:pPr>
        <w:pStyle w:val="105"/>
        <w:spacing w:before="156" w:after="156"/>
      </w:pPr>
      <w:bookmarkStart w:id="100" w:name="_Toc153472761"/>
      <w:bookmarkStart w:id="101" w:name="_Toc168559065"/>
      <w:bookmarkStart w:id="102" w:name="_Toc155603314"/>
      <w:bookmarkStart w:id="103" w:name="_Toc155603187"/>
      <w:r>
        <w:rPr>
          <w:rFonts w:hint="eastAsia"/>
        </w:rPr>
        <w:t>经营规划设计</w:t>
      </w:r>
      <w:bookmarkEnd w:id="100"/>
      <w:bookmarkEnd w:id="101"/>
      <w:bookmarkEnd w:id="102"/>
      <w:bookmarkEnd w:id="103"/>
    </w:p>
    <w:p>
      <w:pPr>
        <w:pStyle w:val="56"/>
        <w:ind w:firstLine="420"/>
      </w:pPr>
      <w:r>
        <w:rPr>
          <w:rFonts w:hint="eastAsia"/>
        </w:rPr>
        <w:t>针对草原封育、禁牧、休牧、人工増汇等不同经营措施分类进行规划设计。</w:t>
      </w:r>
    </w:p>
    <w:p>
      <w:pPr>
        <w:pStyle w:val="56"/>
        <w:ind w:firstLine="420"/>
      </w:pPr>
      <w:r>
        <w:rPr>
          <w:rFonts w:hint="eastAsia"/>
        </w:rPr>
        <w:t xml:space="preserve">草原固碳增汇应以自然増汇为主进行草原生态修复，如需人工干预，应按照自然环境条件及近自然修复的原则进行技术措施及物种的选择与配置，以恢复提高该区域为地带性植被的顶级群落及其所着生的生态系统。     </w:t>
      </w:r>
    </w:p>
    <w:p>
      <w:pPr>
        <w:pStyle w:val="104"/>
        <w:spacing w:before="312" w:after="312"/>
      </w:pPr>
      <w:bookmarkStart w:id="104" w:name="_Toc155603315"/>
      <w:bookmarkStart w:id="105" w:name="_Toc168559066"/>
      <w:r>
        <w:rPr>
          <w:rFonts w:hint="eastAsia"/>
        </w:rPr>
        <w:t>增汇技术</w:t>
      </w:r>
      <w:bookmarkEnd w:id="104"/>
      <w:bookmarkEnd w:id="105"/>
    </w:p>
    <w:p>
      <w:pPr>
        <w:pStyle w:val="105"/>
        <w:spacing w:before="156" w:after="156"/>
      </w:pPr>
      <w:bookmarkStart w:id="106" w:name="_Toc168559067"/>
      <w:bookmarkStart w:id="107" w:name="_Toc155603316"/>
      <w:bookmarkStart w:id="108" w:name="_Toc155603188"/>
      <w:bookmarkStart w:id="109" w:name="_Toc153472762"/>
      <w:r>
        <w:rPr>
          <w:rFonts w:hint="eastAsia"/>
        </w:rPr>
        <w:t>丰育增汇</w:t>
      </w:r>
      <w:bookmarkEnd w:id="106"/>
      <w:bookmarkEnd w:id="107"/>
      <w:bookmarkEnd w:id="108"/>
      <w:bookmarkEnd w:id="109"/>
    </w:p>
    <w:p>
      <w:pPr>
        <w:pStyle w:val="56"/>
        <w:ind w:firstLine="420"/>
      </w:pPr>
      <w:r>
        <w:rPr>
          <w:rFonts w:hint="eastAsia"/>
        </w:rPr>
        <w:t>将退化草原封闭，禁止放牧等人为干扰，使草原以自身的恢复能力进行修复。根据草原退化面积及程度分为多年或1</w:t>
      </w:r>
      <w:r>
        <w:t>~</w:t>
      </w:r>
      <w:r>
        <w:rPr>
          <w:rFonts w:hint="eastAsia"/>
        </w:rPr>
        <w:t>3</w:t>
      </w:r>
      <w:r>
        <w:t xml:space="preserve"> </w:t>
      </w:r>
      <w:r>
        <w:rPr>
          <w:rFonts w:hint="eastAsia"/>
        </w:rPr>
        <w:t xml:space="preserve">年逐块轮换封育。 </w:t>
      </w:r>
    </w:p>
    <w:p>
      <w:pPr>
        <w:pStyle w:val="56"/>
        <w:ind w:firstLine="420"/>
      </w:pPr>
      <w:r>
        <w:rPr>
          <w:rFonts w:hint="eastAsia"/>
        </w:rPr>
        <w:t>草地封育是按照草地植物的自然分布规律及生长特点，采取较少人为干预措施，促进退化草地植被修复从而增加碳汇的方法。</w:t>
      </w:r>
    </w:p>
    <w:p>
      <w:pPr>
        <w:pStyle w:val="105"/>
        <w:spacing w:before="156" w:after="156"/>
      </w:pPr>
      <w:bookmarkStart w:id="110" w:name="_Toc153472763"/>
      <w:bookmarkStart w:id="111" w:name="_Toc155603317"/>
      <w:bookmarkStart w:id="112" w:name="_Toc168559068"/>
      <w:bookmarkStart w:id="113" w:name="_Toc155603189"/>
      <w:r>
        <w:rPr>
          <w:rFonts w:hint="eastAsia"/>
        </w:rPr>
        <w:t>禁牧增汇</w:t>
      </w:r>
      <w:bookmarkEnd w:id="110"/>
      <w:bookmarkEnd w:id="111"/>
      <w:bookmarkEnd w:id="112"/>
      <w:bookmarkEnd w:id="113"/>
    </w:p>
    <w:p>
      <w:pPr>
        <w:pStyle w:val="56"/>
        <w:ind w:firstLine="420"/>
      </w:pPr>
      <w:r>
        <w:rPr>
          <w:rFonts w:hint="eastAsia"/>
        </w:rPr>
        <w:t>对过度放牧利用的退化草地或打草场等特殊利用的草地，以年为单位，实行一年以上禁止放牧利用。以草地初级生产力、植被盖度、当地草原的理论载畜量作为解除禁牧的主要参考指标。</w:t>
      </w:r>
    </w:p>
    <w:p>
      <w:pPr>
        <w:pStyle w:val="105"/>
        <w:spacing w:before="156" w:after="156"/>
      </w:pPr>
      <w:bookmarkStart w:id="114" w:name="_Toc155603190"/>
      <w:bookmarkStart w:id="115" w:name="_Toc153472764"/>
      <w:bookmarkStart w:id="116" w:name="_Toc155603318"/>
      <w:bookmarkStart w:id="117" w:name="_Toc168559069"/>
      <w:r>
        <w:rPr>
          <w:rFonts w:hint="eastAsia"/>
        </w:rPr>
        <w:t>休牧增汇</w:t>
      </w:r>
      <w:bookmarkEnd w:id="114"/>
      <w:bookmarkEnd w:id="115"/>
      <w:bookmarkEnd w:id="116"/>
      <w:bookmarkEnd w:id="117"/>
    </w:p>
    <w:p>
      <w:pPr>
        <w:pStyle w:val="56"/>
        <w:ind w:firstLine="420"/>
      </w:pPr>
      <w:r>
        <w:rPr>
          <w:rFonts w:hint="eastAsia"/>
        </w:rPr>
        <w:t>对轻、中度退化草原，在春季植物返青期或夏末秋初，通过设置围栏或其它方式管理家畜进入，以当地植物物候期确定开始和结束休牧的时间或采取轮牧的方式进行，休牧期一般不少于 45</w:t>
      </w:r>
      <w:r>
        <w:t xml:space="preserve"> </w:t>
      </w:r>
      <w:r>
        <w:rPr>
          <w:rFonts w:hint="eastAsia"/>
        </w:rPr>
        <w:t>天。</w:t>
      </w:r>
    </w:p>
    <w:p>
      <w:pPr>
        <w:pStyle w:val="105"/>
        <w:spacing w:before="156" w:after="156"/>
      </w:pPr>
      <w:bookmarkStart w:id="118" w:name="_Toc168559070"/>
      <w:bookmarkStart w:id="119" w:name="_Toc153472765"/>
      <w:bookmarkStart w:id="120" w:name="_Toc155603319"/>
      <w:bookmarkStart w:id="121" w:name="_Toc155603191"/>
      <w:r>
        <w:rPr>
          <w:rFonts w:hint="eastAsia"/>
        </w:rPr>
        <w:t>人工经营增汇</w:t>
      </w:r>
      <w:bookmarkEnd w:id="118"/>
      <w:bookmarkEnd w:id="119"/>
      <w:bookmarkEnd w:id="120"/>
      <w:bookmarkEnd w:id="121"/>
    </w:p>
    <w:p>
      <w:pPr>
        <w:pStyle w:val="65"/>
        <w:spacing w:before="156" w:after="156"/>
      </w:pPr>
      <w:bookmarkStart w:id="122" w:name="_Toc168559071"/>
      <w:bookmarkStart w:id="123" w:name="_Toc153472766"/>
      <w:r>
        <w:rPr>
          <w:rFonts w:hint="eastAsia"/>
        </w:rPr>
        <w:t>施肥</w:t>
      </w:r>
      <w:bookmarkEnd w:id="122"/>
      <w:bookmarkEnd w:id="123"/>
    </w:p>
    <w:p>
      <w:pPr>
        <w:pStyle w:val="56"/>
        <w:ind w:firstLine="420"/>
      </w:pPr>
      <w:r>
        <w:rPr>
          <w:rFonts w:hint="eastAsia"/>
        </w:rPr>
        <w:t>宜在融雪水浸灌和土壤解冻时或雨季进行。采用沟施、撒施、免耕施用有机肥料或无机肥料等方法进行草原养分补充，施肥量视土壤肥力、植物需肥量确定。通过补充土壤养分增加草原植被生长从而增加碳汇。</w:t>
      </w:r>
    </w:p>
    <w:p>
      <w:pPr>
        <w:pStyle w:val="65"/>
        <w:spacing w:before="156" w:after="156"/>
      </w:pPr>
      <w:bookmarkStart w:id="124" w:name="_Toc168559072"/>
      <w:bookmarkStart w:id="125" w:name="_Toc153472767"/>
      <w:r>
        <w:rPr>
          <w:rFonts w:hint="eastAsia"/>
        </w:rPr>
        <w:t>灌溉</w:t>
      </w:r>
      <w:bookmarkEnd w:id="124"/>
      <w:bookmarkEnd w:id="125"/>
    </w:p>
    <w:p>
      <w:pPr>
        <w:pStyle w:val="56"/>
        <w:ind w:firstLine="420"/>
      </w:pPr>
      <w:r>
        <w:rPr>
          <w:rFonts w:hint="eastAsia"/>
        </w:rPr>
        <w:t>草原灌溉应充分利用自然降水，不应开采地下水；灌溉方法应根据牧草种类、草原类型、产量、土壤和气候条件制定节水灌溉制度。</w:t>
      </w:r>
    </w:p>
    <w:p>
      <w:pPr>
        <w:pStyle w:val="65"/>
        <w:spacing w:before="156" w:after="156"/>
      </w:pPr>
      <w:bookmarkStart w:id="126" w:name="_Toc168559073"/>
      <w:bookmarkStart w:id="127" w:name="_Toc153472768"/>
      <w:r>
        <w:rPr>
          <w:rFonts w:hint="eastAsia"/>
        </w:rPr>
        <w:t>补播</w:t>
      </w:r>
      <w:bookmarkEnd w:id="126"/>
      <w:bookmarkEnd w:id="127"/>
    </w:p>
    <w:p>
      <w:pPr>
        <w:pStyle w:val="56"/>
        <w:ind w:firstLine="420"/>
      </w:pPr>
      <w:r>
        <w:t>宜在春季墒情较好或夏季雨季来临前进行。草原修复可因地制宜采用松土补播、免耕补播或飞播等措施，种子选择应以不同草原类型的乡土物种为主，慎用外来种和跨气候带引种，播种深度应根据种子的千粒重、土壤含水量、土壤质地等因素确定</w:t>
      </w:r>
      <w:r>
        <w:rPr>
          <w:rFonts w:hint="eastAsia"/>
        </w:rPr>
        <w:t>。</w:t>
      </w:r>
    </w:p>
    <w:p>
      <w:pPr>
        <w:pStyle w:val="65"/>
        <w:spacing w:before="156" w:after="156"/>
      </w:pPr>
      <w:bookmarkStart w:id="128" w:name="_Toc153472769"/>
      <w:bookmarkStart w:id="129" w:name="_Toc168559074"/>
      <w:r>
        <w:rPr>
          <w:rFonts w:hint="eastAsia"/>
        </w:rPr>
        <w:t>补植</w:t>
      </w:r>
      <w:bookmarkEnd w:id="128"/>
      <w:bookmarkEnd w:id="129"/>
    </w:p>
    <w:p>
      <w:pPr>
        <w:pStyle w:val="56"/>
        <w:ind w:firstLine="420"/>
      </w:pPr>
      <w:r>
        <w:rPr>
          <w:rFonts w:hint="eastAsia"/>
        </w:rPr>
        <w:t>宜在春季植物萌发时或秋季进行。选择适宜当地的灌木，采用带状或补缺的方式种植，初期及时补水。</w:t>
      </w:r>
    </w:p>
    <w:p>
      <w:pPr>
        <w:pStyle w:val="104"/>
        <w:spacing w:before="312" w:after="312"/>
      </w:pPr>
      <w:bookmarkStart w:id="130" w:name="_Toc155603320"/>
      <w:bookmarkStart w:id="131" w:name="_Toc168559075"/>
      <w:bookmarkStart w:id="132" w:name="_Toc155603192"/>
      <w:bookmarkStart w:id="133" w:name="_Toc153472770"/>
      <w:r>
        <w:rPr>
          <w:rFonts w:hint="eastAsia"/>
        </w:rPr>
        <w:t>档案管理</w:t>
      </w:r>
      <w:bookmarkEnd w:id="130"/>
      <w:bookmarkEnd w:id="131"/>
      <w:bookmarkEnd w:id="132"/>
      <w:bookmarkEnd w:id="133"/>
    </w:p>
    <w:p>
      <w:pPr>
        <w:pStyle w:val="56"/>
        <w:ind w:firstLine="420"/>
      </w:pPr>
      <w:r>
        <w:rPr>
          <w:rFonts w:hint="eastAsia"/>
        </w:rPr>
        <w:t>在整草原增汇经营周期内，工程管理与施工单位应指派专人负责，建立健全项目技术和管理档案。</w:t>
      </w:r>
    </w:p>
    <w:p>
      <w:pPr>
        <w:pStyle w:val="56"/>
        <w:ind w:firstLine="420"/>
      </w:pPr>
      <w:r>
        <w:rPr>
          <w:rFonts w:hint="eastAsia"/>
        </w:rPr>
        <w:t>实施过程中的相关材料应及时归档、长期保存、便于查询。材料主要包括：草原本底调查资料、设 计文件和图表、各经营阶段(补植补造、抚育、管护、更新)技术资料、全部建设过程的影像、图片资料、 施工或作业检查验收资料，活动碳排放记录资料，以及各种科学研究资料等。</w:t>
      </w:r>
    </w:p>
    <w:p>
      <w:pPr>
        <w:pStyle w:val="56"/>
        <w:ind w:firstLine="420"/>
      </w:pPr>
    </w:p>
    <w:bookmarkEnd w:id="28"/>
    <w:p>
      <w:pPr>
        <w:pStyle w:val="56"/>
        <w:ind w:firstLine="0" w:firstLineChars="0"/>
        <w:jc w:val="center"/>
      </w:pPr>
      <w:bookmarkStart w:id="134"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34"/>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1502/T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1502/T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rbeG+aZs0C76GvAkQNtVeIq4D5urkO4kTRCaCA01nooxcvDCqcoBLCaoxd3ujveIJsNc0ibhTKos8IiGNPORrQ==" w:salt="oU+4vLAezE3xXMjDtiW8d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MwOTFiNjkwNmZkZGViMDMxZGEyNTM1ZWZjMjRlZmIifQ=="/>
  </w:docVars>
  <w:rsids>
    <w:rsidRoot w:val="0053776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951"/>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CF8"/>
    <w:rsid w:val="000D4EB6"/>
    <w:rsid w:val="000D753B"/>
    <w:rsid w:val="000E4C9E"/>
    <w:rsid w:val="000E6FD7"/>
    <w:rsid w:val="000F06E1"/>
    <w:rsid w:val="000F0E3C"/>
    <w:rsid w:val="000F15EB"/>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4ED8"/>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51D"/>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1707"/>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5A55"/>
    <w:rsid w:val="002204BB"/>
    <w:rsid w:val="00221B79"/>
    <w:rsid w:val="00221C6B"/>
    <w:rsid w:val="002253A1"/>
    <w:rsid w:val="00225CF8"/>
    <w:rsid w:val="00226A11"/>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485A"/>
    <w:rsid w:val="00285170"/>
    <w:rsid w:val="00285361"/>
    <w:rsid w:val="00292D60"/>
    <w:rsid w:val="00292EEF"/>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468E"/>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1427"/>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384"/>
    <w:rsid w:val="0047583F"/>
    <w:rsid w:val="00475DE8"/>
    <w:rsid w:val="00481C44"/>
    <w:rsid w:val="00484936"/>
    <w:rsid w:val="00485C89"/>
    <w:rsid w:val="00486BE3"/>
    <w:rsid w:val="004905E4"/>
    <w:rsid w:val="00490A89"/>
    <w:rsid w:val="00490AB4"/>
    <w:rsid w:val="00492F02"/>
    <w:rsid w:val="004935BA"/>
    <w:rsid w:val="004939AE"/>
    <w:rsid w:val="00495E78"/>
    <w:rsid w:val="004A12DF"/>
    <w:rsid w:val="004A17E6"/>
    <w:rsid w:val="004A1BA8"/>
    <w:rsid w:val="004A4B57"/>
    <w:rsid w:val="004A63FA"/>
    <w:rsid w:val="004B0272"/>
    <w:rsid w:val="004B2701"/>
    <w:rsid w:val="004B2E1B"/>
    <w:rsid w:val="004B3AA8"/>
    <w:rsid w:val="004B3E93"/>
    <w:rsid w:val="004B6914"/>
    <w:rsid w:val="004B6A50"/>
    <w:rsid w:val="004B73DD"/>
    <w:rsid w:val="004C1FBC"/>
    <w:rsid w:val="004C3F1D"/>
    <w:rsid w:val="004C458D"/>
    <w:rsid w:val="004C7556"/>
    <w:rsid w:val="004C7E8B"/>
    <w:rsid w:val="004C7E9D"/>
    <w:rsid w:val="004C7F67"/>
    <w:rsid w:val="004D076D"/>
    <w:rsid w:val="004D0EF1"/>
    <w:rsid w:val="004D2253"/>
    <w:rsid w:val="004D4406"/>
    <w:rsid w:val="004D5914"/>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7767"/>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546"/>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2F16"/>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6A44"/>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66F"/>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0C9B"/>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2DE"/>
    <w:rsid w:val="00742C35"/>
    <w:rsid w:val="007432CA"/>
    <w:rsid w:val="007439EB"/>
    <w:rsid w:val="00743CB4"/>
    <w:rsid w:val="00743F0A"/>
    <w:rsid w:val="007444E8"/>
    <w:rsid w:val="0074548E"/>
    <w:rsid w:val="00745773"/>
    <w:rsid w:val="00745ED8"/>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234A"/>
    <w:rsid w:val="00783ECF"/>
    <w:rsid w:val="0078413A"/>
    <w:rsid w:val="00785928"/>
    <w:rsid w:val="007959E8"/>
    <w:rsid w:val="00795E9C"/>
    <w:rsid w:val="007A0521"/>
    <w:rsid w:val="007A2E12"/>
    <w:rsid w:val="007A3475"/>
    <w:rsid w:val="007A41C8"/>
    <w:rsid w:val="007A54CE"/>
    <w:rsid w:val="007A6FD9"/>
    <w:rsid w:val="007A7FFA"/>
    <w:rsid w:val="007B04EB"/>
    <w:rsid w:val="007B0D4F"/>
    <w:rsid w:val="007B1C01"/>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34F"/>
    <w:rsid w:val="007D76BD"/>
    <w:rsid w:val="007E0BF1"/>
    <w:rsid w:val="007F0ED8"/>
    <w:rsid w:val="007F0F63"/>
    <w:rsid w:val="007F75CE"/>
    <w:rsid w:val="008013A4"/>
    <w:rsid w:val="008027CE"/>
    <w:rsid w:val="0080282D"/>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51E8"/>
    <w:rsid w:val="008269DD"/>
    <w:rsid w:val="00830621"/>
    <w:rsid w:val="0083348C"/>
    <w:rsid w:val="008373D3"/>
    <w:rsid w:val="00840617"/>
    <w:rsid w:val="00840F84"/>
    <w:rsid w:val="00842A47"/>
    <w:rsid w:val="00843C13"/>
    <w:rsid w:val="008454F8"/>
    <w:rsid w:val="0085173A"/>
    <w:rsid w:val="008518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301"/>
    <w:rsid w:val="0089762C"/>
    <w:rsid w:val="008A1893"/>
    <w:rsid w:val="008A3215"/>
    <w:rsid w:val="008A57E6"/>
    <w:rsid w:val="008A6F81"/>
    <w:rsid w:val="008A769A"/>
    <w:rsid w:val="008B0C9C"/>
    <w:rsid w:val="008B166D"/>
    <w:rsid w:val="008B17F4"/>
    <w:rsid w:val="008B3615"/>
    <w:rsid w:val="008B4AC4"/>
    <w:rsid w:val="008B50C8"/>
    <w:rsid w:val="008B5281"/>
    <w:rsid w:val="008B5B86"/>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5DF3"/>
    <w:rsid w:val="008F70BD"/>
    <w:rsid w:val="008F788F"/>
    <w:rsid w:val="008F7EA2"/>
    <w:rsid w:val="00902722"/>
    <w:rsid w:val="009027BC"/>
    <w:rsid w:val="009062E6"/>
    <w:rsid w:val="00911BE5"/>
    <w:rsid w:val="009130C3"/>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6D0A"/>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8C"/>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3C8A"/>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0A98"/>
    <w:rsid w:val="00B827A6"/>
    <w:rsid w:val="00B831CE"/>
    <w:rsid w:val="00B86677"/>
    <w:rsid w:val="00B87131"/>
    <w:rsid w:val="00B939B1"/>
    <w:rsid w:val="00B96D40"/>
    <w:rsid w:val="00B97386"/>
    <w:rsid w:val="00BA263B"/>
    <w:rsid w:val="00BA42B2"/>
    <w:rsid w:val="00BA58D4"/>
    <w:rsid w:val="00BA5B9E"/>
    <w:rsid w:val="00BA7A39"/>
    <w:rsid w:val="00BA7C9A"/>
    <w:rsid w:val="00BB203B"/>
    <w:rsid w:val="00BB5F8F"/>
    <w:rsid w:val="00BB657A"/>
    <w:rsid w:val="00BB771D"/>
    <w:rsid w:val="00BC1A4E"/>
    <w:rsid w:val="00BC2FB8"/>
    <w:rsid w:val="00BC4790"/>
    <w:rsid w:val="00BC5DC7"/>
    <w:rsid w:val="00BC6B8B"/>
    <w:rsid w:val="00BC6DAA"/>
    <w:rsid w:val="00BC73D8"/>
    <w:rsid w:val="00BD52D7"/>
    <w:rsid w:val="00BD5AD2"/>
    <w:rsid w:val="00BE22F3"/>
    <w:rsid w:val="00BE5B52"/>
    <w:rsid w:val="00BE7B8D"/>
    <w:rsid w:val="00BF0993"/>
    <w:rsid w:val="00BF10A9"/>
    <w:rsid w:val="00BF1703"/>
    <w:rsid w:val="00BF231C"/>
    <w:rsid w:val="00BF3EAB"/>
    <w:rsid w:val="00BF51E5"/>
    <w:rsid w:val="00BF74A6"/>
    <w:rsid w:val="00C013AD"/>
    <w:rsid w:val="00C04904"/>
    <w:rsid w:val="00C056B3"/>
    <w:rsid w:val="00C103E5"/>
    <w:rsid w:val="00C13319"/>
    <w:rsid w:val="00C1354D"/>
    <w:rsid w:val="00C13EE9"/>
    <w:rsid w:val="00C20C86"/>
    <w:rsid w:val="00C21540"/>
    <w:rsid w:val="00C21906"/>
    <w:rsid w:val="00C21BFA"/>
    <w:rsid w:val="00C22148"/>
    <w:rsid w:val="00C2231C"/>
    <w:rsid w:val="00C24C8D"/>
    <w:rsid w:val="00C25D77"/>
    <w:rsid w:val="00C25FE2"/>
    <w:rsid w:val="00C26B53"/>
    <w:rsid w:val="00C279B2"/>
    <w:rsid w:val="00C27CE9"/>
    <w:rsid w:val="00C33E50"/>
    <w:rsid w:val="00C34C20"/>
    <w:rsid w:val="00C35A3E"/>
    <w:rsid w:val="00C42130"/>
    <w:rsid w:val="00C423A4"/>
    <w:rsid w:val="00C44BF5"/>
    <w:rsid w:val="00C51101"/>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1D97"/>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440D"/>
    <w:rsid w:val="00D4514F"/>
    <w:rsid w:val="00D451E2"/>
    <w:rsid w:val="00D45E89"/>
    <w:rsid w:val="00D45E8D"/>
    <w:rsid w:val="00D45EAB"/>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5D8"/>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5CE"/>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2BB7"/>
    <w:rsid w:val="00E74C54"/>
    <w:rsid w:val="00E77A03"/>
    <w:rsid w:val="00E822E8"/>
    <w:rsid w:val="00E82554"/>
    <w:rsid w:val="00E82606"/>
    <w:rsid w:val="00E846C8"/>
    <w:rsid w:val="00E84957"/>
    <w:rsid w:val="00E84A55"/>
    <w:rsid w:val="00E85BFF"/>
    <w:rsid w:val="00E90391"/>
    <w:rsid w:val="00E906C2"/>
    <w:rsid w:val="00E920D6"/>
    <w:rsid w:val="00E9311F"/>
    <w:rsid w:val="00E934D1"/>
    <w:rsid w:val="00E94AF0"/>
    <w:rsid w:val="00E95D13"/>
    <w:rsid w:val="00E95DD3"/>
    <w:rsid w:val="00E969D5"/>
    <w:rsid w:val="00EA58D1"/>
    <w:rsid w:val="00EA61BC"/>
    <w:rsid w:val="00EA681A"/>
    <w:rsid w:val="00EA735B"/>
    <w:rsid w:val="00EB17DE"/>
    <w:rsid w:val="00EB1E69"/>
    <w:rsid w:val="00EB2086"/>
    <w:rsid w:val="00EB4577"/>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347C"/>
    <w:rsid w:val="00F1409D"/>
    <w:rsid w:val="00F14214"/>
    <w:rsid w:val="00F157A9"/>
    <w:rsid w:val="00F25BB6"/>
    <w:rsid w:val="00F26B7E"/>
    <w:rsid w:val="00F27A3B"/>
    <w:rsid w:val="00F31DBF"/>
    <w:rsid w:val="00F33817"/>
    <w:rsid w:val="00F420D5"/>
    <w:rsid w:val="00F44BD3"/>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1A3"/>
    <w:rsid w:val="00FD2A7C"/>
    <w:rsid w:val="00FD59EB"/>
    <w:rsid w:val="00FD7299"/>
    <w:rsid w:val="00FE1FBE"/>
    <w:rsid w:val="00FE3901"/>
    <w:rsid w:val="00FE39D3"/>
    <w:rsid w:val="00FE4BCE"/>
    <w:rsid w:val="00FE54AE"/>
    <w:rsid w:val="00FE576A"/>
    <w:rsid w:val="00FE5836"/>
    <w:rsid w:val="00FE7AD4"/>
    <w:rsid w:val="00FE7E79"/>
    <w:rsid w:val="00FF3E7D"/>
    <w:rsid w:val="00FF5B99"/>
    <w:rsid w:val="00FF730C"/>
    <w:rsid w:val="00FF73F4"/>
    <w:rsid w:val="00FF7CE4"/>
    <w:rsid w:val="00FF7E39"/>
    <w:rsid w:val="0B9F3D21"/>
    <w:rsid w:val="186658BE"/>
    <w:rsid w:val="2ABE5B1A"/>
    <w:rsid w:val="31A92D5A"/>
    <w:rsid w:val="55893129"/>
    <w:rsid w:val="69003C94"/>
    <w:rsid w:val="728A58AF"/>
    <w:rsid w:val="7D9020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4"/>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2 字符"/>
    <w:link w:val="3"/>
    <w:autoRedefine/>
    <w:qFormat/>
    <w:uiPriority w:val="0"/>
    <w:rPr>
      <w:rFonts w:ascii="Arial" w:hAnsi="Arial" w:eastAsia="黑体"/>
      <w:b/>
      <w:bCs/>
      <w:kern w:val="2"/>
      <w:sz w:val="32"/>
      <w:szCs w:val="32"/>
    </w:rPr>
  </w:style>
  <w:style w:type="character" w:customStyle="1" w:styleId="35">
    <w:name w:val="标题 1 字符"/>
    <w:link w:val="2"/>
    <w:qFormat/>
    <w:uiPriority w:val="0"/>
    <w:rPr>
      <w:b/>
      <w:bCs/>
      <w:kern w:val="44"/>
      <w:sz w:val="44"/>
      <w:szCs w:val="44"/>
    </w:rPr>
  </w:style>
  <w:style w:type="character" w:customStyle="1" w:styleId="36">
    <w:name w:val="标题 3 字符"/>
    <w:link w:val="4"/>
    <w:autoRedefine/>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autoRedefine/>
    <w:qFormat/>
    <w:uiPriority w:val="0"/>
    <w:rPr>
      <w:b/>
      <w:bCs/>
      <w:kern w:val="2"/>
      <w:sz w:val="28"/>
      <w:szCs w:val="28"/>
    </w:rPr>
  </w:style>
  <w:style w:type="character" w:customStyle="1" w:styleId="39">
    <w:name w:val="标题 6 字符"/>
    <w:link w:val="7"/>
    <w:autoRedefine/>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autoRedefine/>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autoRedefine/>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autoRedefine/>
    <w:qFormat/>
    <w:uiPriority w:val="0"/>
    <w:rPr>
      <w:rFonts w:ascii="Arial" w:hAnsi="Arial" w:cs="Arial"/>
      <w:b/>
      <w:bCs/>
      <w:kern w:val="2"/>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autoRedefine/>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7FC13411F984DFEA2BC407775E50742"/>
        <w:style w:val=""/>
        <w:category>
          <w:name w:val="常规"/>
          <w:gallery w:val="placeholder"/>
        </w:category>
        <w:types>
          <w:type w:val="bbPlcHdr"/>
        </w:types>
        <w:behaviors>
          <w:behavior w:val="content"/>
        </w:behaviors>
        <w:description w:val=""/>
        <w:guid w:val="{EA5D4093-49DE-47E7-A117-04E033F22327}"/>
      </w:docPartPr>
      <w:docPartBody>
        <w:p>
          <w:pPr>
            <w:pStyle w:val="5"/>
          </w:pPr>
          <w:r>
            <w:rPr>
              <w:rStyle w:val="4"/>
              <w:rFonts w:hint="eastAsia"/>
            </w:rPr>
            <w:t>单击或点击此处输入文字。</w:t>
          </w:r>
        </w:p>
      </w:docPartBody>
    </w:docPart>
    <w:docPart>
      <w:docPartPr>
        <w:name w:val="DC8FC5E630284E818AF7095F6A3B81C8"/>
        <w:style w:val=""/>
        <w:category>
          <w:name w:val="常规"/>
          <w:gallery w:val="placeholder"/>
        </w:category>
        <w:types>
          <w:type w:val="bbPlcHdr"/>
        </w:types>
        <w:behaviors>
          <w:behavior w:val="content"/>
        </w:behaviors>
        <w:description w:val=""/>
        <w:guid w:val="{95A37008-E0EB-4F80-AF9D-4A0C51337E10}"/>
      </w:docPartPr>
      <w:docPartBody>
        <w:p>
          <w:pPr>
            <w:pStyle w:val="6"/>
          </w:pPr>
          <w:r>
            <w:rPr>
              <w:rStyle w:val="4"/>
              <w:rFonts w:hint="eastAsia"/>
            </w:rPr>
            <w:t>选择一项。</w:t>
          </w:r>
        </w:p>
      </w:docPartBody>
    </w:docPart>
    <w:docPart>
      <w:docPartPr>
        <w:name w:val="6820B7145C3A44C98D71709ECC2995DF"/>
        <w:style w:val=""/>
        <w:category>
          <w:name w:val="常规"/>
          <w:gallery w:val="placeholder"/>
        </w:category>
        <w:types>
          <w:type w:val="bbPlcHdr"/>
        </w:types>
        <w:behaviors>
          <w:behavior w:val="content"/>
        </w:behaviors>
        <w:description w:val=""/>
        <w:guid w:val="{7B4F6DB5-1FC3-4E06-8A9E-33306563C3ED}"/>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9D4"/>
    <w:rsid w:val="00076FA6"/>
    <w:rsid w:val="00112DF2"/>
    <w:rsid w:val="00136B67"/>
    <w:rsid w:val="004E2E64"/>
    <w:rsid w:val="00625096"/>
    <w:rsid w:val="007B4AFD"/>
    <w:rsid w:val="007F10EB"/>
    <w:rsid w:val="0094467C"/>
    <w:rsid w:val="00AD09D4"/>
    <w:rsid w:val="00ED47E6"/>
    <w:rsid w:val="00F377B3"/>
    <w:rsid w:val="00F95A76"/>
    <w:rsid w:val="00FB4A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07FC13411F984DFEA2BC407775E5074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DC8FC5E630284E818AF7095F6A3B81C8"/>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6820B7145C3A44C98D71709ECC2995DF"/>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C58CDC-8959-4A84-87CA-2B7F75A81766}">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6</Pages>
  <Words>1953</Words>
  <Characters>2211</Characters>
  <Lines>27</Lines>
  <Paragraphs>7</Paragraphs>
  <TotalTime>84</TotalTime>
  <ScaleCrop>false</ScaleCrop>
  <LinksUpToDate>false</LinksUpToDate>
  <CharactersWithSpaces>2326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2023-12-14T10:00:00Z</dcterms:created>
  <dc:creator>韩淑敏</dc:creator>
  <dc:description>&lt;config cover="true" show_menu="true" version="1.0.0" doctype="SDKXY"&gt;_x000d_
&lt;/config&gt;</dc:description>
  <cp:lastModifiedBy>YY</cp:lastModifiedBy>
  <cp:lastPrinted>2020-08-30T10:00:00Z</cp:lastPrinted>
  <dcterms:modified xsi:type="dcterms:W3CDTF">2024-06-24T08:22:47Z</dcterms:modified>
  <dc:title>地方标准</dc:title>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7D214B1651F3472C9892950FCF8FC811_12</vt:lpwstr>
  </property>
</Properties>
</file>