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ind w:left="0" w:leftChars="0" w:firstLine="0" w:firstLineChars="0"/>
        <w:jc w:val="center"/>
        <w:textAlignment w:val="auto"/>
        <w:rPr>
          <w:rFonts w:hint="eastAsia" w:ascii="方正小标宋简体" w:eastAsia="方正小标宋简体"/>
          <w:sz w:val="48"/>
          <w:szCs w:val="48"/>
        </w:rPr>
      </w:pPr>
      <w:r>
        <w:rPr>
          <w:rFonts w:hint="eastAsia" w:ascii="方正小标宋简体" w:eastAsia="方正小标宋简体"/>
          <w:sz w:val="48"/>
          <w:szCs w:val="48"/>
        </w:rPr>
        <w:t>《包头地区退化山地草原生态修复技术规程》编制说明</w:t>
      </w:r>
    </w:p>
    <w:p>
      <w:pPr>
        <w:pStyle w:val="2"/>
        <w:spacing w:line="600" w:lineRule="exact"/>
        <w:ind w:firstLine="640"/>
      </w:pPr>
      <w:bookmarkStart w:id="0" w:name="_Toc16798"/>
      <w:r>
        <w:rPr>
          <w:rFonts w:hint="eastAsia"/>
        </w:rPr>
        <w:t>一、工作简况</w:t>
      </w:r>
      <w:bookmarkEnd w:id="0"/>
    </w:p>
    <w:p>
      <w:pPr>
        <w:pStyle w:val="3"/>
        <w:spacing w:line="600" w:lineRule="exact"/>
        <w:ind w:firstLine="643"/>
      </w:pPr>
      <w:bookmarkStart w:id="1" w:name="_Toc5179"/>
      <w:r>
        <w:rPr>
          <w:rFonts w:hint="eastAsia"/>
        </w:rPr>
        <w:t>（一）</w:t>
      </w:r>
      <w:bookmarkEnd w:id="1"/>
      <w:r>
        <w:rPr>
          <w:rFonts w:hint="eastAsia"/>
        </w:rPr>
        <w:t>立项情况</w:t>
      </w:r>
    </w:p>
    <w:p>
      <w:pPr>
        <w:spacing w:line="600" w:lineRule="exact"/>
      </w:pPr>
      <w:r>
        <w:rPr>
          <w:rFonts w:hint="eastAsia"/>
        </w:rPr>
        <w:t>2023年7月，《包头市市场监督管理局关于下达包头市地方标准制修订项目计划的通知》文件印发，《包头地区退化山地草原生态修复技术规程》列入2023年第三批包头市地方标准制修订项目。为规范山地类型退化草原生态修复实施技术，包头市林业和草原局组织编制《包头地区退化山地草原生态修复技术规程》（以下简称《</w:t>
      </w:r>
      <w:r>
        <w:rPr>
          <w:rFonts w:hint="eastAsia"/>
          <w:lang w:eastAsia="zh-CN"/>
        </w:rPr>
        <w:t>技术规程</w:t>
      </w:r>
      <w:r>
        <w:rPr>
          <w:rFonts w:hint="eastAsia"/>
        </w:rPr>
        <w:t>》）。</w:t>
      </w:r>
    </w:p>
    <w:p>
      <w:pPr>
        <w:pStyle w:val="3"/>
        <w:numPr>
          <w:ilvl w:val="0"/>
          <w:numId w:val="3"/>
        </w:numPr>
        <w:spacing w:line="600" w:lineRule="exact"/>
        <w:ind w:firstLine="643"/>
      </w:pPr>
      <w:bookmarkStart w:id="2" w:name="_Toc1911"/>
      <w:r>
        <w:rPr>
          <w:rFonts w:hint="eastAsia"/>
        </w:rPr>
        <w:t>提出单位</w:t>
      </w:r>
      <w:bookmarkEnd w:id="2"/>
    </w:p>
    <w:p>
      <w:pPr>
        <w:spacing w:line="600" w:lineRule="exact"/>
        <w:rPr>
          <w:rFonts w:hint="eastAsia"/>
        </w:rPr>
      </w:pPr>
      <w:r>
        <w:rPr>
          <w:rFonts w:hint="eastAsia"/>
        </w:rPr>
        <w:t>《包头地区退化山地草原生态修复技术规程》由包头市林业和草原局提出。</w:t>
      </w:r>
    </w:p>
    <w:p>
      <w:pPr>
        <w:pStyle w:val="3"/>
        <w:spacing w:line="600" w:lineRule="exact"/>
        <w:ind w:firstLine="643"/>
      </w:pPr>
      <w:bookmarkStart w:id="3" w:name="_Toc5436"/>
      <w:r>
        <w:rPr>
          <w:rFonts w:hint="eastAsia"/>
        </w:rPr>
        <w:t>（三）归口单位</w:t>
      </w:r>
      <w:bookmarkEnd w:id="3"/>
    </w:p>
    <w:p>
      <w:pPr>
        <w:spacing w:line="600" w:lineRule="exact"/>
        <w:rPr>
          <w:rFonts w:hint="eastAsia"/>
        </w:rPr>
      </w:pPr>
      <w:r>
        <w:rPr>
          <w:rFonts w:hint="eastAsia"/>
        </w:rPr>
        <w:t>《包头地区退化山地草原生态修复技术规程》由包头市林业和草原局归口。</w:t>
      </w:r>
    </w:p>
    <w:p>
      <w:pPr>
        <w:pStyle w:val="3"/>
        <w:spacing w:line="600" w:lineRule="exact"/>
        <w:ind w:firstLine="643"/>
      </w:pPr>
      <w:bookmarkStart w:id="4" w:name="_Toc31601"/>
      <w:r>
        <w:rPr>
          <w:rFonts w:hint="eastAsia"/>
        </w:rPr>
        <w:t>（四）起草单位</w:t>
      </w:r>
      <w:bookmarkEnd w:id="4"/>
    </w:p>
    <w:p>
      <w:pPr>
        <w:spacing w:line="600" w:lineRule="exact"/>
        <w:rPr>
          <w:rFonts w:hint="eastAsia"/>
        </w:rPr>
      </w:pPr>
      <w:r>
        <w:rPr>
          <w:rFonts w:hint="eastAsia"/>
        </w:rPr>
        <w:t>《包头地区退化山地草原生态修复技术规程》的起草单位包括包头市林业和草原工作站、中国农业科学院草原研究所，</w:t>
      </w:r>
      <w:r>
        <w:rPr>
          <w:rFonts w:hint="eastAsia" w:cs="Times New Roman"/>
          <w:sz w:val="32"/>
          <w:szCs w:val="32"/>
          <w:lang w:val="en-US" w:eastAsia="zh-CN"/>
        </w:rPr>
        <w:t>包头市林业和草原灾害防控中心、</w:t>
      </w:r>
      <w:r>
        <w:rPr>
          <w:rFonts w:hint="eastAsia"/>
        </w:rPr>
        <w:t>包头市检验检测中心。</w:t>
      </w:r>
    </w:p>
    <w:p>
      <w:pPr>
        <w:pStyle w:val="3"/>
        <w:spacing w:line="600" w:lineRule="exact"/>
        <w:ind w:firstLine="643"/>
      </w:pPr>
      <w:bookmarkStart w:id="5" w:name="_Toc2161"/>
      <w:r>
        <w:rPr>
          <w:rFonts w:hint="eastAsia"/>
        </w:rPr>
        <w:t>（五）起草人</w:t>
      </w:r>
      <w:bookmarkEnd w:id="5"/>
    </w:p>
    <w:p>
      <w:pPr>
        <w:spacing w:line="600" w:lineRule="exact"/>
        <w:rPr>
          <w:rFonts w:hint="eastAsia" w:ascii="Times New Roman" w:hAnsi="Times New Roman"/>
          <w:lang w:eastAsia="zh-CN"/>
        </w:rPr>
      </w:pPr>
      <w:r>
        <w:rPr>
          <w:rFonts w:hint="eastAsia"/>
        </w:rPr>
        <w:t>《包头地区退化山地草原生态修复技术规程》的起草人包括</w:t>
      </w:r>
      <w:r>
        <w:rPr>
          <w:rFonts w:hint="eastAsia" w:ascii="Times New Roman" w:hAnsi="Times New Roman"/>
        </w:rPr>
        <w:t>杜华、方庆旭、翁靖韬、刘文剑、张瑞、孙世贤、李芳、闫晓红、郭华、丁志军、焦智斌、闫靖、朱学友、</w:t>
      </w:r>
      <w:r>
        <w:rPr>
          <w:rFonts w:hint="eastAsia"/>
          <w:lang w:eastAsia="zh-CN"/>
        </w:rPr>
        <w:t>丁素芹、</w:t>
      </w:r>
      <w:r>
        <w:rPr>
          <w:rFonts w:hint="eastAsia" w:ascii="Times New Roman" w:hAnsi="Times New Roman"/>
        </w:rPr>
        <w:t>吕整荣、姚瑶、郝文兵、冯小东。</w:t>
      </w:r>
    </w:p>
    <w:p>
      <w:pPr>
        <w:pStyle w:val="2"/>
        <w:spacing w:line="600" w:lineRule="exact"/>
        <w:ind w:firstLine="640"/>
      </w:pPr>
      <w:bookmarkStart w:id="6" w:name="_Toc6149"/>
      <w:r>
        <w:rPr>
          <w:rFonts w:hint="eastAsia"/>
        </w:rPr>
        <w:t>二、制定标准的</w:t>
      </w:r>
      <w:r>
        <w:t>目的</w:t>
      </w:r>
      <w:r>
        <w:rPr>
          <w:rFonts w:hint="eastAsia"/>
        </w:rPr>
        <w:t>和</w:t>
      </w:r>
      <w:r>
        <w:t>意义</w:t>
      </w:r>
      <w:bookmarkEnd w:id="6"/>
    </w:p>
    <w:p>
      <w:pPr>
        <w:spacing w:line="600" w:lineRule="exact"/>
        <w:rPr>
          <w:rFonts w:hint="eastAsia" w:ascii="Times New Roman" w:hAnsi="Times New Roman"/>
          <w:lang w:val="en-US" w:eastAsia="zh-CN"/>
        </w:rPr>
      </w:pPr>
      <w:r>
        <w:rPr>
          <w:rFonts w:hint="eastAsia" w:ascii="Times New Roman" w:hAnsi="Times New Roman"/>
          <w:lang w:val="en-US" w:eastAsia="zh-CN"/>
        </w:rPr>
        <w:t>天然草原补播技术作为生态修复治理的通用技术，被广泛应用于退化沙化草地治理工程和人工草地建植中，但因发生退化的天然草原主要集中分布于土壤资源贫瘠分散，水资源制约性强、区域资源供给不平衡的干旱半干旱区，严重匮缺具有可推广可复制的天然草原旱作补播案例。退化山地草原由于地形比较起伏、坡度大无法进行集中连片的机械化作业，因此传统的免耕补播技术在退化山地草原无法应用。</w:t>
      </w:r>
    </w:p>
    <w:p>
      <w:pPr>
        <w:spacing w:line="600" w:lineRule="exact"/>
        <w:rPr>
          <w:rFonts w:hint="eastAsia" w:ascii="Times New Roman" w:hAnsi="Times New Roman"/>
          <w:lang w:val="en-US" w:eastAsia="zh-CN"/>
        </w:rPr>
      </w:pPr>
      <w:r>
        <w:rPr>
          <w:rFonts w:hint="eastAsia" w:ascii="Times New Roman" w:hAnsi="Times New Roman"/>
          <w:lang w:val="en-US" w:eastAsia="zh-CN"/>
        </w:rPr>
        <w:t>《包头地区退化山地草原生态修复技术规程》是退化山地草原生态修复的重要技术支撑，是构建生态修复体系的有力保障，为山地草原生态修复提供可操作的技术方案。</w:t>
      </w:r>
    </w:p>
    <w:p>
      <w:pPr>
        <w:pStyle w:val="2"/>
        <w:spacing w:line="600" w:lineRule="exact"/>
        <w:ind w:firstLine="640"/>
      </w:pPr>
      <w:bookmarkStart w:id="7" w:name="_Toc9535"/>
      <w:r>
        <w:rPr>
          <w:rFonts w:hint="eastAsia"/>
        </w:rPr>
        <w:t>三、编制过程</w:t>
      </w:r>
      <w:bookmarkEnd w:id="7"/>
    </w:p>
    <w:p>
      <w:pPr>
        <w:spacing w:line="600" w:lineRule="exact"/>
        <w:rPr>
          <w:rFonts w:hint="eastAsia" w:ascii="Times New Roman" w:hAnsi="Times New Roman"/>
          <w:lang w:val="en-US" w:eastAsia="zh-CN"/>
        </w:rPr>
      </w:pPr>
      <w:r>
        <w:rPr>
          <w:rFonts w:hint="eastAsia" w:ascii="Times New Roman" w:hAnsi="Times New Roman"/>
          <w:lang w:val="en-US" w:eastAsia="zh-CN"/>
        </w:rPr>
        <w:t>包头市林业和草原局成立标准编制小组，诚邀包头市市场监督管理局对研究组开展培训，通过外部调研和内部走访，在参考其他地区经验和总结我市前期研究成果的基础上，初步研制出《包头地区退化山地草原生态修复技术规程》</w:t>
      </w:r>
      <w:r>
        <w:rPr>
          <w:rFonts w:hint="eastAsia"/>
          <w:lang w:val="en-US" w:eastAsia="zh-CN"/>
        </w:rPr>
        <w:t>，</w:t>
      </w:r>
      <w:r>
        <w:rPr>
          <w:rFonts w:hint="eastAsia" w:ascii="Times New Roman" w:hAnsi="Times New Roman"/>
          <w:lang w:val="en-US" w:eastAsia="zh-CN"/>
        </w:rPr>
        <w:t>再通过征求相关领域专家意见，逐步修改完善。</w:t>
      </w:r>
    </w:p>
    <w:p>
      <w:pPr>
        <w:pStyle w:val="2"/>
        <w:spacing w:line="600" w:lineRule="exact"/>
        <w:ind w:firstLine="640"/>
      </w:pPr>
      <w:bookmarkStart w:id="8" w:name="_Toc27301"/>
      <w:r>
        <w:rPr>
          <w:rFonts w:hint="eastAsia"/>
        </w:rPr>
        <w:t>四、制定标准的原则和依据，与现行法律、法规、标准的关系</w:t>
      </w:r>
      <w:bookmarkEnd w:id="8"/>
    </w:p>
    <w:p>
      <w:pPr>
        <w:pStyle w:val="3"/>
        <w:spacing w:line="600" w:lineRule="exact"/>
        <w:ind w:firstLine="643"/>
      </w:pPr>
      <w:bookmarkStart w:id="9" w:name="_Toc12385"/>
      <w:r>
        <w:t>（一）</w:t>
      </w:r>
      <w:r>
        <w:rPr>
          <w:rFonts w:hint="eastAsia"/>
        </w:rPr>
        <w:t>制定标准的</w:t>
      </w:r>
      <w:r>
        <w:t>原则</w:t>
      </w:r>
      <w:bookmarkEnd w:id="9"/>
    </w:p>
    <w:p>
      <w:pPr>
        <w:spacing w:line="600" w:lineRule="exact"/>
        <w:rPr>
          <w:rFonts w:hint="eastAsia" w:ascii="Times New Roman" w:hAnsi="Times New Roman"/>
          <w:lang w:val="en-US" w:eastAsia="zh-CN"/>
        </w:rPr>
      </w:pPr>
      <w:r>
        <w:rPr>
          <w:rFonts w:hint="eastAsia" w:ascii="Times New Roman" w:hAnsi="Times New Roman"/>
          <w:lang w:val="en-US" w:eastAsia="zh-CN"/>
        </w:rPr>
        <w:t>《实施指南》编制的总体原则是：充分考虑最新草原生态修复技术和当前包头市退化草原生态修复现状，认真分析包头市退化草原的特殊环境与地貌；准确把握包头市退化草原生态修复的薄弱环节，合理设置山地草原生态修复的实施措施。</w:t>
      </w:r>
    </w:p>
    <w:p>
      <w:pPr>
        <w:numPr>
          <w:ilvl w:val="0"/>
          <w:numId w:val="4"/>
        </w:numPr>
        <w:spacing w:line="600" w:lineRule="exact"/>
        <w:rPr>
          <w:rFonts w:hint="eastAsia" w:ascii="Times New Roman" w:hAnsi="Times New Roman"/>
          <w:lang w:val="en-US" w:eastAsia="zh-CN"/>
        </w:rPr>
      </w:pPr>
      <w:r>
        <w:rPr>
          <w:rFonts w:hint="eastAsia"/>
        </w:rPr>
        <w:t>原则性：</w:t>
      </w:r>
      <w:r>
        <w:rPr>
          <w:rFonts w:hint="eastAsia" w:ascii="Times New Roman" w:hAnsi="Times New Roman"/>
          <w:lang w:val="en-US" w:eastAsia="zh-CN"/>
        </w:rPr>
        <w:t>《包头地区退化山地草原生态修复技术规程》根据《</w:t>
      </w:r>
      <w:bookmarkStart w:id="17" w:name="_GoBack"/>
      <w:bookmarkEnd w:id="17"/>
      <w:r>
        <w:rPr>
          <w:rFonts w:hint="eastAsia" w:ascii="Times New Roman" w:hAnsi="Times New Roman"/>
          <w:lang w:val="en-US" w:eastAsia="zh-CN"/>
        </w:rPr>
        <w:t>中华人民共和国标准</w:t>
      </w:r>
      <w:r>
        <w:rPr>
          <w:rFonts w:hint="eastAsia"/>
          <w:lang w:val="en-US" w:eastAsia="zh-CN"/>
        </w:rPr>
        <w:t>化</w:t>
      </w:r>
      <w:r>
        <w:rPr>
          <w:rFonts w:hint="eastAsia" w:ascii="Times New Roman" w:hAnsi="Times New Roman"/>
          <w:lang w:val="en-US" w:eastAsia="zh-CN"/>
        </w:rPr>
        <w:t>法》及其《标准化工作导则第1部分：标准化文件的结构和起草规则》GB/T 1.1—2020进行编制。</w:t>
      </w:r>
    </w:p>
    <w:p>
      <w:pPr>
        <w:spacing w:line="600" w:lineRule="exact"/>
        <w:rPr>
          <w:rFonts w:hint="eastAsia" w:ascii="Times New Roman" w:hAnsi="Times New Roman"/>
          <w:lang w:val="en-US" w:eastAsia="zh-CN"/>
        </w:rPr>
      </w:pPr>
      <w:r>
        <w:rPr>
          <w:rFonts w:hint="eastAsia"/>
        </w:rPr>
        <w:t>（2）</w:t>
      </w:r>
      <w:r>
        <w:rPr>
          <w:rFonts w:hint="eastAsia" w:ascii="Times New Roman" w:hAnsi="Times New Roman"/>
          <w:lang w:val="en-US" w:eastAsia="zh-CN"/>
        </w:rPr>
        <w:t>适应性：《包头地区退化山地草原生态修复技术规程》规定退化山地草原的退化分级、生态修复草种选择、补播技术、补播方法、播后覆土、播后管理等技术措施，为包头市退化山地草原生态修复工程实施提供依据。</w:t>
      </w:r>
    </w:p>
    <w:p>
      <w:pPr>
        <w:spacing w:line="600" w:lineRule="exact"/>
        <w:rPr>
          <w:rFonts w:hint="eastAsia" w:ascii="Times New Roman" w:hAnsi="Times New Roman"/>
          <w:lang w:val="en-US" w:eastAsia="zh-CN"/>
        </w:rPr>
      </w:pPr>
      <w:r>
        <w:rPr>
          <w:rFonts w:hint="eastAsia"/>
        </w:rPr>
        <w:t>（3）先进性：</w:t>
      </w:r>
      <w:r>
        <w:rPr>
          <w:rFonts w:hint="eastAsia" w:ascii="Times New Roman" w:hAnsi="Times New Roman"/>
          <w:lang w:val="en-US" w:eastAsia="zh-CN"/>
        </w:rPr>
        <w:t>《包头地区退化山地草原生态修复技术规程》充分借鉴国内生态修复国家及地方标准，并结合包头市退化山地草原生态修复实际情况，在前期生态修复技术研究的基础之上制定本项技术规程。</w:t>
      </w:r>
    </w:p>
    <w:p>
      <w:pPr>
        <w:pStyle w:val="3"/>
        <w:spacing w:line="600" w:lineRule="exact"/>
        <w:ind w:firstLine="643"/>
      </w:pPr>
      <w:bookmarkStart w:id="10" w:name="_Toc17872"/>
      <w:r>
        <w:t>（</w:t>
      </w:r>
      <w:r>
        <w:rPr>
          <w:rFonts w:hint="eastAsia"/>
        </w:rPr>
        <w:t>二</w:t>
      </w:r>
      <w:r>
        <w:t>）</w:t>
      </w:r>
      <w:r>
        <w:rPr>
          <w:rFonts w:hint="eastAsia"/>
        </w:rPr>
        <w:t>制定</w:t>
      </w:r>
      <w:r>
        <w:t>标准的依据</w:t>
      </w:r>
      <w:bookmarkEnd w:id="10"/>
    </w:p>
    <w:p>
      <w:pPr>
        <w:spacing w:line="600" w:lineRule="exact"/>
        <w:rPr>
          <w:rFonts w:hint="eastAsia" w:ascii="Times New Roman" w:hAnsi="Times New Roman"/>
          <w:lang w:val="en-US" w:eastAsia="zh-CN"/>
        </w:rPr>
      </w:pPr>
      <w:r>
        <w:rPr>
          <w:rFonts w:hint="eastAsia"/>
          <w:lang w:val="en-US" w:eastAsia="zh-CN"/>
        </w:rPr>
        <w:t>本文件</w:t>
      </w:r>
      <w:r>
        <w:rPr>
          <w:rFonts w:hint="eastAsia" w:ascii="Times New Roman" w:hAnsi="Times New Roman"/>
          <w:lang w:val="en-US" w:eastAsia="zh-CN"/>
        </w:rPr>
        <w:t>以“包头市2021年退化草原生态修复项目”实施效果为制定依据，同时也借鉴了国家标准《退化草地修复技术规范》（GB/T 37067）、《天然草地退化、 沙化、 盐渍化的分级指标》（GB 19377）等相关标准的技术内容，制定形成《退化山地草原生态修复技术规程》。</w:t>
      </w:r>
    </w:p>
    <w:p>
      <w:pPr>
        <w:pStyle w:val="3"/>
        <w:spacing w:line="600" w:lineRule="exact"/>
        <w:ind w:firstLine="643"/>
      </w:pPr>
      <w:bookmarkStart w:id="11" w:name="_Toc6221"/>
      <w:r>
        <w:rPr>
          <w:rFonts w:hint="eastAsia"/>
        </w:rPr>
        <w:t>（三）</w:t>
      </w:r>
      <w:r>
        <w:t>与现行法律、法规和标准的关系</w:t>
      </w:r>
      <w:bookmarkEnd w:id="11"/>
    </w:p>
    <w:p>
      <w:pPr>
        <w:spacing w:line="600" w:lineRule="exact"/>
      </w:pPr>
      <w:r>
        <w:rPr>
          <w:rFonts w:hint="eastAsia"/>
        </w:rPr>
        <w:t>本文件内容符合国家及内蒙古自治区现行法律法规要求。</w:t>
      </w:r>
    </w:p>
    <w:p>
      <w:pPr>
        <w:pStyle w:val="2"/>
        <w:spacing w:line="600" w:lineRule="exact"/>
        <w:ind w:firstLine="640"/>
      </w:pPr>
      <w:bookmarkStart w:id="12" w:name="_Toc21609"/>
      <w:r>
        <w:rPr>
          <w:rFonts w:hint="eastAsia"/>
        </w:rPr>
        <w:t>五、主要条款说明，</w:t>
      </w:r>
      <w:r>
        <w:t>主要技术指标、参数、试验验证的论</w:t>
      </w:r>
      <w:r>
        <w:rPr>
          <w:rFonts w:hint="eastAsia"/>
        </w:rPr>
        <w:t>述</w:t>
      </w:r>
      <w:bookmarkEnd w:id="12"/>
    </w:p>
    <w:p>
      <w:pPr>
        <w:spacing w:line="600" w:lineRule="exact"/>
        <w:rPr>
          <w:rFonts w:hint="eastAsia" w:ascii="Times New Roman" w:hAnsi="Times New Roman"/>
          <w:lang w:val="en-US" w:eastAsia="zh-CN"/>
        </w:rPr>
      </w:pPr>
      <w:r>
        <w:rPr>
          <w:rFonts w:hint="eastAsia" w:ascii="Times New Roman" w:hAnsi="Times New Roman"/>
          <w:lang w:val="en-US" w:eastAsia="zh-CN"/>
        </w:rPr>
        <w:t>本《包头地区退化山地草原生态修复技术规程》主要包括5个章节内容。</w:t>
      </w:r>
    </w:p>
    <w:p>
      <w:pPr>
        <w:spacing w:line="600" w:lineRule="exact"/>
        <w:rPr>
          <w:rFonts w:hint="eastAsia" w:ascii="Times New Roman" w:hAnsi="Times New Roman"/>
          <w:lang w:val="en-US" w:eastAsia="zh-CN"/>
        </w:rPr>
      </w:pPr>
      <w:r>
        <w:rPr>
          <w:rFonts w:hint="eastAsia" w:ascii="Times New Roman" w:hAnsi="Times New Roman"/>
          <w:lang w:val="en-US" w:eastAsia="zh-CN"/>
        </w:rPr>
        <w:t>1. 主要条款说明</w:t>
      </w:r>
    </w:p>
    <w:p>
      <w:pPr>
        <w:spacing w:line="600" w:lineRule="exact"/>
        <w:rPr>
          <w:rFonts w:hint="eastAsia" w:ascii="Times New Roman" w:hAnsi="Times New Roman"/>
          <w:lang w:val="en-US" w:eastAsia="zh-CN"/>
        </w:rPr>
      </w:pPr>
      <w:r>
        <w:rPr>
          <w:rFonts w:hint="eastAsia" w:ascii="Times New Roman" w:hAnsi="Times New Roman"/>
          <w:lang w:val="en-US" w:eastAsia="zh-CN"/>
        </w:rPr>
        <w:t>按着国家标准和地方标准的格式，《包头地区退化山地草原生态修复技术规程》的内容规定了退化山地草原生态修复的术语和定义、退化山地草原补播草种的选择、山地草原飞播技术、飞播后家畜踩踏覆土技术及播后管理技术等。</w:t>
      </w:r>
    </w:p>
    <w:p>
      <w:pPr>
        <w:spacing w:line="600" w:lineRule="exact"/>
        <w:rPr>
          <w:rFonts w:hint="eastAsia" w:ascii="Times New Roman" w:hAnsi="Times New Roman"/>
          <w:lang w:val="en-US" w:eastAsia="zh-CN"/>
        </w:rPr>
      </w:pPr>
      <w:r>
        <w:rPr>
          <w:rFonts w:hint="eastAsia" w:ascii="Times New Roman" w:hAnsi="Times New Roman"/>
          <w:lang w:val="en-US" w:eastAsia="zh-CN"/>
        </w:rPr>
        <w:t>2. 主要技术指标、参数、试验验证的论述</w:t>
      </w:r>
    </w:p>
    <w:p>
      <w:pPr>
        <w:spacing w:line="600" w:lineRule="exact"/>
        <w:rPr>
          <w:rFonts w:hint="eastAsia" w:ascii="Times New Roman" w:hAnsi="Times New Roman"/>
          <w:lang w:val="en-US" w:eastAsia="zh-CN"/>
        </w:rPr>
      </w:pPr>
      <w:r>
        <w:rPr>
          <w:rFonts w:hint="eastAsia" w:ascii="Times New Roman" w:hAnsi="Times New Roman"/>
          <w:lang w:val="en-US" w:eastAsia="zh-CN"/>
        </w:rPr>
        <w:t>（1）主要技术指标</w:t>
      </w:r>
    </w:p>
    <w:p>
      <w:pPr>
        <w:spacing w:line="600" w:lineRule="exact"/>
        <w:rPr>
          <w:rFonts w:hint="eastAsia" w:ascii="Times New Roman" w:hAnsi="Times New Roman"/>
          <w:lang w:val="en-US" w:eastAsia="zh-CN"/>
        </w:rPr>
      </w:pPr>
      <w:r>
        <w:rPr>
          <w:rFonts w:hint="eastAsia"/>
          <w:lang w:val="en-US" w:eastAsia="zh-CN"/>
        </w:rPr>
        <w:t>本文件</w:t>
      </w:r>
      <w:r>
        <w:rPr>
          <w:rFonts w:hint="eastAsia" w:ascii="Times New Roman" w:hAnsi="Times New Roman"/>
          <w:lang w:val="en-US" w:eastAsia="zh-CN"/>
        </w:rPr>
        <w:t>对退化山地草原生态修复指标进行了说明</w:t>
      </w:r>
      <w:r>
        <w:rPr>
          <w:rFonts w:hint="eastAsia"/>
          <w:lang w:val="en-US" w:eastAsia="zh-CN"/>
        </w:rPr>
        <w:t>,</w:t>
      </w:r>
      <w:r>
        <w:rPr>
          <w:rFonts w:hint="eastAsia" w:ascii="Times New Roman" w:hAnsi="Times New Roman"/>
          <w:lang w:val="en-US" w:eastAsia="zh-CN"/>
        </w:rPr>
        <w:t>对围封、补播、草种选择及播量、补播过程中关键技术点</w:t>
      </w:r>
      <w:r>
        <w:rPr>
          <w:rFonts w:hint="eastAsia"/>
          <w:lang w:val="en-US" w:eastAsia="zh-CN"/>
        </w:rPr>
        <w:t>及</w:t>
      </w:r>
      <w:r>
        <w:rPr>
          <w:rFonts w:hint="eastAsia" w:ascii="Times New Roman" w:hAnsi="Times New Roman"/>
          <w:lang w:val="en-US" w:eastAsia="zh-CN"/>
        </w:rPr>
        <w:t>后期管护等技术内容做了具体规范。</w:t>
      </w:r>
    </w:p>
    <w:p>
      <w:pPr>
        <w:spacing w:line="600" w:lineRule="exact"/>
        <w:rPr>
          <w:rFonts w:hint="eastAsia" w:ascii="Times New Roman" w:hAnsi="Times New Roman"/>
          <w:lang w:val="en-US" w:eastAsia="zh-CN"/>
        </w:rPr>
      </w:pPr>
      <w:r>
        <w:rPr>
          <w:rFonts w:hint="eastAsia" w:ascii="Times New Roman" w:hAnsi="Times New Roman"/>
          <w:lang w:val="en-US" w:eastAsia="zh-CN"/>
        </w:rPr>
        <w:t>（2）参数、试验验证的论述</w:t>
      </w:r>
    </w:p>
    <w:p>
      <w:pPr>
        <w:spacing w:line="600" w:lineRule="exact"/>
        <w:rPr>
          <w:rFonts w:hint="eastAsia" w:ascii="Times New Roman" w:hAnsi="Times New Roman"/>
          <w:lang w:val="en-US" w:eastAsia="zh-CN"/>
        </w:rPr>
      </w:pPr>
      <w:r>
        <w:rPr>
          <w:rFonts w:hint="eastAsia" w:ascii="Times New Roman" w:hAnsi="Times New Roman"/>
          <w:lang w:val="en-US" w:eastAsia="zh-CN"/>
        </w:rPr>
        <w:t>围栏：网围栏每卷长度200 m，选用7 × 110 × 60型（纬线7根,上下跨度110 cm,经线间60 cm），边纬线直径2.8 mm，中纬线直径2.5 mm，经线直径2.5 mm、环扣线均为2.5 mm。在预建围栏地块线路每隔10 m设一限柱，使各标柱成直线，对围栏的作业路要清除障碍物，使地块平整。</w:t>
      </w:r>
    </w:p>
    <w:p>
      <w:pPr>
        <w:spacing w:line="600" w:lineRule="exact"/>
        <w:rPr>
          <w:rFonts w:hint="eastAsia" w:ascii="Times New Roman" w:hAnsi="Times New Roman"/>
          <w:lang w:val="en-US" w:eastAsia="zh-CN"/>
        </w:rPr>
      </w:pPr>
      <w:r>
        <w:rPr>
          <w:rFonts w:hint="eastAsia" w:ascii="Times New Roman" w:hAnsi="Times New Roman"/>
          <w:lang w:val="en-US" w:eastAsia="zh-CN"/>
        </w:rPr>
        <w:t>以上参数主要参照农业行业标准《草原围栏建设技术规程》（NY/T 1237-2006）。</w:t>
      </w:r>
    </w:p>
    <w:p>
      <w:pPr>
        <w:spacing w:line="600" w:lineRule="exact"/>
        <w:rPr>
          <w:rFonts w:hint="eastAsia" w:ascii="Times New Roman" w:hAnsi="Times New Roman"/>
          <w:lang w:val="en-US" w:eastAsia="zh-CN"/>
        </w:rPr>
      </w:pPr>
      <w:r>
        <w:rPr>
          <w:rFonts w:hint="eastAsia" w:ascii="Times New Roman" w:hAnsi="Times New Roman"/>
          <w:lang w:val="en-US" w:eastAsia="zh-CN"/>
        </w:rPr>
        <w:t>补播草种选择及播量：草种符合GB 6141、GB 6142种子质量分级要求。依托有资质的检测单位对种子质量进行抽检，抽检合格率达85%以上。草种选择扁穗冰草、披碱草、老芒麦、沙打旺、胡枝子、小叶锦鸡儿等。播种量2 kg～3 kg/亩，禾本科：豆科比例以3:1为宜。</w:t>
      </w:r>
    </w:p>
    <w:p>
      <w:pPr>
        <w:spacing w:line="600" w:lineRule="exact"/>
        <w:rPr>
          <w:rFonts w:hint="eastAsia" w:ascii="Times New Roman" w:hAnsi="Times New Roman"/>
          <w:lang w:val="en-US" w:eastAsia="zh-CN"/>
        </w:rPr>
      </w:pPr>
      <w:r>
        <w:rPr>
          <w:rFonts w:hint="eastAsia" w:ascii="Times New Roman" w:hAnsi="Times New Roman"/>
          <w:lang w:val="en-US" w:eastAsia="zh-CN"/>
        </w:rPr>
        <w:t>以上参数主要依据退化山地草原实施区域植被、土壤和地形状况，并结合内蒙古乡土草种特征特性确定，草种质量控制主要按国家标准《豆科草种子质量分级》（GB 6141）和《禾本科草种子质量分级》（GB 6142）规定编制。</w:t>
      </w:r>
    </w:p>
    <w:p>
      <w:pPr>
        <w:spacing w:line="600" w:lineRule="exact"/>
        <w:rPr>
          <w:rFonts w:hint="eastAsia" w:ascii="Times New Roman" w:hAnsi="Times New Roman"/>
          <w:lang w:val="en-US" w:eastAsia="zh-CN"/>
        </w:rPr>
      </w:pPr>
      <w:r>
        <w:rPr>
          <w:rFonts w:hint="eastAsia" w:ascii="Times New Roman" w:hAnsi="Times New Roman"/>
          <w:lang w:val="en-US" w:eastAsia="zh-CN"/>
        </w:rPr>
        <w:t>牲畜踩踏：为了保障在山地中种子的有效补播，</w:t>
      </w:r>
      <w:r>
        <w:rPr>
          <w:rFonts w:hint="eastAsia"/>
          <w:lang w:val="en-US" w:eastAsia="zh-CN"/>
        </w:rPr>
        <w:t>本文件</w:t>
      </w:r>
      <w:r>
        <w:rPr>
          <w:rFonts w:hint="eastAsia" w:ascii="Times New Roman" w:hAnsi="Times New Roman"/>
          <w:lang w:val="en-US" w:eastAsia="zh-CN"/>
        </w:rPr>
        <w:t>规定“补播后让牲畜放牧踩踏6-7天，载畜量以适度放牧为宜，使飞播种子进入土壤，实现种子覆土，牲畜践踏以适宜载畜量为宜，具体适宜载畜量计算按照DB51/T 1480执行。”“放牧踩踏6-7天”参照项目实施过程中实际实施效果确定。</w:t>
      </w:r>
    </w:p>
    <w:p>
      <w:pPr>
        <w:spacing w:line="600" w:lineRule="exact"/>
        <w:rPr>
          <w:rFonts w:hint="eastAsia" w:ascii="Times New Roman" w:hAnsi="Times New Roman"/>
          <w:lang w:val="en-US" w:eastAsia="zh-CN"/>
        </w:rPr>
      </w:pPr>
      <w:r>
        <w:rPr>
          <w:rFonts w:hint="eastAsia"/>
          <w:lang w:val="en-US" w:eastAsia="zh-CN"/>
        </w:rPr>
        <w:t>本文件</w:t>
      </w:r>
      <w:r>
        <w:rPr>
          <w:rFonts w:hint="eastAsia" w:ascii="Times New Roman" w:hAnsi="Times New Roman"/>
          <w:lang w:val="en-US" w:eastAsia="zh-CN"/>
        </w:rPr>
        <w:t>其他规定技术内容，主要依据国内外相关技术研究成果。</w:t>
      </w:r>
    </w:p>
    <w:p>
      <w:pPr>
        <w:pStyle w:val="2"/>
        <w:spacing w:line="600" w:lineRule="exact"/>
        <w:ind w:firstLine="640"/>
      </w:pPr>
      <w:bookmarkStart w:id="13" w:name="_Toc399"/>
      <w:r>
        <w:rPr>
          <w:rFonts w:hint="eastAsia"/>
        </w:rPr>
        <w:t>六、重大意见分歧的处理依据和结果</w:t>
      </w:r>
      <w:bookmarkEnd w:id="13"/>
    </w:p>
    <w:p>
      <w:pPr>
        <w:spacing w:line="600" w:lineRule="exact"/>
      </w:pPr>
      <w:r>
        <w:rPr>
          <w:rFonts w:hint="eastAsia"/>
        </w:rPr>
        <w:t>本文件的制定过程中未出现重大的分歧意见。</w:t>
      </w:r>
    </w:p>
    <w:p>
      <w:pPr>
        <w:pStyle w:val="2"/>
        <w:spacing w:line="600" w:lineRule="exact"/>
        <w:ind w:firstLine="640"/>
      </w:pPr>
      <w:bookmarkStart w:id="14" w:name="_Toc8472"/>
      <w:r>
        <w:rPr>
          <w:rFonts w:hint="eastAsia"/>
        </w:rPr>
        <w:t>七、</w:t>
      </w:r>
      <w:r>
        <w:t>采用国际标准或国外先进标准的情况</w:t>
      </w:r>
      <w:bookmarkEnd w:id="14"/>
    </w:p>
    <w:p>
      <w:pPr>
        <w:spacing w:line="600" w:lineRule="exact"/>
        <w:rPr>
          <w:rFonts w:hint="eastAsia" w:ascii="Times New Roman" w:hAnsi="Times New Roman"/>
        </w:rPr>
      </w:pPr>
      <w:r>
        <w:rPr>
          <w:rFonts w:hint="eastAsia" w:ascii="Times New Roman" w:hAnsi="Times New Roman"/>
        </w:rPr>
        <w:t>本文件未采用国际标准或国外先进标准。</w:t>
      </w:r>
    </w:p>
    <w:p>
      <w:pPr>
        <w:pStyle w:val="2"/>
        <w:spacing w:line="600" w:lineRule="exact"/>
        <w:ind w:firstLine="640"/>
        <w:rPr>
          <w:rFonts w:hint="eastAsia" w:ascii="Times New Roman" w:hAnsi="Times New Roman"/>
        </w:rPr>
      </w:pPr>
      <w:bookmarkStart w:id="15" w:name="_Toc11067"/>
      <w:r>
        <w:rPr>
          <w:rFonts w:hint="eastAsia" w:ascii="Times New Roman" w:hAnsi="Times New Roman"/>
        </w:rPr>
        <w:t>八、推广实施</w:t>
      </w:r>
      <w:bookmarkEnd w:id="15"/>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lang w:val="en-US" w:eastAsia="zh-CN"/>
        </w:rPr>
      </w:pPr>
      <w:r>
        <w:rPr>
          <w:rFonts w:hint="eastAsia"/>
          <w:lang w:eastAsia="zh-CN"/>
        </w:rPr>
        <w:t>包头地区</w:t>
      </w:r>
      <w:r>
        <w:rPr>
          <w:rFonts w:hint="eastAsia" w:ascii="Times New Roman" w:hAnsi="Times New Roman"/>
        </w:rPr>
        <w:t>退化</w:t>
      </w:r>
      <w:r>
        <w:rPr>
          <w:rFonts w:hint="eastAsia" w:ascii="Times New Roman" w:hAnsi="Times New Roman"/>
          <w:lang w:eastAsia="zh-CN"/>
        </w:rPr>
        <w:t>山地</w:t>
      </w:r>
      <w:r>
        <w:rPr>
          <w:rFonts w:hint="eastAsia" w:ascii="Times New Roman" w:hAnsi="Times New Roman"/>
        </w:rPr>
        <w:t>草原生态修复</w:t>
      </w:r>
      <w:r>
        <w:rPr>
          <w:rFonts w:hint="eastAsia"/>
          <w:lang w:eastAsia="zh-CN"/>
        </w:rPr>
        <w:t>，</w:t>
      </w:r>
      <w:r>
        <w:rPr>
          <w:rFonts w:hint="eastAsia"/>
          <w:lang w:val="en-US" w:eastAsia="zh-CN"/>
        </w:rPr>
        <w:t>可以本文件为依据。</w:t>
      </w:r>
    </w:p>
    <w:p>
      <w:pPr>
        <w:pStyle w:val="2"/>
        <w:spacing w:line="600" w:lineRule="exact"/>
        <w:ind w:firstLine="640"/>
      </w:pPr>
      <w:bookmarkStart w:id="16" w:name="_Toc5317"/>
      <w:r>
        <w:rPr>
          <w:rFonts w:hint="eastAsia"/>
        </w:rPr>
        <w:t>九、其他应说明的事项</w:t>
      </w:r>
      <w:bookmarkEnd w:id="16"/>
    </w:p>
    <w:p>
      <w:pPr>
        <w:spacing w:line="600" w:lineRule="exact"/>
        <w:rPr>
          <w:rFonts w:hint="eastAsia" w:ascii="Times New Roman" w:hAnsi="Times New Roman"/>
        </w:rPr>
      </w:pPr>
      <w:r>
        <w:rPr>
          <w:rFonts w:hint="eastAsia" w:ascii="Times New Roman" w:hAnsi="Times New Roman"/>
        </w:rPr>
        <w:t>无</w:t>
      </w:r>
    </w:p>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48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ind w:firstLine="48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pStyle w:val="4"/>
                      <w:ind w:firstLine="48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CC5B64"/>
    <w:multiLevelType w:val="singleLevel"/>
    <w:tmpl w:val="CDCC5B64"/>
    <w:lvl w:ilvl="0" w:tentative="0">
      <w:start w:val="2"/>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C503A6C"/>
    <w:multiLevelType w:val="singleLevel"/>
    <w:tmpl w:val="3C503A6C"/>
    <w:lvl w:ilvl="0" w:tentative="0">
      <w:start w:val="1"/>
      <w:numFmt w:val="decimal"/>
      <w:suff w:val="nothing"/>
      <w:lvlText w:val="（%1）"/>
      <w:lvlJc w:val="left"/>
    </w:lvl>
  </w:abstractNum>
  <w:abstractNum w:abstractNumId="3">
    <w:nsid w:val="44C50F90"/>
    <w:multiLevelType w:val="multilevel"/>
    <w:tmpl w:val="44C50F90"/>
    <w:lvl w:ilvl="0" w:tentative="0">
      <w:start w:val="1"/>
      <w:numFmt w:val="lowerLetter"/>
      <w:pStyle w:val="1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jM2M3NDgxZjBiOWU5ZjQ0YTY3ZThhNzI5ODVjMGMifQ=="/>
  </w:docVars>
  <w:rsids>
    <w:rsidRoot w:val="00E44D7F"/>
    <w:rsid w:val="000013ED"/>
    <w:rsid w:val="0000492A"/>
    <w:rsid w:val="00015E44"/>
    <w:rsid w:val="00016940"/>
    <w:rsid w:val="00017675"/>
    <w:rsid w:val="00033E70"/>
    <w:rsid w:val="00035200"/>
    <w:rsid w:val="00051EF2"/>
    <w:rsid w:val="00070E9E"/>
    <w:rsid w:val="000B7094"/>
    <w:rsid w:val="000C37F5"/>
    <w:rsid w:val="000C60A4"/>
    <w:rsid w:val="00120547"/>
    <w:rsid w:val="001926DA"/>
    <w:rsid w:val="001C0D42"/>
    <w:rsid w:val="001D2EAF"/>
    <w:rsid w:val="001D4D3A"/>
    <w:rsid w:val="001F4004"/>
    <w:rsid w:val="002034F3"/>
    <w:rsid w:val="002047CC"/>
    <w:rsid w:val="002109E0"/>
    <w:rsid w:val="0024727F"/>
    <w:rsid w:val="00250225"/>
    <w:rsid w:val="00273C2A"/>
    <w:rsid w:val="0029764F"/>
    <w:rsid w:val="002A6159"/>
    <w:rsid w:val="002B1F36"/>
    <w:rsid w:val="002B795A"/>
    <w:rsid w:val="002C0BEF"/>
    <w:rsid w:val="002C315A"/>
    <w:rsid w:val="003231ED"/>
    <w:rsid w:val="003416E1"/>
    <w:rsid w:val="003551B3"/>
    <w:rsid w:val="00362BF0"/>
    <w:rsid w:val="00382978"/>
    <w:rsid w:val="00387B25"/>
    <w:rsid w:val="003914CA"/>
    <w:rsid w:val="00394EA2"/>
    <w:rsid w:val="003C2C51"/>
    <w:rsid w:val="003F2439"/>
    <w:rsid w:val="00426B1A"/>
    <w:rsid w:val="00433BC5"/>
    <w:rsid w:val="0046186B"/>
    <w:rsid w:val="00463CCB"/>
    <w:rsid w:val="00476FF1"/>
    <w:rsid w:val="004A195E"/>
    <w:rsid w:val="004A4964"/>
    <w:rsid w:val="004F11CC"/>
    <w:rsid w:val="00500D57"/>
    <w:rsid w:val="00540907"/>
    <w:rsid w:val="005438C0"/>
    <w:rsid w:val="0056202D"/>
    <w:rsid w:val="005641D6"/>
    <w:rsid w:val="00567182"/>
    <w:rsid w:val="005C04DE"/>
    <w:rsid w:val="005C5A81"/>
    <w:rsid w:val="005D6938"/>
    <w:rsid w:val="005D70B1"/>
    <w:rsid w:val="005F7404"/>
    <w:rsid w:val="00601DD0"/>
    <w:rsid w:val="00610C46"/>
    <w:rsid w:val="006177B4"/>
    <w:rsid w:val="00627175"/>
    <w:rsid w:val="00642CFA"/>
    <w:rsid w:val="006C0CDE"/>
    <w:rsid w:val="006C3709"/>
    <w:rsid w:val="006E0779"/>
    <w:rsid w:val="00711C8C"/>
    <w:rsid w:val="00722103"/>
    <w:rsid w:val="00736CD7"/>
    <w:rsid w:val="00755829"/>
    <w:rsid w:val="00761CA1"/>
    <w:rsid w:val="007638B1"/>
    <w:rsid w:val="00770FF0"/>
    <w:rsid w:val="007721DC"/>
    <w:rsid w:val="00780A04"/>
    <w:rsid w:val="007A7012"/>
    <w:rsid w:val="007D499F"/>
    <w:rsid w:val="007F5CAD"/>
    <w:rsid w:val="00811C13"/>
    <w:rsid w:val="00835A3F"/>
    <w:rsid w:val="00842C95"/>
    <w:rsid w:val="00853ADC"/>
    <w:rsid w:val="00881200"/>
    <w:rsid w:val="00882B1E"/>
    <w:rsid w:val="008D37C9"/>
    <w:rsid w:val="008E2B3E"/>
    <w:rsid w:val="008E4BEE"/>
    <w:rsid w:val="008F2C0A"/>
    <w:rsid w:val="009138DC"/>
    <w:rsid w:val="009139DA"/>
    <w:rsid w:val="00916715"/>
    <w:rsid w:val="0098140C"/>
    <w:rsid w:val="00981D7D"/>
    <w:rsid w:val="009B2E71"/>
    <w:rsid w:val="009B472D"/>
    <w:rsid w:val="009D0D42"/>
    <w:rsid w:val="009D1EB5"/>
    <w:rsid w:val="009E758A"/>
    <w:rsid w:val="00A03D2E"/>
    <w:rsid w:val="00A04C64"/>
    <w:rsid w:val="00A33B03"/>
    <w:rsid w:val="00A445AE"/>
    <w:rsid w:val="00A747FB"/>
    <w:rsid w:val="00A75571"/>
    <w:rsid w:val="00A90EE0"/>
    <w:rsid w:val="00AA7271"/>
    <w:rsid w:val="00AA739D"/>
    <w:rsid w:val="00AC77CB"/>
    <w:rsid w:val="00AE2673"/>
    <w:rsid w:val="00AE3748"/>
    <w:rsid w:val="00AF07BE"/>
    <w:rsid w:val="00B24C6F"/>
    <w:rsid w:val="00B30DD9"/>
    <w:rsid w:val="00B63E3C"/>
    <w:rsid w:val="00BB47DA"/>
    <w:rsid w:val="00BB5D33"/>
    <w:rsid w:val="00BF4834"/>
    <w:rsid w:val="00C4354A"/>
    <w:rsid w:val="00C45E60"/>
    <w:rsid w:val="00C60641"/>
    <w:rsid w:val="00C60F17"/>
    <w:rsid w:val="00C66B8B"/>
    <w:rsid w:val="00C74134"/>
    <w:rsid w:val="00C7416F"/>
    <w:rsid w:val="00C84FF2"/>
    <w:rsid w:val="00C93CC7"/>
    <w:rsid w:val="00CA5B99"/>
    <w:rsid w:val="00D03208"/>
    <w:rsid w:val="00D1046E"/>
    <w:rsid w:val="00D14356"/>
    <w:rsid w:val="00D42D0D"/>
    <w:rsid w:val="00D70207"/>
    <w:rsid w:val="00DD2A2B"/>
    <w:rsid w:val="00DE0D69"/>
    <w:rsid w:val="00DE75FF"/>
    <w:rsid w:val="00DF0947"/>
    <w:rsid w:val="00E44239"/>
    <w:rsid w:val="00E44D7F"/>
    <w:rsid w:val="00E66598"/>
    <w:rsid w:val="00E66BAA"/>
    <w:rsid w:val="00E7581E"/>
    <w:rsid w:val="00E93D69"/>
    <w:rsid w:val="00EC6EF6"/>
    <w:rsid w:val="00EE7882"/>
    <w:rsid w:val="00F16D8B"/>
    <w:rsid w:val="00F24981"/>
    <w:rsid w:val="00F31936"/>
    <w:rsid w:val="00F70A84"/>
    <w:rsid w:val="00F83D02"/>
    <w:rsid w:val="00FA343F"/>
    <w:rsid w:val="00FE7D74"/>
    <w:rsid w:val="02D209DC"/>
    <w:rsid w:val="04F31D8A"/>
    <w:rsid w:val="07681E50"/>
    <w:rsid w:val="07B740AB"/>
    <w:rsid w:val="08813D8D"/>
    <w:rsid w:val="09F76422"/>
    <w:rsid w:val="0A0A0A0E"/>
    <w:rsid w:val="0B5973A3"/>
    <w:rsid w:val="0D54277A"/>
    <w:rsid w:val="0E2C35D4"/>
    <w:rsid w:val="0E9E3446"/>
    <w:rsid w:val="0F20161D"/>
    <w:rsid w:val="1036601B"/>
    <w:rsid w:val="13062682"/>
    <w:rsid w:val="132E2ABB"/>
    <w:rsid w:val="14276FAA"/>
    <w:rsid w:val="14383DBC"/>
    <w:rsid w:val="15A96470"/>
    <w:rsid w:val="187D1E98"/>
    <w:rsid w:val="18DE75FF"/>
    <w:rsid w:val="1C0B7651"/>
    <w:rsid w:val="1D4D72AE"/>
    <w:rsid w:val="1E5B16E3"/>
    <w:rsid w:val="208C266E"/>
    <w:rsid w:val="240334FB"/>
    <w:rsid w:val="252A2995"/>
    <w:rsid w:val="29707F5B"/>
    <w:rsid w:val="29EB494C"/>
    <w:rsid w:val="2C215325"/>
    <w:rsid w:val="2C5D3FC5"/>
    <w:rsid w:val="2D436894"/>
    <w:rsid w:val="2EEB5001"/>
    <w:rsid w:val="2F8B3DE2"/>
    <w:rsid w:val="30893DAC"/>
    <w:rsid w:val="33541DC5"/>
    <w:rsid w:val="33945FB2"/>
    <w:rsid w:val="371B42F4"/>
    <w:rsid w:val="3AC70896"/>
    <w:rsid w:val="3B235D6C"/>
    <w:rsid w:val="3B595EA9"/>
    <w:rsid w:val="3CF7310E"/>
    <w:rsid w:val="3D7021B3"/>
    <w:rsid w:val="3D746706"/>
    <w:rsid w:val="3D7B789B"/>
    <w:rsid w:val="426546AB"/>
    <w:rsid w:val="42BF022A"/>
    <w:rsid w:val="439E42E3"/>
    <w:rsid w:val="44ED10A0"/>
    <w:rsid w:val="450F1281"/>
    <w:rsid w:val="467D7752"/>
    <w:rsid w:val="4681670A"/>
    <w:rsid w:val="46E4182B"/>
    <w:rsid w:val="483A59BA"/>
    <w:rsid w:val="49BB2948"/>
    <w:rsid w:val="49D4280C"/>
    <w:rsid w:val="49E727D4"/>
    <w:rsid w:val="4A187736"/>
    <w:rsid w:val="4B0C247A"/>
    <w:rsid w:val="4F312B99"/>
    <w:rsid w:val="4FDF1C88"/>
    <w:rsid w:val="510767A9"/>
    <w:rsid w:val="539B2198"/>
    <w:rsid w:val="541167D8"/>
    <w:rsid w:val="54931516"/>
    <w:rsid w:val="55A27C63"/>
    <w:rsid w:val="56187F25"/>
    <w:rsid w:val="578D0EA1"/>
    <w:rsid w:val="57902E69"/>
    <w:rsid w:val="57AC396B"/>
    <w:rsid w:val="58C3399C"/>
    <w:rsid w:val="58D26AB1"/>
    <w:rsid w:val="5A297572"/>
    <w:rsid w:val="5A5625F0"/>
    <w:rsid w:val="5A9503BF"/>
    <w:rsid w:val="5ADA5BAF"/>
    <w:rsid w:val="5B0B44FC"/>
    <w:rsid w:val="5B617AE7"/>
    <w:rsid w:val="5CD759BC"/>
    <w:rsid w:val="5CE312A0"/>
    <w:rsid w:val="5CFB46A4"/>
    <w:rsid w:val="5E9B5B97"/>
    <w:rsid w:val="5F9347C8"/>
    <w:rsid w:val="5F977CEE"/>
    <w:rsid w:val="604D7048"/>
    <w:rsid w:val="626764BC"/>
    <w:rsid w:val="627735A5"/>
    <w:rsid w:val="632A08DA"/>
    <w:rsid w:val="634E7FAA"/>
    <w:rsid w:val="63B84AF5"/>
    <w:rsid w:val="63DC64F9"/>
    <w:rsid w:val="63F20C2F"/>
    <w:rsid w:val="64E35BA2"/>
    <w:rsid w:val="653077B7"/>
    <w:rsid w:val="65616536"/>
    <w:rsid w:val="657F0ABC"/>
    <w:rsid w:val="68295E30"/>
    <w:rsid w:val="68B65AA7"/>
    <w:rsid w:val="69633464"/>
    <w:rsid w:val="69830D4C"/>
    <w:rsid w:val="6A6029BB"/>
    <w:rsid w:val="6B520BC7"/>
    <w:rsid w:val="6B632B6F"/>
    <w:rsid w:val="6B6C6304"/>
    <w:rsid w:val="6B7A1CE2"/>
    <w:rsid w:val="6BDB2A14"/>
    <w:rsid w:val="6BE23F04"/>
    <w:rsid w:val="6CF34F90"/>
    <w:rsid w:val="6D9302A7"/>
    <w:rsid w:val="6F881820"/>
    <w:rsid w:val="6FF50F07"/>
    <w:rsid w:val="72135E5F"/>
    <w:rsid w:val="72364238"/>
    <w:rsid w:val="72B80E00"/>
    <w:rsid w:val="731F13A5"/>
    <w:rsid w:val="738449AC"/>
    <w:rsid w:val="74AE541B"/>
    <w:rsid w:val="755E6196"/>
    <w:rsid w:val="760C31AA"/>
    <w:rsid w:val="76250744"/>
    <w:rsid w:val="766B0D4A"/>
    <w:rsid w:val="78EF46BD"/>
    <w:rsid w:val="7A283E1D"/>
    <w:rsid w:val="7BB15EFA"/>
    <w:rsid w:val="7C8F04F9"/>
    <w:rsid w:val="7CD9190C"/>
    <w:rsid w:val="7D211F4C"/>
    <w:rsid w:val="7D4F6073"/>
    <w:rsid w:val="7DB327F2"/>
    <w:rsid w:val="7E7342FF"/>
    <w:rsid w:val="7F8B53A8"/>
    <w:rsid w:val="7FB80864"/>
    <w:rsid w:val="FFFA42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9"/>
    <w:pPr>
      <w:keepNext/>
      <w:keepLines/>
      <w:spacing w:line="360" w:lineRule="auto"/>
      <w:ind w:firstLine="720"/>
      <w:outlineLvl w:val="0"/>
    </w:pPr>
    <w:rPr>
      <w:rFonts w:eastAsia="黑体"/>
      <w:bCs/>
      <w:kern w:val="44"/>
      <w:szCs w:val="44"/>
    </w:rPr>
  </w:style>
  <w:style w:type="paragraph" w:styleId="3">
    <w:name w:val="heading 2"/>
    <w:basedOn w:val="1"/>
    <w:next w:val="1"/>
    <w:link w:val="14"/>
    <w:unhideWhenUsed/>
    <w:qFormat/>
    <w:uiPriority w:val="9"/>
    <w:pPr>
      <w:keepNext/>
      <w:keepLines/>
      <w:spacing w:line="360" w:lineRule="auto"/>
      <w:ind w:firstLine="720"/>
      <w:outlineLvl w:val="1"/>
    </w:pPr>
    <w:rPr>
      <w:rFonts w:eastAsia="楷体_GB2312" w:cstheme="majorBidi"/>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24"/>
      <w:szCs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toc 1"/>
    <w:basedOn w:val="1"/>
    <w:next w:val="1"/>
    <w:semiHidden/>
    <w:unhideWhenUsed/>
    <w:qFormat/>
    <w:uiPriority w:val="39"/>
  </w:style>
  <w:style w:type="paragraph" w:styleId="7">
    <w:name w:val="toc 2"/>
    <w:basedOn w:val="1"/>
    <w:next w:val="1"/>
    <w:semiHidden/>
    <w:unhideWhenUsed/>
    <w:qFormat/>
    <w:uiPriority w:val="39"/>
    <w:pPr>
      <w:ind w:left="420" w:leftChars="200"/>
    </w:p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paragraph" w:styleId="9">
    <w:name w:val="Body Text First Indent 2"/>
    <w:basedOn w:val="1"/>
    <w:next w:val="1"/>
    <w:semiHidden/>
    <w:unhideWhenUsed/>
    <w:qFormat/>
    <w:uiPriority w:val="99"/>
    <w:pPr>
      <w:ind w:firstLine="420"/>
    </w:p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字符"/>
    <w:basedOn w:val="12"/>
    <w:link w:val="2"/>
    <w:qFormat/>
    <w:uiPriority w:val="9"/>
    <w:rPr>
      <w:rFonts w:ascii="Times New Roman" w:hAnsi="Times New Roman" w:eastAsia="黑体"/>
      <w:bCs/>
      <w:kern w:val="44"/>
      <w:sz w:val="32"/>
      <w:szCs w:val="44"/>
    </w:rPr>
  </w:style>
  <w:style w:type="character" w:customStyle="1" w:styleId="14">
    <w:name w:val="标题 2 字符"/>
    <w:basedOn w:val="12"/>
    <w:link w:val="3"/>
    <w:qFormat/>
    <w:uiPriority w:val="9"/>
    <w:rPr>
      <w:rFonts w:ascii="Times New Roman" w:hAnsi="Times New Roman" w:eastAsia="楷体_GB2312" w:cstheme="majorBidi"/>
      <w:b/>
      <w:bCs/>
      <w:sz w:val="32"/>
      <w:szCs w:val="32"/>
    </w:rPr>
  </w:style>
  <w:style w:type="paragraph" w:customStyle="1" w:styleId="15">
    <w:name w:val="章标题"/>
    <w:next w:val="16"/>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一级条标题"/>
    <w:next w:val="16"/>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二级条标题"/>
    <w:basedOn w:val="17"/>
    <w:next w:val="16"/>
    <w:qFormat/>
    <w:uiPriority w:val="0"/>
    <w:pPr>
      <w:numPr>
        <w:ilvl w:val="2"/>
      </w:numPr>
      <w:spacing w:before="50" w:after="50"/>
      <w:outlineLvl w:val="3"/>
    </w:pPr>
  </w:style>
  <w:style w:type="paragraph" w:customStyle="1" w:styleId="19">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20">
    <w:name w:val="段 Char"/>
    <w:basedOn w:val="12"/>
    <w:qFormat/>
    <w:uiPriority w:val="0"/>
    <w:rPr>
      <w:rFonts w:hint="eastAsia" w:ascii="宋体" w:hAnsi="宋体" w:eastAsia="宋体" w:cs="宋体"/>
      <w:sz w:val="21"/>
    </w:rPr>
  </w:style>
  <w:style w:type="paragraph" w:customStyle="1" w:styleId="2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2290</Words>
  <Characters>2391</Characters>
  <Lines>20</Lines>
  <Paragraphs>5</Paragraphs>
  <TotalTime>0</TotalTime>
  <ScaleCrop>false</ScaleCrop>
  <LinksUpToDate>false</LinksUpToDate>
  <CharactersWithSpaces>2418</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2023-10-11T07:17:00Z</dcterms:created>
  <dc:creator>黄梅</dc:creator>
  <cp:lastModifiedBy>user</cp:lastModifiedBy>
  <dcterms:modified xsi:type="dcterms:W3CDTF">2025-09-29T16:59:58Z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459E26132B7C453689F78509DC9372ED_13</vt:lpwstr>
  </property>
</Properties>
</file>