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78" w:lineRule="exact"/>
        <w:ind w:left="0" w:leftChars="0" w:firstLine="0" w:firstLineChars="0"/>
        <w:jc w:val="center"/>
        <w:textAlignment w:val="auto"/>
        <w:rPr>
          <w:rFonts w:hint="eastAsia" w:ascii="方正小标宋简体" w:hAnsi="Times New Roman" w:eastAsia="方正小标宋简体"/>
          <w:sz w:val="48"/>
          <w:szCs w:val="48"/>
        </w:rPr>
      </w:pPr>
      <w:r>
        <w:rPr>
          <w:rFonts w:hint="eastAsia" w:ascii="方正小标宋简体" w:hAnsi="Times New Roman" w:eastAsia="方正小标宋简体"/>
          <w:sz w:val="48"/>
          <w:szCs w:val="48"/>
        </w:rPr>
        <w:t>《包头林草碳票碳</w:t>
      </w:r>
      <w:r>
        <w:rPr>
          <w:rFonts w:hint="eastAsia" w:ascii="方正小标宋简体" w:hAnsi="Times New Roman" w:eastAsia="方正小标宋简体"/>
          <w:sz w:val="48"/>
          <w:szCs w:val="48"/>
          <w:lang w:eastAsia="zh-CN"/>
        </w:rPr>
        <w:t>汇量</w:t>
      </w:r>
      <w:r>
        <w:rPr>
          <w:rFonts w:hint="eastAsia" w:ascii="方正小标宋简体" w:hAnsi="Times New Roman" w:eastAsia="方正小标宋简体"/>
          <w:sz w:val="48"/>
          <w:szCs w:val="48"/>
        </w:rPr>
        <w:t>计量</w:t>
      </w:r>
      <w:r>
        <w:rPr>
          <w:rFonts w:hint="eastAsia" w:ascii="方正小标宋简体" w:hAnsi="Times New Roman" w:eastAsia="方正小标宋简体"/>
          <w:sz w:val="48"/>
          <w:szCs w:val="48"/>
          <w:lang w:eastAsia="zh-CN"/>
        </w:rPr>
        <w:t>方法</w:t>
      </w:r>
      <w:r>
        <w:rPr>
          <w:rFonts w:hint="eastAsia" w:ascii="方正小标宋简体" w:hAnsi="Times New Roman" w:eastAsia="方正小标宋简体"/>
          <w:sz w:val="48"/>
          <w:szCs w:val="48"/>
        </w:rPr>
        <w:t>》</w:t>
      </w:r>
    </w:p>
    <w:p>
      <w:pPr>
        <w:keepNext w:val="0"/>
        <w:keepLines w:val="0"/>
        <w:pageBreakBefore w:val="0"/>
        <w:widowControl w:val="0"/>
        <w:kinsoku/>
        <w:wordWrap/>
        <w:overflowPunct/>
        <w:topLinePunct w:val="0"/>
        <w:autoSpaceDE/>
        <w:autoSpaceDN/>
        <w:bidi w:val="0"/>
        <w:adjustRightInd/>
        <w:snapToGrid/>
        <w:spacing w:line="578" w:lineRule="exact"/>
        <w:ind w:left="0" w:leftChars="0" w:firstLine="0" w:firstLineChars="0"/>
        <w:jc w:val="center"/>
        <w:textAlignment w:val="auto"/>
        <w:rPr>
          <w:rFonts w:hint="eastAsia" w:ascii="方正小标宋简体" w:hAnsi="Times New Roman" w:eastAsia="方正小标宋简体"/>
          <w:sz w:val="48"/>
          <w:szCs w:val="48"/>
        </w:rPr>
      </w:pPr>
      <w:r>
        <w:rPr>
          <w:rFonts w:hint="eastAsia" w:ascii="方正小标宋简体" w:hAnsi="Times New Roman" w:eastAsia="方正小标宋简体"/>
          <w:sz w:val="48"/>
          <w:szCs w:val="48"/>
        </w:rPr>
        <w:t>编制说明</w:t>
      </w:r>
    </w:p>
    <w:p>
      <w:pPr>
        <w:keepNext w:val="0"/>
        <w:keepLines w:val="0"/>
        <w:pageBreakBefore w:val="0"/>
        <w:widowControl w:val="0"/>
        <w:kinsoku/>
        <w:wordWrap/>
        <w:overflowPunct/>
        <w:topLinePunct w:val="0"/>
        <w:autoSpaceDE/>
        <w:autoSpaceDN/>
        <w:bidi w:val="0"/>
        <w:adjustRightInd/>
        <w:snapToGrid/>
        <w:spacing w:before="157" w:beforeLines="50" w:line="600" w:lineRule="exact"/>
        <w:ind w:firstLine="640" w:firstLineChars="200"/>
        <w:textAlignment w:val="auto"/>
        <w:rPr>
          <w:rFonts w:hint="eastAsia" w:ascii="黑体" w:hAnsi="黑体" w:eastAsia="黑体" w:cs="黑体"/>
          <w:sz w:val="32"/>
          <w:szCs w:val="32"/>
          <w:lang w:eastAsia="zh-CN"/>
        </w:rPr>
      </w:pPr>
      <w:r>
        <w:rPr>
          <w:rFonts w:hint="eastAsia" w:ascii="黑体" w:hAnsi="黑体" w:eastAsia="黑体" w:cs="黑体"/>
          <w:sz w:val="32"/>
          <w:szCs w:val="32"/>
          <w:lang w:eastAsia="zh-CN"/>
        </w:rPr>
        <w:t>一、工作简况</w:t>
      </w:r>
    </w:p>
    <w:p>
      <w:pPr>
        <w:pStyle w:val="3"/>
        <w:pageBreakBefore w:val="0"/>
        <w:kinsoku/>
        <w:wordWrap/>
        <w:overflowPunct/>
        <w:topLinePunct w:val="0"/>
        <w:autoSpaceDE/>
        <w:autoSpaceDN/>
        <w:bidi w:val="0"/>
        <w:adjustRightInd/>
        <w:snapToGrid/>
        <w:spacing w:line="600" w:lineRule="exact"/>
        <w:textAlignment w:val="auto"/>
        <w:rPr>
          <w:rFonts w:hint="default" w:eastAsia="楷体_GB2312"/>
          <w:b w:val="0"/>
          <w:bCs w:val="0"/>
          <w:sz w:val="32"/>
          <w:szCs w:val="32"/>
          <w:lang w:val="en-US" w:eastAsia="zh-CN"/>
        </w:rPr>
      </w:pPr>
      <w:bookmarkStart w:id="0" w:name="_Toc5179"/>
      <w:r>
        <w:rPr>
          <w:rFonts w:hint="eastAsia"/>
          <w:b w:val="0"/>
          <w:bCs w:val="0"/>
          <w:sz w:val="32"/>
          <w:szCs w:val="32"/>
        </w:rPr>
        <w:t>（一）</w:t>
      </w:r>
      <w:bookmarkEnd w:id="0"/>
      <w:r>
        <w:rPr>
          <w:rFonts w:hint="eastAsia"/>
          <w:b w:val="0"/>
          <w:bCs w:val="0"/>
          <w:sz w:val="32"/>
          <w:szCs w:val="32"/>
          <w:lang w:val="en-US" w:eastAsia="zh-CN"/>
        </w:rPr>
        <w:t>立项情况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2023年7月，《包头市市场监督管理局关于下达包头市地方标准制修订项目计划的通知》文件印发，《包头林草碳票碳汇量计量方法》列入2023年第三批包头市地方标准制修订项目。为规范计量和监测森林、草原生命周期碳汇量，包头市林业和草原局组织编制《包头林草碳票碳汇量计量方法》（以下简称《计量方法》）。</w:t>
      </w:r>
    </w:p>
    <w:p>
      <w:pPr>
        <w:pStyle w:val="3"/>
        <w:pageBreakBefore w:val="0"/>
        <w:kinsoku/>
        <w:wordWrap/>
        <w:overflowPunct/>
        <w:topLinePunct w:val="0"/>
        <w:autoSpaceDE/>
        <w:autoSpaceDN/>
        <w:bidi w:val="0"/>
        <w:adjustRightInd/>
        <w:snapToGrid/>
        <w:spacing w:line="600" w:lineRule="exact"/>
        <w:textAlignment w:val="auto"/>
        <w:rPr>
          <w:rFonts w:hint="eastAsia"/>
          <w:b w:val="0"/>
          <w:bCs w:val="0"/>
          <w:sz w:val="32"/>
          <w:szCs w:val="32"/>
          <w:lang w:val="en-US" w:eastAsia="zh-CN"/>
        </w:rPr>
      </w:pPr>
      <w:bookmarkStart w:id="1" w:name="_Toc1911"/>
      <w:r>
        <w:rPr>
          <w:rFonts w:hint="eastAsia"/>
          <w:b w:val="0"/>
          <w:bCs w:val="0"/>
          <w:sz w:val="32"/>
          <w:szCs w:val="32"/>
          <w:lang w:val="en-US" w:eastAsia="zh-CN"/>
        </w:rPr>
        <w:t>（二）提出单位</w:t>
      </w:r>
      <w:bookmarkEnd w:id="1"/>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lang w:val="en-US" w:eastAsia="zh-CN"/>
        </w:rPr>
        <w:t>计量方法</w:t>
      </w:r>
      <w:r>
        <w:rPr>
          <w:rFonts w:hint="default" w:ascii="仿宋_GB2312" w:hAnsi="仿宋_GB2312" w:eastAsia="仿宋_GB2312" w:cs="仿宋_GB2312"/>
          <w:sz w:val="32"/>
          <w:szCs w:val="32"/>
          <w:lang w:val="en-US" w:eastAsia="zh-CN"/>
        </w:rPr>
        <w:t>》由包头市林业和草原局提出</w:t>
      </w:r>
      <w:r>
        <w:rPr>
          <w:rFonts w:hint="eastAsia" w:ascii="仿宋_GB2312" w:hAnsi="仿宋_GB2312" w:eastAsia="仿宋_GB2312" w:cs="仿宋_GB2312"/>
          <w:sz w:val="32"/>
          <w:szCs w:val="32"/>
          <w:lang w:val="en-US" w:eastAsia="zh-CN"/>
        </w:rPr>
        <w:t>。</w:t>
      </w:r>
    </w:p>
    <w:p>
      <w:pPr>
        <w:pStyle w:val="3"/>
        <w:pageBreakBefore w:val="0"/>
        <w:kinsoku/>
        <w:wordWrap/>
        <w:overflowPunct/>
        <w:topLinePunct w:val="0"/>
        <w:autoSpaceDE/>
        <w:autoSpaceDN/>
        <w:bidi w:val="0"/>
        <w:adjustRightInd/>
        <w:snapToGrid/>
        <w:spacing w:line="600" w:lineRule="exact"/>
        <w:textAlignment w:val="auto"/>
        <w:rPr>
          <w:rFonts w:hint="default"/>
          <w:b w:val="0"/>
          <w:bCs w:val="0"/>
          <w:sz w:val="32"/>
          <w:szCs w:val="32"/>
          <w:lang w:val="en-US" w:eastAsia="zh-CN"/>
        </w:rPr>
      </w:pPr>
      <w:bookmarkStart w:id="2" w:name="_Toc5436"/>
      <w:r>
        <w:rPr>
          <w:rFonts w:hint="eastAsia"/>
          <w:b w:val="0"/>
          <w:bCs w:val="0"/>
          <w:sz w:val="32"/>
          <w:szCs w:val="32"/>
          <w:lang w:val="en-US" w:eastAsia="zh-CN"/>
        </w:rPr>
        <w:t>（三）归口单位</w:t>
      </w:r>
      <w:bookmarkEnd w:id="2"/>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lang w:val="en-US" w:eastAsia="zh-CN"/>
        </w:rPr>
        <w:t>计量方法</w:t>
      </w:r>
      <w:r>
        <w:rPr>
          <w:rFonts w:hint="default" w:ascii="仿宋_GB2312" w:hAnsi="仿宋_GB2312" w:eastAsia="仿宋_GB2312" w:cs="仿宋_GB2312"/>
          <w:sz w:val="32"/>
          <w:szCs w:val="32"/>
          <w:lang w:val="en-US" w:eastAsia="zh-CN"/>
        </w:rPr>
        <w:t>》由包头市林业和草原局</w:t>
      </w:r>
      <w:r>
        <w:rPr>
          <w:rFonts w:hint="eastAsia" w:ascii="仿宋_GB2312" w:hAnsi="仿宋_GB2312" w:eastAsia="仿宋_GB2312" w:cs="仿宋_GB2312"/>
          <w:sz w:val="32"/>
          <w:szCs w:val="32"/>
          <w:lang w:val="en-US" w:eastAsia="zh-CN"/>
        </w:rPr>
        <w:t>归口。</w:t>
      </w:r>
    </w:p>
    <w:p>
      <w:pPr>
        <w:pStyle w:val="3"/>
        <w:pageBreakBefore w:val="0"/>
        <w:kinsoku/>
        <w:wordWrap/>
        <w:overflowPunct/>
        <w:topLinePunct w:val="0"/>
        <w:autoSpaceDE/>
        <w:autoSpaceDN/>
        <w:bidi w:val="0"/>
        <w:adjustRightInd/>
        <w:snapToGrid/>
        <w:spacing w:line="600" w:lineRule="exact"/>
        <w:textAlignment w:val="auto"/>
        <w:rPr>
          <w:rFonts w:hint="default"/>
          <w:b w:val="0"/>
          <w:bCs w:val="0"/>
          <w:sz w:val="32"/>
          <w:szCs w:val="32"/>
          <w:lang w:val="en-US" w:eastAsia="zh-CN"/>
        </w:rPr>
      </w:pPr>
      <w:bookmarkStart w:id="3" w:name="_Toc31601"/>
      <w:r>
        <w:rPr>
          <w:rFonts w:hint="eastAsia"/>
          <w:b w:val="0"/>
          <w:bCs w:val="0"/>
          <w:sz w:val="32"/>
          <w:szCs w:val="32"/>
          <w:lang w:val="en-US" w:eastAsia="zh-CN"/>
        </w:rPr>
        <w:t>（四）起草单位</w:t>
      </w:r>
      <w:bookmarkEnd w:id="3"/>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lang w:eastAsia="zh-CN"/>
        </w:rPr>
      </w:pPr>
      <w:r>
        <w:rPr>
          <w:rFonts w:hint="default"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lang w:val="en-US" w:eastAsia="zh-CN"/>
        </w:rPr>
        <w:t>计量方法</w:t>
      </w:r>
      <w:r>
        <w:rPr>
          <w:rFonts w:hint="default"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lang w:val="en-US" w:eastAsia="zh-CN"/>
        </w:rPr>
        <w:t>的</w:t>
      </w:r>
      <w:r>
        <w:rPr>
          <w:rFonts w:hint="default" w:ascii="仿宋_GB2312" w:hAnsi="仿宋_GB2312" w:eastAsia="仿宋_GB2312" w:cs="仿宋_GB2312"/>
          <w:sz w:val="32"/>
          <w:szCs w:val="32"/>
          <w:lang w:val="en-US" w:eastAsia="zh-CN"/>
        </w:rPr>
        <w:t>起草单位</w:t>
      </w:r>
      <w:r>
        <w:rPr>
          <w:rFonts w:hint="eastAsia" w:ascii="仿宋_GB2312" w:hAnsi="仿宋_GB2312" w:eastAsia="仿宋_GB2312" w:cs="仿宋_GB2312"/>
          <w:sz w:val="32"/>
          <w:szCs w:val="32"/>
        </w:rPr>
        <w:t>包头市林业和草原工作站</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厦门哈希科技有限公司</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北京林业大学</w:t>
      </w:r>
      <w:r>
        <w:rPr>
          <w:rFonts w:hint="eastAsia" w:ascii="仿宋_GB2312" w:hAnsi="仿宋_GB2312" w:eastAsia="仿宋_GB2312" w:cs="仿宋_GB2312"/>
          <w:sz w:val="32"/>
          <w:szCs w:val="32"/>
          <w:lang w:eastAsia="zh-CN"/>
        </w:rPr>
        <w:t>、包头市林业和草原灾害防控中心、</w:t>
      </w:r>
      <w:r>
        <w:rPr>
          <w:rFonts w:hint="eastAsia" w:ascii="仿宋_GB2312" w:hAnsi="仿宋_GB2312" w:eastAsia="仿宋_GB2312" w:cs="仿宋_GB2312"/>
          <w:sz w:val="32"/>
          <w:szCs w:val="32"/>
          <w:lang w:val="en-US" w:eastAsia="zh-CN"/>
        </w:rPr>
        <w:t>包头市检验检测中心</w:t>
      </w:r>
      <w:bookmarkStart w:id="5" w:name="_GoBack"/>
      <w:bookmarkEnd w:id="5"/>
      <w:r>
        <w:rPr>
          <w:rFonts w:hint="eastAsia" w:ascii="仿宋_GB2312" w:hAnsi="仿宋_GB2312" w:eastAsia="仿宋_GB2312" w:cs="仿宋_GB2312"/>
          <w:sz w:val="32"/>
          <w:szCs w:val="32"/>
          <w:lang w:val="en-US" w:eastAsia="zh-CN"/>
        </w:rPr>
        <w:t>。</w:t>
      </w:r>
    </w:p>
    <w:p>
      <w:pPr>
        <w:pStyle w:val="3"/>
        <w:pageBreakBefore w:val="0"/>
        <w:kinsoku/>
        <w:wordWrap/>
        <w:overflowPunct/>
        <w:topLinePunct w:val="0"/>
        <w:autoSpaceDE/>
        <w:autoSpaceDN/>
        <w:bidi w:val="0"/>
        <w:adjustRightInd/>
        <w:snapToGrid/>
        <w:spacing w:line="600" w:lineRule="exact"/>
        <w:textAlignment w:val="auto"/>
        <w:rPr>
          <w:rFonts w:hint="eastAsia"/>
          <w:b w:val="0"/>
          <w:bCs w:val="0"/>
          <w:sz w:val="32"/>
          <w:szCs w:val="32"/>
          <w:lang w:val="en-US" w:eastAsia="zh-CN"/>
        </w:rPr>
      </w:pPr>
      <w:bookmarkStart w:id="4" w:name="_Toc2161"/>
      <w:r>
        <w:rPr>
          <w:rFonts w:hint="eastAsia"/>
          <w:b w:val="0"/>
          <w:bCs w:val="0"/>
          <w:sz w:val="32"/>
          <w:szCs w:val="32"/>
          <w:lang w:val="en-US" w:eastAsia="zh-CN"/>
        </w:rPr>
        <w:t>（五）起草人</w:t>
      </w:r>
      <w:bookmarkEnd w:id="4"/>
    </w:p>
    <w:p>
      <w:pPr>
        <w:pStyle w:val="8"/>
        <w:ind w:firstLine="420"/>
        <w:rPr>
          <w:rFonts w:hint="eastAsia"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lang w:val="en-US" w:eastAsia="zh-CN"/>
        </w:rPr>
        <w:t>计量方法</w:t>
      </w:r>
      <w:r>
        <w:rPr>
          <w:rFonts w:hint="default"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lang w:val="en-US" w:eastAsia="zh-CN"/>
        </w:rPr>
        <w:t>的</w:t>
      </w:r>
      <w:r>
        <w:rPr>
          <w:rFonts w:hint="default" w:ascii="仿宋_GB2312" w:hAnsi="仿宋_GB2312" w:eastAsia="仿宋_GB2312" w:cs="仿宋_GB2312"/>
          <w:sz w:val="32"/>
          <w:szCs w:val="32"/>
          <w:lang w:val="en-US" w:eastAsia="zh-CN"/>
        </w:rPr>
        <w:t>起草</w:t>
      </w:r>
      <w:r>
        <w:rPr>
          <w:rFonts w:hint="eastAsia" w:ascii="仿宋_GB2312" w:hAnsi="仿宋_GB2312" w:eastAsia="仿宋_GB2312" w:cs="仿宋_GB2312"/>
          <w:sz w:val="32"/>
          <w:szCs w:val="32"/>
          <w:lang w:val="en-US" w:eastAsia="zh-CN"/>
        </w:rPr>
        <w:t>人包括李茂森、张文英、张瑞、吕可、贾彩霞、吕整荣、杜娟、冯小东、杨顺福、波它·唐加、力克、林滨、蔡松昌、胡玥、许茜茜、武曙红、于晓芳、姚瑶。。</w:t>
      </w:r>
    </w:p>
    <w:p>
      <w:pPr>
        <w:keepNext w:val="0"/>
        <w:keepLines w:val="0"/>
        <w:pageBreakBefore w:val="0"/>
        <w:widowControl w:val="0"/>
        <w:kinsoku/>
        <w:wordWrap/>
        <w:overflowPunct/>
        <w:topLinePunct w:val="0"/>
        <w:autoSpaceDE/>
        <w:autoSpaceDN/>
        <w:bidi w:val="0"/>
        <w:adjustRightInd/>
        <w:snapToGrid/>
        <w:spacing w:before="157" w:beforeLines="50" w:line="600"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rPr>
        <w:t>二、制定标准的</w:t>
      </w:r>
      <w:r>
        <w:rPr>
          <w:rFonts w:hint="eastAsia" w:ascii="黑体" w:hAnsi="黑体" w:eastAsia="黑体" w:cs="黑体"/>
          <w:sz w:val="32"/>
          <w:szCs w:val="32"/>
          <w:lang w:eastAsia="zh-CN"/>
        </w:rPr>
        <w:t>目的</w:t>
      </w:r>
      <w:r>
        <w:rPr>
          <w:rFonts w:hint="eastAsia" w:ascii="黑体" w:hAnsi="黑体" w:eastAsia="黑体" w:cs="黑体"/>
          <w:sz w:val="32"/>
          <w:szCs w:val="32"/>
        </w:rPr>
        <w:t>和意义</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按照国家最新的《温室气体自愿减排交易管理办法（试行）》规定，包头市目前大部分林草生态资源不符合CCER项目开发条件，无法实现碳汇价值。为此，需要研究制定科学规范的相关地方标准，为全面开发包头林草碳汇资产提供计量依据，推动林草生态资源向资产转变，真正实现林草生态价值转化。</w:t>
      </w:r>
    </w:p>
    <w:p>
      <w:pPr>
        <w:keepNext w:val="0"/>
        <w:keepLines w:val="0"/>
        <w:pageBreakBefore w:val="0"/>
        <w:widowControl w:val="0"/>
        <w:kinsoku/>
        <w:wordWrap/>
        <w:overflowPunct/>
        <w:topLinePunct w:val="0"/>
        <w:autoSpaceDE/>
        <w:autoSpaceDN/>
        <w:bidi w:val="0"/>
        <w:adjustRightInd/>
        <w:snapToGrid/>
        <w:spacing w:before="157" w:beforeLines="50" w:line="60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在国家实现“双碳”目标的战略背景下，森林和草原生态系统的碳汇功能日益受到各级政府部门的重视，巩固和提升生态系统的碳汇功能已成为各地区实现碳中和目标的重要路径。但对大多数地区来说，按照目前的林业碳汇项目方法学，天然林、商品林等都不具备开发林业碳汇项目的条件，应运而生的另一种形式——“包头林草碳票”的开发对开发主体、范围和要求都宽泛很多，只要是土地权属清晰的林地、草地，都可以申请“林草碳票”，这为那些未满足开发CCER项目条件的资源提供了一条新的出路。</w:t>
      </w:r>
      <w:r>
        <w:rPr>
          <w:rFonts w:hint="eastAsia" w:ascii="仿宋_GB2312" w:hAnsi="仿宋_GB2312" w:eastAsia="仿宋_GB2312" w:cs="仿宋_GB2312"/>
          <w:sz w:val="32"/>
          <w:szCs w:val="32"/>
          <w:lang w:val="en-US" w:eastAsia="zh-CN"/>
        </w:rPr>
        <w:t xml:space="preserve">  </w:t>
      </w:r>
    </w:p>
    <w:p>
      <w:pPr>
        <w:keepNext w:val="0"/>
        <w:keepLines w:val="0"/>
        <w:pageBreakBefore w:val="0"/>
        <w:widowControl w:val="0"/>
        <w:kinsoku/>
        <w:wordWrap/>
        <w:overflowPunct/>
        <w:topLinePunct w:val="0"/>
        <w:autoSpaceDE/>
        <w:autoSpaceDN/>
        <w:bidi w:val="0"/>
        <w:adjustRightInd/>
        <w:snapToGrid/>
        <w:spacing w:before="157" w:beforeLines="50"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为贯彻落实《中共中央国务院关于完整准确全面贯彻新发展理念做好碳达峰碳中和工作的意见》，</w:t>
      </w:r>
      <w:r>
        <w:rPr>
          <w:rFonts w:hint="eastAsia" w:ascii="仿宋_GB2312" w:hAnsi="仿宋_GB2312" w:eastAsia="仿宋_GB2312" w:cs="仿宋_GB2312"/>
          <w:sz w:val="32"/>
          <w:szCs w:val="32"/>
          <w:lang w:eastAsia="zh-CN"/>
        </w:rPr>
        <w:t>坚持以习近平</w:t>
      </w:r>
      <w:r>
        <w:rPr>
          <w:rFonts w:hint="eastAsia" w:ascii="仿宋_GB2312" w:hAnsi="仿宋_GB2312" w:eastAsia="仿宋_GB2312" w:cs="仿宋_GB2312"/>
          <w:sz w:val="32"/>
          <w:szCs w:val="32"/>
        </w:rPr>
        <w:t>生态文明思想</w:t>
      </w:r>
      <w:r>
        <w:rPr>
          <w:rFonts w:hint="eastAsia" w:ascii="仿宋_GB2312" w:hAnsi="仿宋_GB2312" w:eastAsia="仿宋_GB2312" w:cs="仿宋_GB2312"/>
          <w:sz w:val="32"/>
          <w:szCs w:val="32"/>
          <w:lang w:eastAsia="zh-CN"/>
        </w:rPr>
        <w:t>为指导</w:t>
      </w:r>
      <w:r>
        <w:rPr>
          <w:rFonts w:hint="eastAsia" w:ascii="仿宋_GB2312" w:hAnsi="仿宋_GB2312" w:eastAsia="仿宋_GB2312" w:cs="仿宋_GB2312"/>
          <w:sz w:val="32"/>
          <w:szCs w:val="32"/>
        </w:rPr>
        <w:t>，包头</w:t>
      </w:r>
      <w:r>
        <w:rPr>
          <w:rFonts w:hint="eastAsia" w:ascii="仿宋_GB2312" w:hAnsi="仿宋_GB2312" w:eastAsia="仿宋_GB2312" w:cs="仿宋_GB2312"/>
          <w:sz w:val="32"/>
          <w:szCs w:val="32"/>
          <w:lang w:val="en-US" w:eastAsia="zh-CN"/>
        </w:rPr>
        <w:t>市政府印发了</w:t>
      </w:r>
      <w:r>
        <w:rPr>
          <w:rFonts w:hint="eastAsia" w:ascii="仿宋_GB2312" w:hAnsi="仿宋_GB2312" w:eastAsia="仿宋_GB2312" w:cs="仿宋_GB2312"/>
          <w:sz w:val="32"/>
          <w:szCs w:val="32"/>
        </w:rPr>
        <w:t>《包头市林草碳汇市域碳中和实施方案》，鼓励引导全社会</w:t>
      </w:r>
      <w:r>
        <w:rPr>
          <w:rFonts w:hint="eastAsia" w:ascii="仿宋_GB2312" w:hAnsi="仿宋_GB2312" w:eastAsia="仿宋_GB2312" w:cs="仿宋_GB2312"/>
          <w:sz w:val="32"/>
          <w:szCs w:val="32"/>
          <w:lang w:eastAsia="zh-CN"/>
        </w:rPr>
        <w:t>活动层面</w:t>
      </w:r>
      <w:r>
        <w:rPr>
          <w:rFonts w:hint="eastAsia" w:ascii="仿宋_GB2312" w:hAnsi="仿宋_GB2312" w:eastAsia="仿宋_GB2312" w:cs="仿宋_GB2312"/>
          <w:sz w:val="32"/>
          <w:szCs w:val="32"/>
        </w:rPr>
        <w:t>共同参与</w:t>
      </w:r>
      <w:r>
        <w:rPr>
          <w:rFonts w:hint="eastAsia" w:ascii="仿宋_GB2312" w:hAnsi="仿宋_GB2312" w:eastAsia="仿宋_GB2312" w:cs="仿宋_GB2312"/>
          <w:sz w:val="32"/>
          <w:szCs w:val="32"/>
          <w:lang w:eastAsia="zh-CN"/>
        </w:rPr>
        <w:t>节能降碳、生态</w:t>
      </w:r>
      <w:r>
        <w:rPr>
          <w:rFonts w:hint="eastAsia" w:ascii="仿宋_GB2312" w:hAnsi="仿宋_GB2312" w:eastAsia="仿宋_GB2312" w:cs="仿宋_GB2312"/>
          <w:sz w:val="32"/>
          <w:szCs w:val="32"/>
        </w:rPr>
        <w:t>保护，以</w:t>
      </w:r>
      <w:r>
        <w:rPr>
          <w:rFonts w:hint="eastAsia" w:ascii="仿宋_GB2312" w:hAnsi="仿宋_GB2312" w:eastAsia="仿宋_GB2312" w:cs="仿宋_GB2312"/>
          <w:sz w:val="32"/>
          <w:szCs w:val="32"/>
          <w:lang w:eastAsia="zh-CN"/>
        </w:rPr>
        <w:t>包头</w:t>
      </w:r>
      <w:r>
        <w:rPr>
          <w:rFonts w:hint="eastAsia" w:ascii="仿宋_GB2312" w:hAnsi="仿宋_GB2312" w:eastAsia="仿宋_GB2312" w:cs="仿宋_GB2312"/>
          <w:sz w:val="32"/>
          <w:szCs w:val="32"/>
        </w:rPr>
        <w:t>林草碳票</w:t>
      </w:r>
      <w:r>
        <w:rPr>
          <w:rFonts w:hint="eastAsia" w:ascii="仿宋_GB2312" w:hAnsi="仿宋_GB2312" w:eastAsia="仿宋_GB2312" w:cs="仿宋_GB2312"/>
          <w:sz w:val="32"/>
          <w:szCs w:val="32"/>
          <w:lang w:eastAsia="zh-CN"/>
        </w:rPr>
        <w:t>为支撑，以“零碳”行动和林草碳普惠为路径</w:t>
      </w:r>
      <w:r>
        <w:rPr>
          <w:rFonts w:hint="eastAsia" w:ascii="仿宋_GB2312" w:hAnsi="仿宋_GB2312" w:eastAsia="仿宋_GB2312" w:cs="仿宋_GB2312"/>
          <w:sz w:val="32"/>
          <w:szCs w:val="32"/>
        </w:rPr>
        <w:t>，</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推动全市各级机关企事业单位、社会组织、社会公众广泛参与公共领域碳中和，促进林草碳汇交易和区域补偿，破解大多数林草固碳功能贡献大却难以实现价值的难题。</w:t>
      </w:r>
    </w:p>
    <w:p>
      <w:pPr>
        <w:keepNext w:val="0"/>
        <w:keepLines w:val="0"/>
        <w:pageBreakBefore w:val="0"/>
        <w:widowControl w:val="0"/>
        <w:numPr>
          <w:ilvl w:val="0"/>
          <w:numId w:val="1"/>
        </w:numPr>
        <w:kinsoku/>
        <w:wordWrap/>
        <w:overflowPunct/>
        <w:topLinePunct w:val="0"/>
        <w:autoSpaceDE/>
        <w:autoSpaceDN/>
        <w:bidi w:val="0"/>
        <w:adjustRightInd/>
        <w:snapToGrid/>
        <w:spacing w:before="157" w:beforeLines="50" w:line="600" w:lineRule="exact"/>
        <w:ind w:firstLine="640" w:firstLineChars="200"/>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编制过程</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组建专门的编制工作组，进行了专业的培训，为编制工作奠定基础，通过调阅文献资料和实地调查研究，</w:t>
      </w:r>
      <w:r>
        <w:rPr>
          <w:rFonts w:hint="eastAsia" w:ascii="仿宋_GB2312" w:hAnsi="仿宋_GB2312" w:eastAsia="仿宋_GB2312" w:cs="仿宋_GB2312"/>
          <w:color w:val="EE822F" w:themeColor="accent2"/>
          <w:sz w:val="32"/>
          <w:szCs w:val="32"/>
          <w:lang w:eastAsia="zh-CN"/>
          <w14:textFill>
            <w14:solidFill>
              <w14:schemeClr w14:val="accent2"/>
            </w14:solidFill>
          </w14:textFill>
        </w:rPr>
        <w:t>总结我市退化草原修复项目实施经验和历年研究成果等，</w:t>
      </w:r>
      <w:r>
        <w:rPr>
          <w:rFonts w:hint="eastAsia" w:ascii="仿宋_GB2312" w:hAnsi="仿宋_GB2312" w:eastAsia="仿宋_GB2312" w:cs="仿宋_GB2312"/>
          <w:sz w:val="32"/>
          <w:szCs w:val="32"/>
          <w:lang w:eastAsia="zh-CN"/>
        </w:rPr>
        <w:t>同时参照其他地区经验做法，初步编制了《</w:t>
      </w:r>
      <w:r>
        <w:rPr>
          <w:rFonts w:hint="eastAsia" w:ascii="仿宋_GB2312" w:hAnsi="仿宋_GB2312" w:eastAsia="仿宋_GB2312" w:cs="仿宋_GB2312"/>
          <w:sz w:val="32"/>
          <w:szCs w:val="32"/>
          <w:lang w:val="en-US" w:eastAsia="zh-CN"/>
        </w:rPr>
        <w:t>计量方法</w:t>
      </w:r>
      <w:r>
        <w:rPr>
          <w:rFonts w:hint="eastAsia" w:ascii="仿宋_GB2312" w:hAnsi="仿宋_GB2312" w:eastAsia="仿宋_GB2312" w:cs="仿宋_GB2312"/>
          <w:sz w:val="32"/>
          <w:szCs w:val="32"/>
          <w:lang w:eastAsia="zh-CN"/>
        </w:rPr>
        <w:t>》，后经过征求相关领域专家意见建议，形成此征求意见稿。</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包头市</w:t>
      </w:r>
      <w:r>
        <w:rPr>
          <w:rFonts w:hint="eastAsia" w:ascii="仿宋_GB2312" w:hAnsi="仿宋_GB2312" w:eastAsia="仿宋_GB2312" w:cs="仿宋_GB2312"/>
          <w:sz w:val="32"/>
          <w:szCs w:val="32"/>
          <w:lang w:val="en-US" w:eastAsia="zh-CN"/>
        </w:rPr>
        <w:t>林业和草原</w:t>
      </w:r>
      <w:r>
        <w:rPr>
          <w:rFonts w:hint="eastAsia" w:ascii="仿宋_GB2312" w:hAnsi="仿宋_GB2312" w:eastAsia="仿宋_GB2312" w:cs="仿宋_GB2312"/>
          <w:sz w:val="32"/>
          <w:szCs w:val="32"/>
        </w:rPr>
        <w:t>局把</w:t>
      </w:r>
      <w:r>
        <w:rPr>
          <w:rFonts w:hint="eastAsia" w:ascii="仿宋_GB2312" w:hAnsi="仿宋_GB2312" w:eastAsia="仿宋_GB2312" w:cs="仿宋_GB2312"/>
          <w:sz w:val="32"/>
          <w:szCs w:val="32"/>
          <w:lang w:val="en-US" w:eastAsia="zh-CN"/>
        </w:rPr>
        <w:t>林业碳汇</w:t>
      </w:r>
      <w:r>
        <w:rPr>
          <w:rFonts w:hint="eastAsia" w:ascii="仿宋_GB2312" w:hAnsi="仿宋_GB2312" w:eastAsia="仿宋_GB2312" w:cs="仿宋_GB2312"/>
          <w:sz w:val="32"/>
          <w:szCs w:val="32"/>
        </w:rPr>
        <w:t>作为当前首要政治任务，认真贯彻落实习近平</w:t>
      </w:r>
      <w:r>
        <w:rPr>
          <w:rFonts w:hint="eastAsia" w:ascii="仿宋_GB2312" w:hAnsi="仿宋_GB2312" w:eastAsia="仿宋_GB2312" w:cs="仿宋_GB2312"/>
          <w:sz w:val="32"/>
          <w:szCs w:val="32"/>
          <w:lang w:val="en-US" w:eastAsia="zh-CN"/>
        </w:rPr>
        <w:t>生态文明</w:t>
      </w:r>
      <w:r>
        <w:rPr>
          <w:rFonts w:hint="eastAsia" w:ascii="仿宋_GB2312" w:hAnsi="仿宋_GB2312" w:eastAsia="仿宋_GB2312" w:cs="仿宋_GB2312"/>
          <w:sz w:val="32"/>
          <w:szCs w:val="32"/>
        </w:rPr>
        <w:t>思想和党的</w:t>
      </w:r>
      <w:r>
        <w:rPr>
          <w:rFonts w:hint="eastAsia" w:ascii="仿宋_GB2312" w:hAnsi="仿宋_GB2312" w:eastAsia="仿宋_GB2312" w:cs="仿宋_GB2312"/>
          <w:sz w:val="32"/>
          <w:szCs w:val="32"/>
          <w:lang w:val="en-US" w:eastAsia="zh-CN"/>
        </w:rPr>
        <w:t>二十大、</w:t>
      </w:r>
      <w:r>
        <w:rPr>
          <w:rFonts w:hint="eastAsia" w:ascii="仿宋_GB2312" w:hAnsi="仿宋_GB2312" w:eastAsia="仿宋_GB2312" w:cs="仿宋_GB2312"/>
          <w:sz w:val="32"/>
          <w:szCs w:val="32"/>
        </w:rPr>
        <w:t>十九大和十九届二中 、三中、 四中、五中全会精神，组织</w:t>
      </w:r>
      <w:r>
        <w:rPr>
          <w:rFonts w:hint="eastAsia" w:ascii="仿宋_GB2312" w:hAnsi="仿宋_GB2312" w:eastAsia="仿宋_GB2312" w:cs="仿宋_GB2312"/>
          <w:sz w:val="32"/>
          <w:szCs w:val="32"/>
          <w:lang w:val="en-US" w:eastAsia="zh-CN"/>
        </w:rPr>
        <w:t>包头市林业和草原工作站</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北京林业大学</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厦门哈希科技有限公司</w:t>
      </w:r>
      <w:r>
        <w:rPr>
          <w:rFonts w:hint="eastAsia" w:ascii="仿宋_GB2312" w:hAnsi="仿宋_GB2312" w:eastAsia="仿宋_GB2312" w:cs="仿宋_GB2312"/>
          <w:sz w:val="32"/>
          <w:szCs w:val="32"/>
        </w:rPr>
        <w:t>等单位的</w:t>
      </w:r>
      <w:r>
        <w:rPr>
          <w:rFonts w:hint="eastAsia" w:ascii="仿宋_GB2312" w:hAnsi="仿宋_GB2312" w:eastAsia="仿宋_GB2312" w:cs="仿宋_GB2312"/>
          <w:sz w:val="32"/>
          <w:szCs w:val="32"/>
          <w:lang w:val="en-US" w:eastAsia="zh-CN"/>
        </w:rPr>
        <w:t>林业碳汇计量</w:t>
      </w:r>
      <w:r>
        <w:rPr>
          <w:rFonts w:hint="eastAsia" w:ascii="仿宋_GB2312" w:hAnsi="仿宋_GB2312" w:eastAsia="仿宋_GB2312" w:cs="仿宋_GB2312"/>
          <w:sz w:val="32"/>
          <w:szCs w:val="32"/>
        </w:rPr>
        <w:t>相关人员成立起草工作组，制定工作方案和编制计划。</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首先成立标准编写组，项目研究团队由专业人员（具有相关研究领域博士学位）承担具体的研究工作，团队成员包括长期从事气候变化、林业碳汇、湿地保护、土壤生态等领域的理论研究人员且均具有丰富的实践经验。</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标准编写组成立后，制定标准工作计划，查找和收集研究国内外相关标准及开展文献调研工作，调研后根据标准制定规则，确定框架，考虑包头市实际情况，逐一确定范围、计量边界、计量内容、减排量计量方法、监测数据。</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根据调研情况，</w:t>
      </w:r>
      <w:r>
        <w:rPr>
          <w:rFonts w:hint="eastAsia" w:ascii="仿宋_GB2312" w:hAnsi="仿宋_GB2312" w:eastAsia="仿宋_GB2312" w:cs="仿宋_GB2312"/>
          <w:sz w:val="32"/>
          <w:szCs w:val="32"/>
        </w:rPr>
        <w:t>按照要求起草并确立标准大纲，及时召开标准研讨会，讨论标准制定的相关内容和指标，根据研讨会讨论形成的意见，起草并完成标准的征求意见稿，选取从事相关研究的科研院所和高校进行意见征求，归纳和分析反馈回来的征求意见，经反复论证、讨论和研究对征求意见进行处理，采纳征求意见在标准稿做出相应的修改，不采纳的意见给出不给予采纳的理由，最后由标准审查会对标准进行审查，修改和完善后形成报批稿上报主管部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lang w:eastAsia="zh-CN"/>
        </w:rPr>
      </w:pPr>
    </w:p>
    <w:p>
      <w:pPr>
        <w:keepNext w:val="0"/>
        <w:keepLines w:val="0"/>
        <w:pageBreakBefore w:val="0"/>
        <w:widowControl w:val="0"/>
        <w:kinsoku/>
        <w:wordWrap/>
        <w:overflowPunct/>
        <w:topLinePunct w:val="0"/>
        <w:autoSpaceDE/>
        <w:autoSpaceDN/>
        <w:bidi w:val="0"/>
        <w:adjustRightInd/>
        <w:snapToGrid/>
        <w:spacing w:before="157" w:beforeLines="50" w:line="600" w:lineRule="exact"/>
        <w:ind w:firstLine="640" w:firstLineChars="200"/>
        <w:textAlignment w:val="auto"/>
        <w:rPr>
          <w:rFonts w:hint="default" w:ascii="黑体" w:hAnsi="黑体" w:eastAsia="黑体" w:cs="黑体"/>
          <w:sz w:val="32"/>
          <w:szCs w:val="32"/>
          <w:lang w:val="en-US" w:eastAsia="zh-CN"/>
        </w:rPr>
      </w:pPr>
      <w:r>
        <w:rPr>
          <w:rFonts w:hint="eastAsia" w:ascii="黑体" w:hAnsi="黑体" w:eastAsia="黑体" w:cs="黑体"/>
          <w:sz w:val="32"/>
          <w:szCs w:val="32"/>
          <w:lang w:val="en-US" w:eastAsia="zh-CN"/>
        </w:rPr>
        <w:t>四、制定标准的原则和依据，与现行法律、法规、标准的关系</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w:t>
      </w:r>
      <w:r>
        <w:rPr>
          <w:rFonts w:hint="eastAsia" w:ascii="仿宋_GB2312" w:hAnsi="仿宋_GB2312" w:eastAsia="仿宋_GB2312" w:cs="仿宋_GB2312"/>
          <w:sz w:val="32"/>
          <w:szCs w:val="32"/>
          <w:lang w:eastAsia="zh-CN"/>
        </w:rPr>
        <w:t>制定</w:t>
      </w:r>
      <w:r>
        <w:rPr>
          <w:rFonts w:hint="eastAsia" w:ascii="仿宋_GB2312" w:hAnsi="仿宋_GB2312" w:eastAsia="仿宋_GB2312" w:cs="仿宋_GB2312"/>
          <w:sz w:val="32"/>
          <w:szCs w:val="32"/>
        </w:rPr>
        <w:t>标准原则</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结合市委、市政府印发的相关文件，按照 GB/T 1.1—2020 《标准化工作导则 第 1 部分：标准化文件的结构和起草规则》的规定起草。以依法科学</w:t>
      </w:r>
      <w:r>
        <w:rPr>
          <w:rFonts w:hint="eastAsia" w:ascii="仿宋_GB2312" w:hAnsi="仿宋_GB2312" w:eastAsia="仿宋_GB2312" w:cs="仿宋_GB2312"/>
          <w:sz w:val="32"/>
          <w:szCs w:val="32"/>
          <w:lang w:val="en-US" w:eastAsia="zh-CN"/>
        </w:rPr>
        <w:t>准确计量林草碳票碳清除量</w:t>
      </w:r>
      <w:r>
        <w:rPr>
          <w:rFonts w:hint="eastAsia" w:ascii="仿宋_GB2312" w:hAnsi="仿宋_GB2312" w:eastAsia="仿宋_GB2312" w:cs="仿宋_GB2312"/>
          <w:sz w:val="32"/>
          <w:szCs w:val="32"/>
        </w:rPr>
        <w:t>为出发点， 以“科学性、可操作性</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保守性</w:t>
      </w:r>
      <w:r>
        <w:rPr>
          <w:rFonts w:hint="eastAsia" w:ascii="仿宋_GB2312" w:hAnsi="仿宋_GB2312" w:eastAsia="仿宋_GB2312" w:cs="仿宋_GB2312"/>
          <w:sz w:val="32"/>
          <w:szCs w:val="32"/>
        </w:rPr>
        <w:t>”为基本原则，力求做到内容通俗易懂，便于操作，为</w:t>
      </w:r>
      <w:r>
        <w:rPr>
          <w:rFonts w:hint="eastAsia" w:ascii="仿宋_GB2312" w:hAnsi="仿宋_GB2312" w:eastAsia="仿宋_GB2312" w:cs="仿宋_GB2312"/>
          <w:sz w:val="32"/>
          <w:szCs w:val="32"/>
          <w:lang w:val="en-US" w:eastAsia="zh-CN"/>
        </w:rPr>
        <w:t>碳汇计量和开发工作</w:t>
      </w:r>
      <w:r>
        <w:rPr>
          <w:rFonts w:hint="eastAsia" w:ascii="仿宋_GB2312" w:hAnsi="仿宋_GB2312" w:eastAsia="仿宋_GB2312" w:cs="仿宋_GB2312"/>
          <w:sz w:val="32"/>
          <w:szCs w:val="32"/>
        </w:rPr>
        <w:t>提供有效指导。</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w:t>
      </w:r>
      <w:r>
        <w:rPr>
          <w:rFonts w:hint="eastAsia" w:ascii="仿宋_GB2312" w:hAnsi="仿宋_GB2312" w:eastAsia="仿宋_GB2312" w:cs="仿宋_GB2312"/>
          <w:sz w:val="32"/>
          <w:szCs w:val="32"/>
          <w:lang w:eastAsia="zh-CN"/>
        </w:rPr>
        <w:t>制定</w:t>
      </w:r>
      <w:r>
        <w:rPr>
          <w:rFonts w:hint="eastAsia" w:ascii="仿宋_GB2312" w:hAnsi="仿宋_GB2312" w:eastAsia="仿宋_GB2312" w:cs="仿宋_GB2312"/>
          <w:sz w:val="32"/>
          <w:szCs w:val="32"/>
        </w:rPr>
        <w:t>标准依据</w:t>
      </w:r>
    </w:p>
    <w:p>
      <w:pPr>
        <w:keepNext w:val="0"/>
        <w:keepLines w:val="0"/>
        <w:pageBreakBefore w:val="0"/>
        <w:widowControl w:val="0"/>
        <w:kinsoku/>
        <w:wordWrap/>
        <w:overflowPunct/>
        <w:topLinePunct w:val="0"/>
        <w:autoSpaceDE/>
        <w:autoSpaceDN/>
        <w:bidi w:val="0"/>
        <w:adjustRightInd/>
        <w:snapToGrid/>
        <w:spacing w:before="157" w:beforeLines="50" w:line="600" w:lineRule="exact"/>
        <w:ind w:firstLine="640" w:firstLineChars="200"/>
        <w:textAlignment w:val="auto"/>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val="en-US" w:eastAsia="zh-CN"/>
        </w:rPr>
        <w:t>1.</w:t>
      </w:r>
      <w:r>
        <w:rPr>
          <w:rFonts w:hint="eastAsia" w:ascii="仿宋_GB2312" w:hAnsi="仿宋_GB2312" w:eastAsia="仿宋_GB2312" w:cs="仿宋_GB2312"/>
          <w:sz w:val="32"/>
          <w:szCs w:val="32"/>
          <w:highlight w:val="none"/>
        </w:rPr>
        <w:t>《标准化工作导则 第1部分：标准化文件的结构和起草规则》（GB/T 1.1-2020）</w:t>
      </w:r>
      <w:r>
        <w:rPr>
          <w:rFonts w:hint="eastAsia" w:ascii="仿宋_GB2312" w:hAnsi="仿宋_GB2312" w:eastAsia="仿宋_GB2312" w:cs="仿宋_GB2312"/>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before="157" w:beforeLines="50" w:line="600" w:lineRule="exact"/>
        <w:ind w:firstLine="640" w:firstLineChars="200"/>
        <w:textAlignment w:val="auto"/>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val="en-US" w:eastAsia="zh-CN"/>
        </w:rPr>
        <w:t>2.</w:t>
      </w:r>
      <w:r>
        <w:rPr>
          <w:rFonts w:hint="eastAsia" w:ascii="仿宋_GB2312" w:hAnsi="仿宋_GB2312" w:eastAsia="仿宋_GB2312" w:cs="仿宋_GB2312"/>
          <w:sz w:val="32"/>
          <w:szCs w:val="32"/>
          <w:highlight w:val="none"/>
        </w:rPr>
        <w:t>《森林生态系统碳储量计量指南》（LY/T 2988-2018）</w:t>
      </w:r>
      <w:r>
        <w:rPr>
          <w:rFonts w:hint="eastAsia" w:ascii="仿宋_GB2312" w:hAnsi="仿宋_GB2312" w:eastAsia="仿宋_GB2312" w:cs="仿宋_GB2312"/>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before="157" w:beforeLines="50" w:line="600" w:lineRule="exact"/>
        <w:ind w:firstLine="640" w:firstLineChars="200"/>
        <w:textAlignment w:val="auto"/>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val="en-US" w:eastAsia="zh-CN"/>
        </w:rPr>
        <w:t>3.</w:t>
      </w:r>
      <w:r>
        <w:rPr>
          <w:rFonts w:hint="eastAsia" w:ascii="仿宋_GB2312" w:hAnsi="仿宋_GB2312" w:eastAsia="仿宋_GB2312" w:cs="仿宋_GB2312"/>
          <w:sz w:val="32"/>
          <w:szCs w:val="32"/>
          <w:highlight w:val="none"/>
        </w:rPr>
        <w:t>《立木生物量模型及碳计量参数》</w:t>
      </w:r>
      <w:r>
        <w:rPr>
          <w:rFonts w:hint="eastAsia" w:ascii="仿宋_GB2312" w:hAnsi="仿宋_GB2312" w:eastAsia="仿宋_GB2312" w:cs="仿宋_GB2312"/>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before="157" w:beforeLines="50" w:line="600" w:lineRule="exact"/>
        <w:ind w:firstLine="640" w:firstLineChars="200"/>
        <w:textAlignment w:val="auto"/>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val="en-US" w:eastAsia="zh-CN"/>
        </w:rPr>
        <w:t>4.</w:t>
      </w:r>
      <w:r>
        <w:rPr>
          <w:rFonts w:hint="eastAsia" w:ascii="仿宋_GB2312" w:hAnsi="仿宋_GB2312" w:eastAsia="仿宋_GB2312" w:cs="仿宋_GB2312"/>
          <w:sz w:val="32"/>
          <w:szCs w:val="32"/>
          <w:highlight w:val="none"/>
        </w:rPr>
        <w:t>《中华人民共和国应对气候变化第二次国家信息通报》</w:t>
      </w:r>
      <w:r>
        <w:rPr>
          <w:rFonts w:hint="eastAsia" w:ascii="仿宋_GB2312" w:hAnsi="仿宋_GB2312" w:eastAsia="仿宋_GB2312" w:cs="仿宋_GB2312"/>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before="157" w:beforeLines="50" w:line="600" w:lineRule="exact"/>
        <w:ind w:firstLine="640" w:firstLineChars="200"/>
        <w:textAlignment w:val="auto"/>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val="en-US" w:eastAsia="zh-CN"/>
        </w:rPr>
        <w:t>5.</w:t>
      </w:r>
      <w:r>
        <w:rPr>
          <w:rFonts w:hint="eastAsia" w:ascii="仿宋_GB2312" w:hAnsi="仿宋_GB2312" w:eastAsia="仿宋_GB2312" w:cs="仿宋_GB2312"/>
          <w:sz w:val="32"/>
          <w:szCs w:val="32"/>
          <w:highlight w:val="none"/>
        </w:rPr>
        <w:t>《国家森林资源连续清查技术规定》</w:t>
      </w:r>
      <w:r>
        <w:rPr>
          <w:rFonts w:hint="eastAsia" w:ascii="仿宋_GB2312" w:hAnsi="仿宋_GB2312" w:eastAsia="仿宋_GB2312" w:cs="仿宋_GB2312"/>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before="157" w:beforeLines="50" w:line="600" w:lineRule="exact"/>
        <w:ind w:firstLine="640" w:firstLineChars="200"/>
        <w:textAlignment w:val="auto"/>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val="en-US" w:eastAsia="zh-CN"/>
        </w:rPr>
        <w:t>6.</w:t>
      </w:r>
      <w:r>
        <w:rPr>
          <w:rFonts w:hint="eastAsia" w:ascii="仿宋_GB2312" w:hAnsi="仿宋_GB2312" w:eastAsia="仿宋_GB2312" w:cs="仿宋_GB2312"/>
          <w:sz w:val="32"/>
          <w:szCs w:val="32"/>
          <w:highlight w:val="none"/>
        </w:rPr>
        <w:t>《森林资源规划设计调查技术规程》</w:t>
      </w:r>
      <w:r>
        <w:rPr>
          <w:rFonts w:hint="eastAsia" w:ascii="仿宋_GB2312" w:hAnsi="仿宋_GB2312" w:eastAsia="仿宋_GB2312" w:cs="仿宋_GB2312"/>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before="157" w:beforeLines="50" w:line="60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7.</w:t>
      </w:r>
      <w:r>
        <w:rPr>
          <w:rFonts w:hint="eastAsia" w:ascii="仿宋_GB2312" w:hAnsi="仿宋_GB2312" w:eastAsia="仿宋_GB2312" w:cs="仿宋_GB2312"/>
          <w:sz w:val="32"/>
          <w:szCs w:val="32"/>
          <w:highlight w:val="none"/>
        </w:rPr>
        <w:t>中华人民共和国《温室气体自愿减排交易管理暂行办法》（发改气候[2012]1668号）；</w:t>
      </w:r>
    </w:p>
    <w:p>
      <w:pPr>
        <w:keepNext w:val="0"/>
        <w:keepLines w:val="0"/>
        <w:pageBreakBefore w:val="0"/>
        <w:widowControl w:val="0"/>
        <w:kinsoku/>
        <w:wordWrap/>
        <w:overflowPunct/>
        <w:topLinePunct w:val="0"/>
        <w:autoSpaceDE/>
        <w:autoSpaceDN/>
        <w:bidi w:val="0"/>
        <w:adjustRightInd/>
        <w:snapToGrid/>
        <w:spacing w:before="157" w:beforeLines="50" w:line="60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8.</w:t>
      </w:r>
      <w:r>
        <w:rPr>
          <w:rFonts w:hint="eastAsia" w:ascii="仿宋_GB2312" w:hAnsi="仿宋_GB2312" w:eastAsia="仿宋_GB2312" w:cs="仿宋_GB2312"/>
          <w:sz w:val="32"/>
          <w:szCs w:val="32"/>
          <w:highlight w:val="none"/>
        </w:rPr>
        <w:t>中华人民共和国林业行业标准《低效林改造技术规程》（LY/T 1690-2007）；</w:t>
      </w:r>
    </w:p>
    <w:p>
      <w:pPr>
        <w:keepNext w:val="0"/>
        <w:keepLines w:val="0"/>
        <w:pageBreakBefore w:val="0"/>
        <w:widowControl w:val="0"/>
        <w:kinsoku/>
        <w:wordWrap/>
        <w:overflowPunct/>
        <w:topLinePunct w:val="0"/>
        <w:autoSpaceDE/>
        <w:autoSpaceDN/>
        <w:bidi w:val="0"/>
        <w:adjustRightInd/>
        <w:snapToGrid/>
        <w:spacing w:before="157" w:beforeLines="50" w:line="60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9.</w:t>
      </w:r>
      <w:r>
        <w:rPr>
          <w:rFonts w:hint="eastAsia" w:ascii="仿宋_GB2312" w:hAnsi="仿宋_GB2312" w:eastAsia="仿宋_GB2312" w:cs="仿宋_GB2312"/>
          <w:sz w:val="32"/>
          <w:szCs w:val="32"/>
          <w:highlight w:val="none"/>
        </w:rPr>
        <w:t>中华人民共和国林业行业标准《低产用材林改造技术规程》（LY/T 1560-1999）；</w:t>
      </w:r>
    </w:p>
    <w:p>
      <w:pPr>
        <w:keepNext w:val="0"/>
        <w:keepLines w:val="0"/>
        <w:pageBreakBefore w:val="0"/>
        <w:widowControl w:val="0"/>
        <w:kinsoku/>
        <w:wordWrap/>
        <w:overflowPunct/>
        <w:topLinePunct w:val="0"/>
        <w:autoSpaceDE/>
        <w:autoSpaceDN/>
        <w:bidi w:val="0"/>
        <w:adjustRightInd/>
        <w:snapToGrid/>
        <w:spacing w:before="157" w:beforeLines="50" w:line="60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10.</w:t>
      </w:r>
      <w:r>
        <w:rPr>
          <w:rFonts w:hint="eastAsia" w:ascii="仿宋_GB2312" w:hAnsi="仿宋_GB2312" w:eastAsia="仿宋_GB2312" w:cs="仿宋_GB2312"/>
          <w:sz w:val="32"/>
          <w:szCs w:val="32"/>
          <w:highlight w:val="none"/>
        </w:rPr>
        <w:t>中华人民共和国国家标准《森林抚育规程》（GB/T 15781-2009）；</w:t>
      </w:r>
    </w:p>
    <w:p>
      <w:pPr>
        <w:keepNext w:val="0"/>
        <w:keepLines w:val="0"/>
        <w:pageBreakBefore w:val="0"/>
        <w:widowControl w:val="0"/>
        <w:kinsoku/>
        <w:wordWrap/>
        <w:overflowPunct/>
        <w:topLinePunct w:val="0"/>
        <w:autoSpaceDE/>
        <w:autoSpaceDN/>
        <w:bidi w:val="0"/>
        <w:adjustRightInd/>
        <w:snapToGrid/>
        <w:spacing w:before="157" w:beforeLines="50" w:line="60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11.</w:t>
      </w:r>
      <w:r>
        <w:rPr>
          <w:rFonts w:hint="eastAsia" w:ascii="仿宋_GB2312" w:hAnsi="仿宋_GB2312" w:eastAsia="仿宋_GB2312" w:cs="仿宋_GB2312"/>
          <w:sz w:val="32"/>
          <w:szCs w:val="32"/>
          <w:highlight w:val="none"/>
        </w:rPr>
        <w:t>中华人民共和国国家标准《生态公益林建设技术规程》（GB/18337.3-2001）；</w:t>
      </w:r>
    </w:p>
    <w:p>
      <w:pPr>
        <w:keepNext w:val="0"/>
        <w:keepLines w:val="0"/>
        <w:pageBreakBefore w:val="0"/>
        <w:widowControl w:val="0"/>
        <w:kinsoku/>
        <w:wordWrap/>
        <w:overflowPunct/>
        <w:topLinePunct w:val="0"/>
        <w:autoSpaceDE/>
        <w:autoSpaceDN/>
        <w:bidi w:val="0"/>
        <w:adjustRightInd/>
        <w:snapToGrid/>
        <w:spacing w:before="157" w:beforeLines="50" w:line="60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12.</w:t>
      </w:r>
      <w:r>
        <w:rPr>
          <w:rFonts w:hint="eastAsia" w:ascii="仿宋_GB2312" w:hAnsi="仿宋_GB2312" w:eastAsia="仿宋_GB2312" w:cs="仿宋_GB2312"/>
          <w:sz w:val="32"/>
          <w:szCs w:val="32"/>
          <w:highlight w:val="none"/>
        </w:rPr>
        <w:t>国家林业局《造林项目碳汇计量与监测指南》（办造字[2011]18 号）。</w:t>
      </w:r>
    </w:p>
    <w:p>
      <w:pPr>
        <w:keepNext w:val="0"/>
        <w:keepLines w:val="0"/>
        <w:pageBreakBefore w:val="0"/>
        <w:widowControl w:val="0"/>
        <w:kinsoku/>
        <w:wordWrap/>
        <w:overflowPunct/>
        <w:topLinePunct w:val="0"/>
        <w:autoSpaceDE/>
        <w:autoSpaceDN/>
        <w:bidi w:val="0"/>
        <w:adjustRightInd/>
        <w:snapToGrid/>
        <w:spacing w:before="157" w:beforeLines="50" w:line="600" w:lineRule="exact"/>
        <w:ind w:firstLine="640" w:firstLineChars="200"/>
        <w:textAlignment w:val="auto"/>
        <w:rPr>
          <w:rFonts w:hint="default" w:ascii="黑体" w:hAnsi="黑体" w:eastAsia="黑体" w:cs="黑体"/>
          <w:sz w:val="32"/>
          <w:szCs w:val="32"/>
          <w:lang w:val="en-US" w:eastAsia="zh-CN"/>
        </w:rPr>
      </w:pP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三</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制定标准</w:t>
      </w:r>
      <w:r>
        <w:rPr>
          <w:rFonts w:hint="eastAsia" w:ascii="仿宋_GB2312" w:hAnsi="仿宋_GB2312" w:eastAsia="仿宋_GB2312" w:cs="仿宋_GB2312"/>
          <w:sz w:val="32"/>
          <w:szCs w:val="32"/>
          <w:lang w:val="en-US" w:eastAsia="zh-CN"/>
        </w:rPr>
        <w:t>与现行法律、法规、标准的关系</w:t>
      </w:r>
    </w:p>
    <w:p>
      <w:pPr>
        <w:keepNext w:val="0"/>
        <w:keepLines w:val="0"/>
        <w:pageBreakBefore w:val="0"/>
        <w:widowControl w:val="0"/>
        <w:kinsoku/>
        <w:wordWrap/>
        <w:overflowPunct/>
        <w:topLinePunct w:val="0"/>
        <w:autoSpaceDE/>
        <w:autoSpaceDN/>
        <w:bidi w:val="0"/>
        <w:adjustRightInd/>
        <w:snapToGrid/>
        <w:spacing w:before="157" w:beforeLines="50" w:line="600"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本标准内容符合国家及内蒙古自治区现行法律法规要求。</w:t>
      </w:r>
    </w:p>
    <w:p>
      <w:pPr>
        <w:pStyle w:val="2"/>
        <w:pageBreakBefore w:val="0"/>
        <w:kinsoku/>
        <w:wordWrap/>
        <w:overflowPunct/>
        <w:topLinePunct w:val="0"/>
        <w:autoSpaceDE/>
        <w:autoSpaceDN/>
        <w:bidi w:val="0"/>
        <w:adjustRightInd/>
        <w:snapToGrid/>
        <w:spacing w:line="600" w:lineRule="exact"/>
        <w:textAlignment w:val="auto"/>
        <w:rPr>
          <w:rFonts w:hint="default"/>
          <w:lang w:val="en-US" w:eastAsia="zh-CN"/>
        </w:rPr>
      </w:pPr>
      <w:r>
        <w:rPr>
          <w:rFonts w:hint="eastAsia" w:ascii="黑体" w:hAnsi="黑体" w:eastAsia="黑体" w:cs="黑体"/>
          <w:sz w:val="32"/>
          <w:szCs w:val="32"/>
        </w:rPr>
        <w:t>五、</w:t>
      </w:r>
      <w:r>
        <w:rPr>
          <w:rFonts w:hint="eastAsia" w:ascii="黑体" w:hAnsi="黑体" w:eastAsia="黑体" w:cs="黑体"/>
          <w:sz w:val="32"/>
          <w:szCs w:val="32"/>
          <w:lang w:val="en-US" w:eastAsia="zh-CN"/>
        </w:rPr>
        <w:t>主要条款说明，主要技术指标、参数、试验验证的论述</w:t>
      </w:r>
    </w:p>
    <w:p>
      <w:pPr>
        <w:keepNext w:val="0"/>
        <w:keepLines w:val="0"/>
        <w:pageBreakBefore w:val="0"/>
        <w:widowControl w:val="0"/>
        <w:kinsoku/>
        <w:wordWrap/>
        <w:overflowPunct/>
        <w:topLinePunct w:val="0"/>
        <w:autoSpaceDE/>
        <w:autoSpaceDN/>
        <w:bidi w:val="0"/>
        <w:adjustRightInd/>
        <w:snapToGrid/>
        <w:spacing w:before="157" w:beforeLines="50" w:line="600" w:lineRule="exact"/>
        <w:ind w:firstLine="643" w:firstLineChars="200"/>
        <w:textAlignment w:val="auto"/>
        <w:rPr>
          <w:rFonts w:hint="eastAsia" w:ascii="仿宋_GB2312" w:hAnsi="仿宋_GB2312" w:eastAsia="仿宋_GB2312" w:cs="仿宋_GB2312"/>
          <w:sz w:val="32"/>
          <w:szCs w:val="32"/>
        </w:rPr>
      </w:pPr>
      <w:r>
        <w:rPr>
          <w:rFonts w:hint="eastAsia" w:ascii="楷体_GB2312" w:hAnsi="楷体_GB2312" w:eastAsia="楷体_GB2312" w:cs="楷体_GB2312"/>
          <w:b/>
          <w:bCs/>
          <w:sz w:val="32"/>
          <w:szCs w:val="32"/>
          <w:lang w:eastAsia="zh-CN"/>
        </w:rPr>
        <w:t>（</w:t>
      </w:r>
      <w:r>
        <w:rPr>
          <w:rFonts w:hint="eastAsia" w:ascii="楷体_GB2312" w:hAnsi="楷体_GB2312" w:eastAsia="楷体_GB2312" w:cs="楷体_GB2312"/>
          <w:b/>
          <w:bCs/>
          <w:sz w:val="32"/>
          <w:szCs w:val="32"/>
          <w:lang w:val="en-US" w:eastAsia="zh-CN"/>
        </w:rPr>
        <w:t>一</w:t>
      </w:r>
      <w:r>
        <w:rPr>
          <w:rFonts w:hint="eastAsia" w:ascii="楷体_GB2312" w:hAnsi="楷体_GB2312" w:eastAsia="楷体_GB2312" w:cs="楷体_GB2312"/>
          <w:b/>
          <w:bCs/>
          <w:sz w:val="32"/>
          <w:szCs w:val="32"/>
          <w:lang w:eastAsia="zh-CN"/>
        </w:rPr>
        <w:t>）</w:t>
      </w:r>
      <w:r>
        <w:rPr>
          <w:rFonts w:hint="eastAsia" w:ascii="楷体_GB2312" w:hAnsi="楷体_GB2312" w:eastAsia="楷体_GB2312" w:cs="楷体_GB2312"/>
          <w:b/>
          <w:bCs/>
          <w:sz w:val="32"/>
          <w:szCs w:val="32"/>
        </w:rPr>
        <w:t>范围</w:t>
      </w:r>
      <w:r>
        <w:rPr>
          <w:rFonts w:hint="eastAsia" w:ascii="仿宋_GB2312" w:hAnsi="仿宋_GB2312" w:eastAsia="仿宋_GB2312" w:cs="仿宋_GB2312"/>
          <w:sz w:val="32"/>
          <w:szCs w:val="32"/>
        </w:rPr>
        <w:t>：本</w:t>
      </w:r>
      <w:r>
        <w:rPr>
          <w:rFonts w:hint="eastAsia" w:ascii="仿宋_GB2312" w:hAnsi="仿宋_GB2312" w:eastAsia="仿宋_GB2312" w:cs="仿宋_GB2312"/>
          <w:sz w:val="32"/>
          <w:szCs w:val="32"/>
          <w:lang w:eastAsia="zh-CN"/>
        </w:rPr>
        <w:t>标准</w:t>
      </w:r>
      <w:r>
        <w:rPr>
          <w:rFonts w:hint="eastAsia" w:ascii="仿宋_GB2312" w:hAnsi="仿宋_GB2312" w:eastAsia="仿宋_GB2312" w:cs="仿宋_GB2312"/>
          <w:sz w:val="32"/>
          <w:szCs w:val="32"/>
        </w:rPr>
        <w:t>确定了林草碳票减排量备案的固碳或增汇活动减排量计量边界、内容和方法等方面的指导和建议。</w:t>
      </w:r>
    </w:p>
    <w:p>
      <w:pPr>
        <w:keepNext w:val="0"/>
        <w:keepLines w:val="0"/>
        <w:pageBreakBefore w:val="0"/>
        <w:widowControl w:val="0"/>
        <w:kinsoku/>
        <w:wordWrap/>
        <w:overflowPunct/>
        <w:topLinePunct w:val="0"/>
        <w:autoSpaceDE/>
        <w:autoSpaceDN/>
        <w:bidi w:val="0"/>
        <w:adjustRightInd/>
        <w:snapToGrid/>
        <w:spacing w:before="157" w:beforeLines="50"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本</w:t>
      </w:r>
      <w:r>
        <w:rPr>
          <w:rFonts w:hint="eastAsia" w:ascii="仿宋_GB2312" w:hAnsi="仿宋_GB2312" w:eastAsia="仿宋_GB2312" w:cs="仿宋_GB2312"/>
          <w:sz w:val="32"/>
          <w:szCs w:val="32"/>
          <w:lang w:eastAsia="zh-CN"/>
        </w:rPr>
        <w:t>标准</w:t>
      </w:r>
      <w:r>
        <w:rPr>
          <w:rFonts w:hint="eastAsia" w:ascii="仿宋_GB2312" w:hAnsi="仿宋_GB2312" w:eastAsia="仿宋_GB2312" w:cs="仿宋_GB2312"/>
          <w:sz w:val="32"/>
          <w:szCs w:val="32"/>
        </w:rPr>
        <w:t>适用于包头市林草碳票</w:t>
      </w:r>
      <w:r>
        <w:rPr>
          <w:rFonts w:hint="eastAsia" w:ascii="仿宋_GB2312" w:hAnsi="仿宋_GB2312" w:eastAsia="仿宋_GB2312" w:cs="仿宋_GB2312"/>
          <w:sz w:val="32"/>
          <w:szCs w:val="32"/>
          <w:lang w:eastAsia="zh-CN"/>
        </w:rPr>
        <w:t>碳汇量</w:t>
      </w:r>
      <w:r>
        <w:rPr>
          <w:rFonts w:hint="eastAsia" w:ascii="仿宋_GB2312" w:hAnsi="仿宋_GB2312" w:eastAsia="仿宋_GB2312" w:cs="仿宋_GB2312"/>
          <w:sz w:val="32"/>
          <w:szCs w:val="32"/>
        </w:rPr>
        <w:t>的计量和监测，其他城市林草碳票减排量计量可参照使用。</w:t>
      </w:r>
    </w:p>
    <w:p>
      <w:pPr>
        <w:keepNext w:val="0"/>
        <w:keepLines w:val="0"/>
        <w:pageBreakBefore w:val="0"/>
        <w:widowControl w:val="0"/>
        <w:kinsoku/>
        <w:wordWrap/>
        <w:overflowPunct/>
        <w:topLinePunct w:val="0"/>
        <w:autoSpaceDE/>
        <w:autoSpaceDN/>
        <w:bidi w:val="0"/>
        <w:adjustRightInd/>
        <w:snapToGrid/>
        <w:spacing w:before="157" w:beforeLines="50" w:line="600" w:lineRule="exact"/>
        <w:ind w:firstLine="643" w:firstLineChars="200"/>
        <w:textAlignment w:val="auto"/>
        <w:rPr>
          <w:rFonts w:hint="eastAsia" w:ascii="楷体_GB2312" w:hAnsi="楷体_GB2312" w:eastAsia="楷体_GB2312" w:cs="楷体_GB2312"/>
          <w:b/>
          <w:bCs/>
          <w:sz w:val="32"/>
          <w:szCs w:val="32"/>
          <w:lang w:eastAsia="zh-CN"/>
        </w:rPr>
      </w:pPr>
      <w:r>
        <w:rPr>
          <w:rFonts w:hint="eastAsia" w:ascii="楷体_GB2312" w:hAnsi="楷体_GB2312" w:eastAsia="楷体_GB2312" w:cs="楷体_GB2312"/>
          <w:b/>
          <w:bCs/>
          <w:sz w:val="32"/>
          <w:szCs w:val="32"/>
          <w:lang w:eastAsia="zh-CN"/>
        </w:rPr>
        <w:t>（</w:t>
      </w:r>
      <w:r>
        <w:rPr>
          <w:rFonts w:hint="eastAsia" w:ascii="楷体_GB2312" w:hAnsi="楷体_GB2312" w:eastAsia="楷体_GB2312" w:cs="楷体_GB2312"/>
          <w:b/>
          <w:bCs/>
          <w:sz w:val="32"/>
          <w:szCs w:val="32"/>
          <w:lang w:val="en-US" w:eastAsia="zh-CN"/>
        </w:rPr>
        <w:t>二</w:t>
      </w:r>
      <w:r>
        <w:rPr>
          <w:rFonts w:hint="eastAsia" w:ascii="楷体_GB2312" w:hAnsi="楷体_GB2312" w:eastAsia="楷体_GB2312" w:cs="楷体_GB2312"/>
          <w:b/>
          <w:bCs/>
          <w:sz w:val="32"/>
          <w:szCs w:val="32"/>
          <w:lang w:eastAsia="zh-CN"/>
        </w:rPr>
        <w:t>）主要技术内容</w:t>
      </w:r>
    </w:p>
    <w:p>
      <w:pPr>
        <w:keepNext w:val="0"/>
        <w:keepLines w:val="0"/>
        <w:pageBreakBefore w:val="0"/>
        <w:widowControl w:val="0"/>
        <w:kinsoku/>
        <w:wordWrap/>
        <w:overflowPunct/>
        <w:topLinePunct w:val="0"/>
        <w:autoSpaceDE/>
        <w:autoSpaceDN/>
        <w:bidi w:val="0"/>
        <w:adjustRightInd/>
        <w:snapToGrid/>
        <w:spacing w:before="157" w:beforeLines="50"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 林草碳票碳计量边界的确定</w:t>
      </w:r>
    </w:p>
    <w:p>
      <w:pPr>
        <w:keepNext w:val="0"/>
        <w:keepLines w:val="0"/>
        <w:pageBreakBefore w:val="0"/>
        <w:widowControl w:val="0"/>
        <w:kinsoku/>
        <w:wordWrap/>
        <w:overflowPunct/>
        <w:topLinePunct w:val="0"/>
        <w:autoSpaceDE/>
        <w:autoSpaceDN/>
        <w:bidi w:val="0"/>
        <w:adjustRightInd/>
        <w:snapToGrid/>
        <w:spacing w:before="157" w:beforeLines="50"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 林草碳票碳计量的内容</w:t>
      </w:r>
    </w:p>
    <w:p>
      <w:pPr>
        <w:keepNext w:val="0"/>
        <w:keepLines w:val="0"/>
        <w:pageBreakBefore w:val="0"/>
        <w:widowControl w:val="0"/>
        <w:kinsoku/>
        <w:wordWrap/>
        <w:overflowPunct/>
        <w:topLinePunct w:val="0"/>
        <w:autoSpaceDE/>
        <w:autoSpaceDN/>
        <w:bidi w:val="0"/>
        <w:adjustRightInd/>
        <w:snapToGrid/>
        <w:spacing w:before="157" w:beforeLines="50"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 活动水平数据调查及方法</w:t>
      </w:r>
    </w:p>
    <w:p>
      <w:pPr>
        <w:keepNext w:val="0"/>
        <w:keepLines w:val="0"/>
        <w:pageBreakBefore w:val="0"/>
        <w:widowControl w:val="0"/>
        <w:kinsoku/>
        <w:wordWrap/>
        <w:overflowPunct/>
        <w:topLinePunct w:val="0"/>
        <w:autoSpaceDE/>
        <w:autoSpaceDN/>
        <w:bidi w:val="0"/>
        <w:adjustRightInd/>
        <w:snapToGrid/>
        <w:spacing w:before="157" w:beforeLines="50"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内容包括：植物生物量碳库调查、土壤碳库调查等。</w:t>
      </w:r>
    </w:p>
    <w:p>
      <w:pPr>
        <w:keepNext w:val="0"/>
        <w:keepLines w:val="0"/>
        <w:pageBreakBefore w:val="0"/>
        <w:widowControl w:val="0"/>
        <w:numPr>
          <w:ilvl w:val="0"/>
          <w:numId w:val="2"/>
        </w:numPr>
        <w:kinsoku/>
        <w:wordWrap/>
        <w:overflowPunct/>
        <w:topLinePunct w:val="0"/>
        <w:autoSpaceDE/>
        <w:autoSpaceDN/>
        <w:bidi w:val="0"/>
        <w:adjustRightInd/>
        <w:snapToGrid/>
        <w:spacing w:before="157" w:beforeLines="50"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缺省因子数据来源及确定方法</w:t>
      </w:r>
    </w:p>
    <w:p>
      <w:pPr>
        <w:keepNext w:val="0"/>
        <w:keepLines w:val="0"/>
        <w:pageBreakBefore w:val="0"/>
        <w:widowControl w:val="0"/>
        <w:kinsoku/>
        <w:wordWrap/>
        <w:overflowPunct/>
        <w:topLinePunct w:val="0"/>
        <w:autoSpaceDE/>
        <w:autoSpaceDN/>
        <w:bidi w:val="0"/>
        <w:adjustRightInd/>
        <w:snapToGrid/>
        <w:spacing w:before="157" w:beforeLines="50"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内容包括：生物量转换参数、生物量含碳率等。</w:t>
      </w:r>
    </w:p>
    <w:p>
      <w:pPr>
        <w:keepNext w:val="0"/>
        <w:keepLines w:val="0"/>
        <w:pageBreakBefore w:val="0"/>
        <w:widowControl w:val="0"/>
        <w:numPr>
          <w:ilvl w:val="0"/>
          <w:numId w:val="2"/>
        </w:numPr>
        <w:kinsoku/>
        <w:wordWrap/>
        <w:overflowPunct/>
        <w:topLinePunct w:val="0"/>
        <w:autoSpaceDE/>
        <w:autoSpaceDN/>
        <w:bidi w:val="0"/>
        <w:adjustRightInd/>
        <w:snapToGrid/>
        <w:spacing w:before="157" w:beforeLines="50" w:line="600" w:lineRule="exact"/>
        <w:ind w:left="0" w:leftChars="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汇清除量的计算方法</w:t>
      </w:r>
    </w:p>
    <w:p>
      <w:pPr>
        <w:keepNext w:val="0"/>
        <w:keepLines w:val="0"/>
        <w:pageBreakBefore w:val="0"/>
        <w:widowControl w:val="0"/>
        <w:kinsoku/>
        <w:wordWrap/>
        <w:overflowPunct/>
        <w:topLinePunct w:val="0"/>
        <w:autoSpaceDE/>
        <w:autoSpaceDN/>
        <w:bidi w:val="0"/>
        <w:adjustRightInd/>
        <w:snapToGrid/>
        <w:spacing w:before="157" w:beforeLines="50" w:line="600"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lang w:eastAsia="zh-CN"/>
        </w:rPr>
        <w:t>六</w:t>
      </w:r>
      <w:r>
        <w:rPr>
          <w:rFonts w:hint="eastAsia" w:ascii="黑体" w:hAnsi="黑体" w:eastAsia="黑体" w:cs="黑体"/>
          <w:sz w:val="32"/>
          <w:szCs w:val="32"/>
        </w:rPr>
        <w:t>、重大意见分歧的处理依据和结果。</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本标准起草过程中无重大意见分歧。</w:t>
      </w:r>
    </w:p>
    <w:p>
      <w:pPr>
        <w:keepNext w:val="0"/>
        <w:keepLines w:val="0"/>
        <w:pageBreakBefore w:val="0"/>
        <w:widowControl w:val="0"/>
        <w:kinsoku/>
        <w:wordWrap/>
        <w:overflowPunct/>
        <w:topLinePunct w:val="0"/>
        <w:autoSpaceDE/>
        <w:autoSpaceDN/>
        <w:bidi w:val="0"/>
        <w:adjustRightInd/>
        <w:snapToGrid/>
        <w:spacing w:before="157" w:beforeLines="50" w:line="600"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lang w:val="en-US" w:eastAsia="zh-CN"/>
        </w:rPr>
        <w:t>七、</w:t>
      </w:r>
      <w:r>
        <w:rPr>
          <w:rFonts w:hint="eastAsia" w:ascii="黑体" w:hAnsi="黑体" w:eastAsia="黑体" w:cs="黑体"/>
          <w:sz w:val="32"/>
          <w:szCs w:val="32"/>
        </w:rPr>
        <w:t>采用国际标准或国外先进标准的，说明采标程度，以及国内外同类标准水平的对比情况</w:t>
      </w:r>
      <w:r>
        <w:rPr>
          <w:rFonts w:hint="eastAsia" w:ascii="黑体" w:hAnsi="黑体" w:eastAsia="黑体" w:cs="黑体"/>
          <w:sz w:val="32"/>
          <w:szCs w:val="32"/>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本标准起草过程中</w:t>
      </w:r>
      <w:r>
        <w:rPr>
          <w:rFonts w:hint="eastAsia" w:ascii="仿宋_GB2312" w:hAnsi="仿宋_GB2312" w:eastAsia="仿宋_GB2312" w:cs="仿宋_GB2312"/>
          <w:sz w:val="32"/>
          <w:szCs w:val="32"/>
          <w:highlight w:val="none"/>
          <w:lang w:val="en-US" w:eastAsia="zh-CN"/>
        </w:rPr>
        <w:t>未采用国际标准</w:t>
      </w:r>
      <w:r>
        <w:rPr>
          <w:rFonts w:hint="eastAsia" w:ascii="仿宋_GB2312" w:hAnsi="仿宋_GB2312" w:eastAsia="仿宋_GB2312" w:cs="仿宋_GB2312"/>
          <w:sz w:val="32"/>
          <w:szCs w:val="32"/>
          <w:highlight w:val="none"/>
        </w:rPr>
        <w:t>。</w:t>
      </w:r>
    </w:p>
    <w:p>
      <w:pPr>
        <w:keepNext w:val="0"/>
        <w:keepLines w:val="0"/>
        <w:pageBreakBefore w:val="0"/>
        <w:widowControl w:val="0"/>
        <w:numPr>
          <w:ilvl w:val="0"/>
          <w:numId w:val="3"/>
        </w:numPr>
        <w:kinsoku/>
        <w:wordWrap/>
        <w:overflowPunct/>
        <w:topLinePunct w:val="0"/>
        <w:autoSpaceDE/>
        <w:autoSpaceDN/>
        <w:bidi w:val="0"/>
        <w:adjustRightInd/>
        <w:snapToGrid/>
        <w:spacing w:before="157" w:beforeLines="50" w:line="600"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rPr>
        <w:t>推广实施</w:t>
      </w:r>
    </w:p>
    <w:p>
      <w:pPr>
        <w:keepNext w:val="0"/>
        <w:keepLines w:val="0"/>
        <w:pageBreakBefore w:val="0"/>
        <w:widowControl w:val="0"/>
        <w:numPr>
          <w:ilvl w:val="0"/>
          <w:numId w:val="0"/>
        </w:numPr>
        <w:kinsoku/>
        <w:wordWrap/>
        <w:overflowPunct/>
        <w:topLinePunct w:val="0"/>
        <w:autoSpaceDE/>
        <w:autoSpaceDN/>
        <w:bidi w:val="0"/>
        <w:adjustRightInd/>
        <w:snapToGrid/>
        <w:spacing w:before="157" w:beforeLines="50" w:line="600" w:lineRule="exact"/>
        <w:ind w:firstLine="640" w:firstLineChars="200"/>
        <w:textAlignment w:val="auto"/>
        <w:rPr>
          <w:rFonts w:hint="eastAsia" w:ascii="黑体" w:hAnsi="黑体" w:eastAsia="仿宋_GB2312" w:cs="黑体"/>
          <w:sz w:val="32"/>
          <w:szCs w:val="32"/>
          <w:lang w:eastAsia="zh-CN"/>
        </w:rPr>
      </w:pPr>
      <w:r>
        <w:rPr>
          <w:rFonts w:hint="eastAsia" w:ascii="仿宋_GB2312" w:hAnsi="仿宋_GB2312" w:eastAsia="仿宋_GB2312" w:cs="仿宋_GB2312"/>
          <w:sz w:val="32"/>
          <w:szCs w:val="32"/>
          <w:highlight w:val="none"/>
        </w:rPr>
        <w:t>本标</w:t>
      </w:r>
      <w:r>
        <w:rPr>
          <w:rFonts w:hint="eastAsia" w:ascii="仿宋_GB2312" w:hAnsi="仿宋_GB2312" w:eastAsia="仿宋_GB2312" w:cs="仿宋_GB2312"/>
          <w:sz w:val="32"/>
          <w:szCs w:val="32"/>
          <w:highlight w:val="none"/>
          <w:lang w:eastAsia="zh-CN"/>
        </w:rPr>
        <w:t>准应用于包头地方林草碳汇项目开发。</w:t>
      </w:r>
    </w:p>
    <w:sectPr>
      <w:footerReference r:id="rId3" w:type="default"/>
      <w:pgSz w:w="11906" w:h="16838"/>
      <w:pgMar w:top="2098" w:right="1474" w:bottom="1984" w:left="1587"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3"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_GB2312">
    <w:panose1 w:val="02010609030101010101"/>
    <w:charset w:val="86"/>
    <w:family w:val="auto"/>
    <w:pitch w:val="default"/>
    <w:sig w:usb0="00000001" w:usb1="080E0000" w:usb2="00000000" w:usb3="00000000" w:csb0="00040000" w:csb1="00000000"/>
  </w:font>
  <w:font w:name="方正小标宋简体">
    <w:panose1 w:val="02010601030101010101"/>
    <w:charset w:val="86"/>
    <w:family w:val="script"/>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6</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4"/>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6</w:t>
                    </w:r>
                    <w:r>
                      <w:fldChar w:fldCharType="end"/>
                    </w:r>
                    <w:r>
                      <w:t xml:space="preserve"> 页</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FEEAE37"/>
    <w:multiLevelType w:val="singleLevel"/>
    <w:tmpl w:val="9FEEAE37"/>
    <w:lvl w:ilvl="0" w:tentative="0">
      <w:start w:val="3"/>
      <w:numFmt w:val="chineseCounting"/>
      <w:suff w:val="nothing"/>
      <w:lvlText w:val="%1、"/>
      <w:lvlJc w:val="left"/>
      <w:rPr>
        <w:rFonts w:hint="eastAsia"/>
      </w:rPr>
    </w:lvl>
  </w:abstractNum>
  <w:abstractNum w:abstractNumId="1">
    <w:nsid w:val="C5CB6BAA"/>
    <w:multiLevelType w:val="singleLevel"/>
    <w:tmpl w:val="C5CB6BAA"/>
    <w:lvl w:ilvl="0" w:tentative="0">
      <w:start w:val="8"/>
      <w:numFmt w:val="chineseCounting"/>
      <w:suff w:val="nothing"/>
      <w:lvlText w:val="%1、"/>
      <w:lvlJc w:val="left"/>
      <w:rPr>
        <w:rFonts w:hint="eastAsia"/>
      </w:rPr>
    </w:lvl>
  </w:abstractNum>
  <w:abstractNum w:abstractNumId="2">
    <w:nsid w:val="1A895086"/>
    <w:multiLevelType w:val="singleLevel"/>
    <w:tmpl w:val="1A895086"/>
    <w:lvl w:ilvl="0" w:tentative="0">
      <w:start w:val="4"/>
      <w:numFmt w:val="decimal"/>
      <w:suff w:val="space"/>
      <w:lvlText w:val="%1."/>
      <w:lvlJc w:val="left"/>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9"/>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RjM2M3NDgxZjBiOWU5ZjQ0YTY3ZThhNzI5ODVjMGMifQ=="/>
  </w:docVars>
  <w:rsids>
    <w:rsidRoot w:val="119B314D"/>
    <w:rsid w:val="000D6A89"/>
    <w:rsid w:val="01284C10"/>
    <w:rsid w:val="02117D9A"/>
    <w:rsid w:val="02897931"/>
    <w:rsid w:val="02BF7748"/>
    <w:rsid w:val="02E5725D"/>
    <w:rsid w:val="04891E6A"/>
    <w:rsid w:val="05A11650"/>
    <w:rsid w:val="05DF2BCC"/>
    <w:rsid w:val="05F94DCD"/>
    <w:rsid w:val="06905732"/>
    <w:rsid w:val="084C5688"/>
    <w:rsid w:val="08605BE9"/>
    <w:rsid w:val="098F7F23"/>
    <w:rsid w:val="09A6526C"/>
    <w:rsid w:val="09D45935"/>
    <w:rsid w:val="0A3F73AB"/>
    <w:rsid w:val="0A6C3DC0"/>
    <w:rsid w:val="0ACF434F"/>
    <w:rsid w:val="0AF12517"/>
    <w:rsid w:val="0BBF10E1"/>
    <w:rsid w:val="0BBF2615"/>
    <w:rsid w:val="0BEB6F66"/>
    <w:rsid w:val="0C2030B4"/>
    <w:rsid w:val="0D352AAD"/>
    <w:rsid w:val="0DBC6E0C"/>
    <w:rsid w:val="0E9B2EC6"/>
    <w:rsid w:val="0F156190"/>
    <w:rsid w:val="0F2F360E"/>
    <w:rsid w:val="0F467B98"/>
    <w:rsid w:val="0F801385"/>
    <w:rsid w:val="0F9665E9"/>
    <w:rsid w:val="1008205A"/>
    <w:rsid w:val="104A4BA3"/>
    <w:rsid w:val="104A6C13"/>
    <w:rsid w:val="10601A98"/>
    <w:rsid w:val="10967978"/>
    <w:rsid w:val="10B4201D"/>
    <w:rsid w:val="10C5247C"/>
    <w:rsid w:val="10D12BCF"/>
    <w:rsid w:val="10F03EEC"/>
    <w:rsid w:val="119B314D"/>
    <w:rsid w:val="12046FD4"/>
    <w:rsid w:val="12955E7E"/>
    <w:rsid w:val="12C164CC"/>
    <w:rsid w:val="12E32EDE"/>
    <w:rsid w:val="132316DC"/>
    <w:rsid w:val="134753CA"/>
    <w:rsid w:val="13D36C5E"/>
    <w:rsid w:val="13DF3855"/>
    <w:rsid w:val="144143EC"/>
    <w:rsid w:val="14CB3DD9"/>
    <w:rsid w:val="159643E7"/>
    <w:rsid w:val="15A00DC2"/>
    <w:rsid w:val="165322D8"/>
    <w:rsid w:val="16C66818"/>
    <w:rsid w:val="178A1D29"/>
    <w:rsid w:val="17F65611"/>
    <w:rsid w:val="181E32C2"/>
    <w:rsid w:val="181E53EC"/>
    <w:rsid w:val="18F97167"/>
    <w:rsid w:val="190E24E6"/>
    <w:rsid w:val="192A5572"/>
    <w:rsid w:val="19597C05"/>
    <w:rsid w:val="197706AE"/>
    <w:rsid w:val="19C57049"/>
    <w:rsid w:val="1A3D7527"/>
    <w:rsid w:val="1BAB04C0"/>
    <w:rsid w:val="1BFB4FA4"/>
    <w:rsid w:val="1C093B64"/>
    <w:rsid w:val="1C0C71B1"/>
    <w:rsid w:val="1C7A6810"/>
    <w:rsid w:val="1C8B27CB"/>
    <w:rsid w:val="1CE67A02"/>
    <w:rsid w:val="1D6D29A0"/>
    <w:rsid w:val="1D743E16"/>
    <w:rsid w:val="1DC53ABB"/>
    <w:rsid w:val="1DE5415D"/>
    <w:rsid w:val="1E14059F"/>
    <w:rsid w:val="1E812EA6"/>
    <w:rsid w:val="201E3957"/>
    <w:rsid w:val="20270A5D"/>
    <w:rsid w:val="216929AF"/>
    <w:rsid w:val="21723F5A"/>
    <w:rsid w:val="21C127EB"/>
    <w:rsid w:val="23841D23"/>
    <w:rsid w:val="24BE1264"/>
    <w:rsid w:val="24DF6C66"/>
    <w:rsid w:val="24ED38F7"/>
    <w:rsid w:val="254C0545"/>
    <w:rsid w:val="260C4691"/>
    <w:rsid w:val="276460F3"/>
    <w:rsid w:val="27653C19"/>
    <w:rsid w:val="27AC7109"/>
    <w:rsid w:val="27D226CF"/>
    <w:rsid w:val="284E28FF"/>
    <w:rsid w:val="286C41B3"/>
    <w:rsid w:val="29253660"/>
    <w:rsid w:val="29B33362"/>
    <w:rsid w:val="29E256AC"/>
    <w:rsid w:val="2B12230A"/>
    <w:rsid w:val="2BA07916"/>
    <w:rsid w:val="2C136339"/>
    <w:rsid w:val="2CB552AC"/>
    <w:rsid w:val="2D157E8F"/>
    <w:rsid w:val="2D945258"/>
    <w:rsid w:val="2DCA6ECC"/>
    <w:rsid w:val="2E861045"/>
    <w:rsid w:val="2F104DB2"/>
    <w:rsid w:val="2F45680A"/>
    <w:rsid w:val="309F1F4A"/>
    <w:rsid w:val="30E107B4"/>
    <w:rsid w:val="313740FB"/>
    <w:rsid w:val="319B6BB5"/>
    <w:rsid w:val="32607DFF"/>
    <w:rsid w:val="33B65F28"/>
    <w:rsid w:val="341744ED"/>
    <w:rsid w:val="34700276"/>
    <w:rsid w:val="348C0A37"/>
    <w:rsid w:val="372A1683"/>
    <w:rsid w:val="382471D8"/>
    <w:rsid w:val="382673F4"/>
    <w:rsid w:val="38AF1198"/>
    <w:rsid w:val="38C20ECB"/>
    <w:rsid w:val="38EE1CC0"/>
    <w:rsid w:val="39CB2002"/>
    <w:rsid w:val="39D83A80"/>
    <w:rsid w:val="3A085004"/>
    <w:rsid w:val="3A531ECD"/>
    <w:rsid w:val="3AF630AE"/>
    <w:rsid w:val="3C9C7C85"/>
    <w:rsid w:val="3D483969"/>
    <w:rsid w:val="3E0D0E3B"/>
    <w:rsid w:val="3EAD7F28"/>
    <w:rsid w:val="3ECE3A22"/>
    <w:rsid w:val="3F6727CC"/>
    <w:rsid w:val="400745C8"/>
    <w:rsid w:val="40C913D4"/>
    <w:rsid w:val="40E045E4"/>
    <w:rsid w:val="42246753"/>
    <w:rsid w:val="430420E0"/>
    <w:rsid w:val="44665FDC"/>
    <w:rsid w:val="44753296"/>
    <w:rsid w:val="45AA51C1"/>
    <w:rsid w:val="45E81617"/>
    <w:rsid w:val="45F81C62"/>
    <w:rsid w:val="45FA53F8"/>
    <w:rsid w:val="461D4A07"/>
    <w:rsid w:val="46565349"/>
    <w:rsid w:val="46C16C66"/>
    <w:rsid w:val="477534BF"/>
    <w:rsid w:val="483376F0"/>
    <w:rsid w:val="4856518C"/>
    <w:rsid w:val="4881134E"/>
    <w:rsid w:val="48C02CB0"/>
    <w:rsid w:val="4A5732C9"/>
    <w:rsid w:val="4A926D5C"/>
    <w:rsid w:val="4AE7656F"/>
    <w:rsid w:val="4C9B33F3"/>
    <w:rsid w:val="4D1D2704"/>
    <w:rsid w:val="4D2B5402"/>
    <w:rsid w:val="4D63247C"/>
    <w:rsid w:val="4DA16390"/>
    <w:rsid w:val="4E1738D6"/>
    <w:rsid w:val="4E6C395B"/>
    <w:rsid w:val="4EBD41B7"/>
    <w:rsid w:val="4F7A5C04"/>
    <w:rsid w:val="4FDC68BF"/>
    <w:rsid w:val="50575C57"/>
    <w:rsid w:val="508F56DF"/>
    <w:rsid w:val="518A7022"/>
    <w:rsid w:val="519002AE"/>
    <w:rsid w:val="51C40B94"/>
    <w:rsid w:val="534A3B3F"/>
    <w:rsid w:val="53C04B08"/>
    <w:rsid w:val="53E06252"/>
    <w:rsid w:val="53FC752F"/>
    <w:rsid w:val="54436F0C"/>
    <w:rsid w:val="55F3226C"/>
    <w:rsid w:val="561D378D"/>
    <w:rsid w:val="564231F4"/>
    <w:rsid w:val="56B7347C"/>
    <w:rsid w:val="57137C33"/>
    <w:rsid w:val="573C40E7"/>
    <w:rsid w:val="582901C7"/>
    <w:rsid w:val="592856EA"/>
    <w:rsid w:val="59396B30"/>
    <w:rsid w:val="59593BFC"/>
    <w:rsid w:val="598C737A"/>
    <w:rsid w:val="5A961224"/>
    <w:rsid w:val="5B4A5024"/>
    <w:rsid w:val="5B5F5C30"/>
    <w:rsid w:val="5BD3501A"/>
    <w:rsid w:val="5BFE5B97"/>
    <w:rsid w:val="5C2869E8"/>
    <w:rsid w:val="5C406869"/>
    <w:rsid w:val="5C5123E2"/>
    <w:rsid w:val="5C5617A7"/>
    <w:rsid w:val="5C8005D2"/>
    <w:rsid w:val="6127472C"/>
    <w:rsid w:val="626A1B08"/>
    <w:rsid w:val="628726BA"/>
    <w:rsid w:val="62DF2184"/>
    <w:rsid w:val="632E6FDA"/>
    <w:rsid w:val="648F3AA8"/>
    <w:rsid w:val="64B71C9E"/>
    <w:rsid w:val="6558033E"/>
    <w:rsid w:val="65A90B99"/>
    <w:rsid w:val="65BF03BD"/>
    <w:rsid w:val="66EC3879"/>
    <w:rsid w:val="66ED18C1"/>
    <w:rsid w:val="6759039D"/>
    <w:rsid w:val="676B2854"/>
    <w:rsid w:val="682872F0"/>
    <w:rsid w:val="68420E31"/>
    <w:rsid w:val="69AE677E"/>
    <w:rsid w:val="6A7B4289"/>
    <w:rsid w:val="6BAF72C8"/>
    <w:rsid w:val="6BEC7A20"/>
    <w:rsid w:val="6D0F52CA"/>
    <w:rsid w:val="6D317DF2"/>
    <w:rsid w:val="6EA939B8"/>
    <w:rsid w:val="6F162CBE"/>
    <w:rsid w:val="6F4A1255"/>
    <w:rsid w:val="6F524050"/>
    <w:rsid w:val="6FFD045F"/>
    <w:rsid w:val="700A66D9"/>
    <w:rsid w:val="707029DF"/>
    <w:rsid w:val="70D7324F"/>
    <w:rsid w:val="714D0F73"/>
    <w:rsid w:val="715A543E"/>
    <w:rsid w:val="71793B16"/>
    <w:rsid w:val="719C7804"/>
    <w:rsid w:val="73102258"/>
    <w:rsid w:val="73432C6F"/>
    <w:rsid w:val="73691A00"/>
    <w:rsid w:val="73AA56DB"/>
    <w:rsid w:val="73BB005A"/>
    <w:rsid w:val="744D3038"/>
    <w:rsid w:val="74E514C2"/>
    <w:rsid w:val="75263FB5"/>
    <w:rsid w:val="756248C1"/>
    <w:rsid w:val="7589009F"/>
    <w:rsid w:val="758B206A"/>
    <w:rsid w:val="76375D4D"/>
    <w:rsid w:val="766F54E7"/>
    <w:rsid w:val="76C025DC"/>
    <w:rsid w:val="77811976"/>
    <w:rsid w:val="77DF044B"/>
    <w:rsid w:val="7B6A2774"/>
    <w:rsid w:val="7B811F45"/>
    <w:rsid w:val="7BC65BA9"/>
    <w:rsid w:val="7D627B54"/>
    <w:rsid w:val="7E617E0B"/>
    <w:rsid w:val="7EBE0DBA"/>
    <w:rsid w:val="7F2C0419"/>
    <w:rsid w:val="7F312A72"/>
    <w:rsid w:val="7F8756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9"/>
    <w:pPr>
      <w:keepNext/>
      <w:keepLines/>
      <w:spacing w:line="360" w:lineRule="auto"/>
      <w:ind w:firstLine="720" w:firstLineChars="200"/>
      <w:outlineLvl w:val="0"/>
    </w:pPr>
    <w:rPr>
      <w:rFonts w:ascii="Times New Roman" w:hAnsi="Times New Roman" w:eastAsia="黑体"/>
      <w:bCs/>
      <w:kern w:val="44"/>
      <w:szCs w:val="44"/>
    </w:rPr>
  </w:style>
  <w:style w:type="paragraph" w:styleId="3">
    <w:name w:val="heading 2"/>
    <w:basedOn w:val="1"/>
    <w:next w:val="1"/>
    <w:unhideWhenUsed/>
    <w:qFormat/>
    <w:uiPriority w:val="9"/>
    <w:pPr>
      <w:keepNext/>
      <w:keepLines/>
      <w:spacing w:line="360" w:lineRule="auto"/>
      <w:ind w:firstLine="720" w:firstLineChars="200"/>
      <w:outlineLvl w:val="1"/>
    </w:pPr>
    <w:rPr>
      <w:rFonts w:ascii="Times New Roman" w:hAnsi="Times New Roman" w:eastAsia="楷体_GB2312" w:cstheme="majorBidi"/>
      <w:b/>
      <w:bCs/>
      <w:szCs w:val="32"/>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customStyle="1" w:styleId="8">
    <w:name w:val="标准文件_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C7EDCC"/>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2481</Words>
  <Characters>2604</Characters>
  <Lines>0</Lines>
  <Paragraphs>0</Paragraphs>
  <TotalTime>0</TotalTime>
  <ScaleCrop>false</ScaleCrop>
  <LinksUpToDate>false</LinksUpToDate>
  <CharactersWithSpaces>2625</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2023-09-04T03:32:00Z</dcterms:created>
  <dc:creator>HX</dc:creator>
  <cp:lastModifiedBy>Administrator</cp:lastModifiedBy>
  <dcterms:modified xsi:type="dcterms:W3CDTF">2023-11-13T07:12:40Z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A42C9B30D5D7478C9D4EFEACD3F4DAE5_11</vt:lpwstr>
  </property>
</Properties>
</file>