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framePr w:wrap="around"/>
      </w:pPr>
      <w:r>
        <w:rPr>
          <w:rFonts w:ascii="Times New Roman"/>
        </w:rPr>
        <w:t>ICS</w:t>
      </w:r>
      <w:r>
        <w:rPr>
          <w:rFonts w:hint="eastAsia" w:ascii="MS Mincho" w:hAnsi="MS Mincho" w:eastAsia="MS Mincho" w:cs="MS Mincho"/>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13.020.10</w:t>
      </w:r>
      <w:r>
        <w:fldChar w:fldCharType="end"/>
      </w:r>
      <w:bookmarkEnd w:id="0"/>
    </w:p>
    <w:p>
      <w:pPr>
        <w:pStyle w:val="119"/>
        <w:framePr w:wrap="around"/>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CCS Z 04</w:t>
      </w:r>
      <w:r>
        <w:fldChar w:fldCharType="end"/>
      </w:r>
      <w:bookmarkEnd w:id="1"/>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tcPr>
          <w:p>
            <w:pPr>
              <w:pStyle w:val="119"/>
              <w:framePr w:wrap="around"/>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508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a:effectLst/>
                            </wps:spPr>
                            <wps:bodyPr wrap="square"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Miu&#10;L+zVAAAABwEAAA8AAAAAAAAAAQAgAAAAIgAAAGRycy9kb3ducmV2LnhtbFBLAQIUABQAAAAIAIdO&#10;4kCbSbXqtAEAAHUDAAAOAAAAAAAAAAEAIAAAACQBAABkcnMvZTJvRG9jLnhtbFBLBQYAAAAABgAG&#10;AFkBAABKBQ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rPr>
                <w:rFonts w:hint="eastAsia"/>
              </w:rPr>
              <w:t>备案号</w:t>
            </w:r>
            <w:r>
              <w:t>：</w:t>
            </w:r>
            <w:r>
              <w:fldChar w:fldCharType="end"/>
            </w:r>
            <w:bookmarkEnd w:id="2"/>
          </w:p>
        </w:tc>
      </w:tr>
    </w:tbl>
    <w:p>
      <w:pPr>
        <w:pStyle w:val="105"/>
        <w:framePr w:wrap="around"/>
      </w:pPr>
      <w:r>
        <w:t>DB</w:t>
      </w:r>
      <w:bookmarkStart w:id="3" w:name="c3"/>
      <w:r>
        <w:fldChar w:fldCharType="begin">
          <w:ffData>
            <w:name w:val="c3"/>
            <w:enabled/>
            <w:calcOnExit w:val="0"/>
            <w:entryMacro w:val="ShowHelp16"/>
            <w:textInput>
              <w:maxLength w:val="2"/>
            </w:textInput>
          </w:ffData>
        </w:fldChar>
      </w:r>
      <w:r>
        <w:instrText xml:space="preserve"> FORMTEXT </w:instrText>
      </w:r>
      <w:r>
        <w:fldChar w:fldCharType="separate"/>
      </w:r>
      <w:r>
        <w:rPr>
          <w:rFonts w:hint="eastAsia"/>
        </w:rPr>
        <w:t>XX</w:t>
      </w:r>
      <w:r>
        <w:fldChar w:fldCharType="end"/>
      </w:r>
      <w:bookmarkEnd w:id="3"/>
    </w:p>
    <w:p>
      <w:pPr>
        <w:pStyle w:val="106"/>
        <w:framePr w:wrap="around"/>
      </w:pPr>
      <w:bookmarkStart w:id="4" w:name="c4"/>
      <w:r>
        <w:fldChar w:fldCharType="begin">
          <w:ffData>
            <w:name w:val="c4"/>
            <w:enabled/>
            <w:calcOnExit w:val="0"/>
            <w:entryMacro w:val="showhelp12"/>
            <w:textInput/>
          </w:ffData>
        </w:fldChar>
      </w:r>
      <w:r>
        <w:instrText xml:space="preserve"> FORMTEXT </w:instrText>
      </w:r>
      <w:r>
        <w:fldChar w:fldCharType="separate"/>
      </w:r>
      <w:r>
        <w:rPr>
          <w:rFonts w:hint="eastAsia"/>
        </w:rPr>
        <w:t>包头市</w:t>
      </w:r>
      <w:r>
        <w:fldChar w:fldCharType="end"/>
      </w:r>
      <w:bookmarkEnd w:id="4"/>
      <w:r>
        <w:rPr>
          <w:rFonts w:hint="eastAsia"/>
        </w:rPr>
        <w:t>地方标准</w:t>
      </w:r>
    </w:p>
    <w:p>
      <w:pPr>
        <w:pStyle w:val="43"/>
        <w:framePr w:wrap="around"/>
        <w:rPr>
          <w:rFonts w:hAnsi="黑体"/>
        </w:rPr>
      </w:pPr>
      <w:r>
        <w:rPr>
          <w:rFonts w:ascii="Times New Roman"/>
        </w:rPr>
        <w:t xml:space="preserve">DB </w:t>
      </w:r>
      <w:bookmarkStart w:id="5" w:name="StdNo0"/>
      <w:r>
        <w:rPr>
          <w:rFonts w:hAnsi="黑体"/>
        </w:rPr>
        <w:fldChar w:fldCharType="begin">
          <w:ffData>
            <w:name w:val="StdNo0"/>
            <w:enabled/>
            <w:calcOnExit w:val="0"/>
            <w:textInput>
              <w:default w:val="XX"/>
              <w:maxLength w:val="2"/>
            </w:textInput>
          </w:ffData>
        </w:fldChar>
      </w:r>
      <w:r>
        <w:rPr>
          <w:rFonts w:hAnsi="黑体"/>
        </w:rPr>
        <w:instrText xml:space="preserve"> FORMTEXT </w:instrText>
      </w:r>
      <w:r>
        <w:rPr>
          <w:rFonts w:hAnsi="黑体"/>
        </w:rPr>
        <w:fldChar w:fldCharType="separate"/>
      </w:r>
      <w:r>
        <w:rPr>
          <w:rFonts w:hAnsi="黑体"/>
        </w:rPr>
        <w:t>XX</w:t>
      </w:r>
      <w:r>
        <w:rPr>
          <w:rFonts w:hAnsi="黑体"/>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XXXXX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fldChar w:fldCharType="separate"/>
      </w:r>
      <w:r>
        <w:rPr>
          <w:rFonts w:hAnsi="黑体"/>
        </w:rPr>
        <w:t>XXXX</w:t>
      </w:r>
      <w:r>
        <w:rPr>
          <w:rFonts w:hAnsi="黑体"/>
        </w:rPr>
        <w:fldChar w:fldCharType="end"/>
      </w:r>
      <w:bookmarkEnd w:id="7"/>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6" w:type="dxa"/>
            <w:tcBorders>
              <w:top w:val="nil"/>
              <w:left w:val="nil"/>
              <w:bottom w:val="nil"/>
              <w:right w:val="nil"/>
            </w:tcBorders>
            <w:noWrap/>
          </w:tcPr>
          <w:p>
            <w:pPr>
              <w:pStyle w:val="72"/>
              <w:framePr w:wrap="around"/>
            </w:pPr>
            <w:bookmarkStart w:id="8" w:name="DT"/>
            <w: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bodyPr wrap="square" upright="1"/>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B5g8svWAAAA&#10;CAEAAA8AAAAAAAAAAQAgAAAAIgAAAGRycy9kb3ducmV2LnhtbFBLAQIUABQAAAAIAIdO4kD1RjTn&#10;rQEAAHUDAAAOAAAAAAAAAAEAIAAAACUBAABkcnMvZTJvRG9jLnhtbFBLBQYAAAAABgAGAFkBAABE&#10;BQ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pPr>
        <w:pStyle w:val="43"/>
        <w:framePr w:wrap="around"/>
        <w:rPr>
          <w:rFonts w:hAnsi="黑体"/>
        </w:rPr>
      </w:pPr>
    </w:p>
    <w:p>
      <w:pPr>
        <w:pStyle w:val="43"/>
        <w:framePr w:wrap="around"/>
        <w:rPr>
          <w:rFonts w:hAnsi="黑体"/>
        </w:rPr>
      </w:pPr>
    </w:p>
    <w:p>
      <w:pPr>
        <w:pStyle w:val="74"/>
        <w:framePr w:wrap="around"/>
      </w:pPr>
      <w:bookmarkStart w:id="9"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基于林草碳汇的机关事业单位</w:t>
      </w:r>
    </w:p>
    <w:p>
      <w:pPr>
        <w:pStyle w:val="74"/>
        <w:framePr w:wrap="around"/>
      </w:pPr>
      <w:r>
        <w:rPr>
          <w:rFonts w:hint="eastAsia"/>
        </w:rPr>
        <w:t>日常运营碳中和实施指南</w:t>
      </w:r>
      <w:r>
        <w:fldChar w:fldCharType="end"/>
      </w:r>
      <w:bookmarkEnd w:id="9"/>
    </w:p>
    <w:p>
      <w:pPr>
        <w:pStyle w:val="75"/>
        <w:framePr w:wrap="around"/>
        <w:rPr>
          <w:rFonts w:ascii="黑体" w:hAnsi="黑体" w:cs="黑体"/>
        </w:rPr>
      </w:pPr>
      <w:bookmarkStart w:id="10" w:name="StdEnglishName"/>
      <w:r>
        <w:rPr>
          <w:rFonts w:hint="eastAsia" w:ascii="黑体" w:hAnsi="黑体" w:cs="黑体"/>
        </w:rPr>
        <w:fldChar w:fldCharType="begin">
          <w:ffData>
            <w:name w:val="StdEnglishName"/>
            <w:enabled/>
            <w:calcOnExit w:val="0"/>
            <w:textInput>
              <w:default w:val="点击此处添加标准英文译名"/>
            </w:textInput>
          </w:ffData>
        </w:fldChar>
      </w:r>
      <w:r>
        <w:rPr>
          <w:rFonts w:hint="eastAsia" w:ascii="黑体" w:hAnsi="黑体" w:cs="黑体"/>
        </w:rPr>
        <w:instrText xml:space="preserve"> FORMTEXT </w:instrText>
      </w:r>
      <w:r>
        <w:rPr>
          <w:rFonts w:hint="eastAsia" w:ascii="黑体" w:hAnsi="黑体" w:cs="黑体"/>
        </w:rPr>
        <w:fldChar w:fldCharType="separate"/>
      </w:r>
      <w:r>
        <w:rPr>
          <w:rFonts w:hint="eastAsia" w:ascii="黑体" w:hAnsi="黑体" w:cs="黑体"/>
        </w:rPr>
        <w:t>Implementation guidelines for carbon neutrality of daily operations of governmentdepartments and public institutions based on forest and grass carbon sink</w:t>
      </w:r>
      <w:r>
        <w:rPr>
          <w:rFonts w:hint="eastAsia" w:ascii="黑体" w:hAnsi="黑体" w:cs="黑体"/>
        </w:rPr>
        <w:fldChar w:fldCharType="end"/>
      </w:r>
      <w:bookmarkEnd w:id="10"/>
    </w:p>
    <w:p>
      <w:pPr>
        <w:pStyle w:val="76"/>
        <w:framePr w:wrap="around"/>
      </w:pPr>
      <w:bookmarkStart w:id="11" w:name="YZBS"/>
      <w:r>
        <w:rPr>
          <w:rFonts w:hint="eastAsia" w:ascii="黑体" w:hAnsi="黑体" w:eastAsia="黑体" w:cs="黑体"/>
        </w:rPr>
        <w:fldChar w:fldCharType="begin">
          <w:ffData>
            <w:name w:val="YZBS"/>
            <w:enabled/>
            <w:calcOnExit w:val="0"/>
            <w:textInput>
              <w:default w:val="点击此处添加与国际标准一致性程度的标识"/>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ascii="黑体" w:hAnsi="黑体" w:eastAsia="黑体" w:cs="黑体"/>
        </w:rPr>
        <w:t>     </w:t>
      </w:r>
      <w:r>
        <w:rPr>
          <w:rFonts w:hint="eastAsia" w:ascii="黑体" w:hAnsi="黑体" w:eastAsia="黑体" w:cs="黑体"/>
        </w:rPr>
        <w:fldChar w:fldCharType="end"/>
      </w:r>
      <w:bookmarkEnd w:id="11"/>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noWrap/>
          </w:tcPr>
          <w:p>
            <w:pPr>
              <w:pStyle w:val="77"/>
              <w:framePr w:wrap="around"/>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bodyPr wrap="square" upright="1"/>
                          </wps:wsp>
                        </a:graphicData>
                      </a:graphic>
                    </wp:anchor>
                  </w:drawing>
                </mc:Choice>
                <mc:Fallback>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AWJrpLVAAAA&#10;CgEAAA8AAAAAAAAAAQAgAAAAIgAAAGRycy9kb3ducmV2LnhtbFBLAQIUABQAAAAIAIdO4kAkXwNL&#10;rgEAAHUDAAAOAAAAAAAAAAEAIAAAACQBAABkcnMvZTJvRG9jLnhtbFBLBQYAAAAABgAGAFkBAABE&#10;BQAAAAA=&#10;">
                      <v:fill on="t" focussize="0,0"/>
                      <v:stroke on="f"/>
                      <v:imagedata o:title=""/>
                      <o:lock v:ext="edit" aspectratio="f"/>
                      <w10:anchorlock/>
                    </v:rect>
                  </w:pict>
                </mc:Fallback>
              </mc:AlternateContent>
            </w:r>
            <w: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0" t="0" r="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a:effectLst/>
                            </wps:spPr>
                            <wps:bodyPr wrap="square" upright="1"/>
                          </wps:wsp>
                        </a:graphicData>
                      </a:graphic>
                    </wp:anchor>
                  </w:drawing>
                </mc:Choice>
                <mc:Fallback>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APhi+XWAAAA&#10;CQEAAA8AAAAAAAAAAQAgAAAAIgAAAGRycy9kb3ducmV2LnhtbFBLAQIUABQAAAAIAIdO4kDRwSXS&#10;rQEAAHUDAAAOAAAAAAAAAAEAIAAAACUBAABkcnMvZTJvRG9jLnhtbFBLBQYAAAAABgAGAFkBAABE&#10;BQAAAAA=&#10;">
                      <v:fill on="t" focussize="0,0"/>
                      <v:stroke on="f"/>
                      <v:imagedata o:title=""/>
                      <o:lock v:ext="edit" aspectratio="f"/>
                    </v:rect>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separate"/>
            </w:r>
            <w:r>
              <w:fldChar w:fldCharType="end"/>
            </w:r>
            <w:bookmarkEnd w:id="1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noWrap/>
          </w:tcPr>
          <w:p>
            <w:pPr>
              <w:pStyle w:val="78"/>
              <w:framePr w:wrap="around"/>
            </w:pPr>
            <w:bookmarkStart w:id="13" w:name="WCRQ"/>
            <w:r>
              <w:fldChar w:fldCharType="begin">
                <w:ffData>
                  <w:name w:val="WCRQ"/>
                  <w:enabled/>
                  <w:calcOnExit w:val="0"/>
                  <w:textInput/>
                </w:ffData>
              </w:fldChar>
            </w:r>
            <w:r>
              <w:instrText xml:space="preserve"> FORMTEXT </w:instrText>
            </w:r>
            <w:r>
              <w:fldChar w:fldCharType="separate"/>
            </w:r>
            <w:r>
              <w:t>     </w:t>
            </w:r>
            <w:r>
              <w:fldChar w:fldCharType="end"/>
            </w:r>
            <w:bookmarkEnd w:id="13"/>
          </w:p>
        </w:tc>
      </w:tr>
    </w:tbl>
    <w:p>
      <w:pPr>
        <w:pStyle w:val="126"/>
        <w:framePr w:wrap="around"/>
      </w:pPr>
      <w:bookmarkStart w:id="14"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bookmarkStart w:id="15"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10"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Ydr&#10;PNYAAAALAQAADwAAAAAAAAABACAAAAAiAAAAZHJzL2Rvd25yZXYueG1sUEsBAhQAFAAAAAgAh07i&#10;QO+lZmrrAQAA6gMAAA4AAAAAAAAAAQAgAAAAJQEAAGRycy9lMm9Eb2MueG1sUEsFBgAAAAAGAAYA&#10;WQEAAIIFAAAAAA==&#10;">
                <v:fill on="f" focussize="0,0"/>
                <v:stroke color="#000000" joinstyle="round"/>
                <v:imagedata o:title=""/>
                <o:lock v:ext="edit" aspectratio="f"/>
                <w10:anchorlock/>
              </v:line>
            </w:pict>
          </mc:Fallback>
        </mc:AlternateContent>
      </w:r>
    </w:p>
    <w:p>
      <w:pPr>
        <w:pStyle w:val="127"/>
        <w:framePr w:wrap="around"/>
      </w:pPr>
      <w:bookmarkStart w:id="16"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rPr>
          <w:rFonts w:ascii="黑体"/>
        </w:rPr>
        <w:t>-</w:t>
      </w:r>
      <w:bookmarkStart w:id="1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ascii="黑体"/>
        </w:rPr>
        <w:t>-</w:t>
      </w:r>
      <w:bookmarkStart w:id="1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07"/>
        <w:framePr w:wrap="around"/>
      </w:pPr>
      <w:bookmarkStart w:id="19" w:name="fm"/>
      <w:r>
        <w:fldChar w:fldCharType="begin">
          <w:ffData>
            <w:name w:val="fm"/>
            <w:enabled/>
            <w:calcOnExit w:val="0"/>
            <w:textInput/>
          </w:ffData>
        </w:fldChar>
      </w:r>
      <w:r>
        <w:instrText xml:space="preserve"> FORMTEXT </w:instrText>
      </w:r>
      <w:r>
        <w:fldChar w:fldCharType="separate"/>
      </w:r>
      <w:r>
        <w:rPr>
          <w:rFonts w:hint="eastAsia"/>
        </w:rPr>
        <w:t>包头市市场监督管理局</w:t>
      </w:r>
      <w:r>
        <w:fldChar w:fldCharType="end"/>
      </w:r>
      <w:bookmarkEnd w:id="19"/>
      <w:r>
        <w:rPr>
          <w:rFonts w:hint="eastAsia" w:ascii="MS Mincho" w:hAnsi="MS Mincho" w:eastAsia="MS Mincho" w:cs="MS Mincho"/>
        </w:rPr>
        <w:t>   </w:t>
      </w:r>
      <w:r>
        <w:rPr>
          <w:rStyle w:val="69"/>
          <w:rFonts w:hint="eastAsia"/>
        </w:rPr>
        <w:t>发布</w:t>
      </w:r>
    </w:p>
    <w:p>
      <w:pPr>
        <w:pStyle w:val="20"/>
        <w:sectPr>
          <w:headerReference r:id="rId5" w:type="first"/>
          <w:footerReference r:id="rId8" w:type="first"/>
          <w:headerReference r:id="rId3" w:type="default"/>
          <w:footerReference r:id="rId6" w:type="default"/>
          <w:headerReference r:id="rId4" w:type="even"/>
          <w:footerReference r:id="rId7" w:type="even"/>
          <w:pgSz w:w="11906" w:h="16838"/>
          <w:pgMar w:top="567" w:right="1134" w:bottom="1134" w:left="1418" w:header="0" w:footer="0" w:gutter="0"/>
          <w:pgNumType w:start="1"/>
          <w:cols w:space="720" w:num="1"/>
          <w:formProt w:val="1"/>
          <w:docGrid w:type="lines" w:linePitch="312" w:charSpace="0"/>
        </w:sectPr>
      </w:pPr>
      <w:r>
        <mc:AlternateContent>
          <mc:Choice Requires="wps">
            <w:drawing>
              <wp:anchor distT="0" distB="0" distL="114300" distR="114300" simplePos="0" relativeHeight="251664384" behindDoc="0" locked="0" layoutInCell="1" allowOverlap="1">
                <wp:simplePos x="0" y="0"/>
                <wp:positionH relativeFrom="column">
                  <wp:posOffset>-635</wp:posOffset>
                </wp:positionH>
                <wp:positionV relativeFrom="paragraph">
                  <wp:posOffset>2339975</wp:posOffset>
                </wp:positionV>
                <wp:extent cx="6120130" cy="0"/>
                <wp:effectExtent l="0" t="4445" r="0" b="5080"/>
                <wp:wrapNone/>
                <wp:docPr id="6"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11" o:spid="_x0000_s1026" o:spt="20" style="position:absolute;left:0pt;margin-left:-0.05pt;margin-top:184.25pt;height:0pt;width:481.9pt;z-index:25166438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C&#10;QeJf1wAAAAkBAAAPAAAAAAAAAAEAIAAAACIAAABkcnMvZG93bnJldi54bWxQSwECFAAUAAAACACH&#10;TuJAUtGk5uwBAADqAwAADgAAAAAAAAABACAAAAAmAQAAZHJzL2Uyb0RvYy54bWxQSwUGAAAAAAYA&#10;BgBZAQAAhAUAAAAA&#10;">
                <v:fill on="f" focussize="0,0"/>
                <v:stroke color="#000000" joinstyle="round"/>
                <v:imagedata o:title=""/>
                <o:lock v:ext="edit" aspectratio="f"/>
              </v:line>
            </w:pict>
          </mc:Fallback>
        </mc:AlternateContent>
      </w:r>
    </w:p>
    <w:p>
      <w:pPr>
        <w:pStyle w:val="46"/>
        <w:bidi w:val="0"/>
        <w:rPr>
          <w:rFonts w:hint="eastAsia"/>
          <w:lang w:eastAsia="zh-CN"/>
        </w:rPr>
      </w:pPr>
      <w:bookmarkStart w:id="20" w:name="_Toc32257"/>
      <w:bookmarkStart w:id="21" w:name="_Toc9452"/>
      <w:bookmarkStart w:id="22" w:name="_Toc11081"/>
      <w:bookmarkStart w:id="23" w:name="_Toc141734796"/>
      <w:bookmarkStart w:id="24" w:name="_Toc18565"/>
      <w:bookmarkStart w:id="25" w:name="_Toc24551"/>
      <w:bookmarkStart w:id="26" w:name="_Toc11220"/>
      <w:r>
        <w:rPr>
          <w:rFonts w:hint="eastAsia"/>
          <w:lang w:eastAsia="zh-CN"/>
        </w:rPr>
        <w:t>目</w:t>
      </w:r>
      <w:bookmarkStart w:id="27" w:name="BKML"/>
      <w:r>
        <w:rPr>
          <w:rFonts w:hint="eastAsia"/>
          <w:lang w:eastAsia="zh-CN"/>
        </w:rPr>
        <w:t>  次</w:t>
      </w:r>
      <w:bookmarkEnd w:id="27"/>
    </w:p>
    <w:p>
      <w:pPr>
        <w:pStyle w:val="16"/>
        <w:tabs>
          <w:tab w:val="right" w:leader="dot" w:pos="9354"/>
          <w:tab w:val="clear" w:pos="9242"/>
        </w:tabs>
      </w:pPr>
      <w:r>
        <w:rPr>
          <w:rFonts w:hint="eastAsia"/>
          <w:lang w:eastAsia="zh-CN"/>
        </w:rPr>
        <w:fldChar w:fldCharType="begin" w:fldLock="1"/>
      </w:r>
      <w:r>
        <w:rPr>
          <w:rFonts w:hint="eastAsia"/>
          <w:lang w:eastAsia="zh-CN"/>
        </w:rPr>
        <w:instrText xml:space="preserve"> TOC \h \z \t"前言、引言标题,1,参考文献、索引标题,1,章标题,1,参考文献,1,附录标识,1" \* MERGEFORMAT </w:instrText>
      </w:r>
      <w:r>
        <w:rPr>
          <w:rFonts w:hint="eastAsia"/>
          <w:lang w:eastAsia="zh-CN"/>
        </w:rPr>
        <w:fldChar w:fldCharType="separate"/>
      </w:r>
      <w:r>
        <w:rPr>
          <w:rFonts w:hint="eastAsia"/>
          <w:lang w:eastAsia="zh-CN"/>
        </w:rPr>
        <w:fldChar w:fldCharType="begin"/>
      </w:r>
      <w:r>
        <w:rPr>
          <w:rFonts w:hint="eastAsia"/>
          <w:lang w:eastAsia="zh-CN"/>
        </w:rPr>
        <w:instrText xml:space="preserve"> HYPERLINK \l _Toc2623 </w:instrText>
      </w:r>
      <w:r>
        <w:rPr>
          <w:rFonts w:hint="eastAsia"/>
          <w:lang w:eastAsia="zh-CN"/>
        </w:rPr>
        <w:fldChar w:fldCharType="separate"/>
      </w:r>
      <w:r>
        <w:rPr>
          <w:rFonts w:hint="eastAsia"/>
        </w:rPr>
        <w:t>前</w:t>
      </w:r>
      <w:r>
        <w:rPr>
          <w:rFonts w:hint="eastAsia" w:ascii="MS Mincho" w:hAnsi="MS Mincho" w:eastAsia="MS Mincho" w:cs="MS Mincho"/>
        </w:rPr>
        <w:t>  </w:t>
      </w:r>
      <w:r>
        <w:rPr>
          <w:rFonts w:hint="eastAsia"/>
        </w:rPr>
        <w:t>言</w:t>
      </w:r>
      <w:r>
        <w:tab/>
      </w:r>
      <w:r>
        <w:fldChar w:fldCharType="begin"/>
      </w:r>
      <w:r>
        <w:instrText xml:space="preserve"> PAGEREF _Toc2623 \h </w:instrText>
      </w:r>
      <w:r>
        <w:fldChar w:fldCharType="separate"/>
      </w:r>
      <w:r>
        <w:t>II</w:t>
      </w:r>
      <w:r>
        <w:fldChar w:fldCharType="end"/>
      </w:r>
      <w:r>
        <w:rPr>
          <w:rFonts w:hint="eastAsia"/>
          <w:lang w:eastAsia="zh-CN"/>
        </w:rPr>
        <w:fldChar w:fldCharType="end"/>
      </w:r>
    </w:p>
    <w:p>
      <w:pPr>
        <w:pStyle w:val="16"/>
        <w:tabs>
          <w:tab w:val="right" w:leader="dot" w:pos="9354"/>
          <w:tab w:val="clear" w:pos="9242"/>
        </w:tabs>
      </w:pPr>
      <w:r>
        <w:rPr>
          <w:rFonts w:hint="eastAsia"/>
          <w:lang w:eastAsia="zh-CN"/>
        </w:rPr>
        <w:fldChar w:fldCharType="begin"/>
      </w:r>
      <w:r>
        <w:rPr>
          <w:rFonts w:hint="eastAsia"/>
          <w:lang w:eastAsia="zh-CN"/>
        </w:rPr>
        <w:instrText xml:space="preserve"> HYPERLINK \l _Toc19310 </w:instrText>
      </w:r>
      <w:r>
        <w:rPr>
          <w:rFonts w:hint="eastAsia"/>
          <w:lang w:eastAsia="zh-CN"/>
        </w:rPr>
        <w:fldChar w:fldCharType="separate"/>
      </w:r>
      <w:r>
        <w:rPr>
          <w:rFonts w:hint="eastAsia" w:ascii="黑体" w:hAnsi="Times New Roman" w:eastAsia="黑体"/>
          <w:i w:val="0"/>
          <w:szCs w:val="21"/>
        </w:rPr>
        <w:t>1</w:t>
      </w:r>
      <w:r>
        <w:rPr>
          <w:rFonts w:hint="eastAsia" w:ascii="黑体" w:eastAsia="黑体"/>
          <w:i w:val="0"/>
          <w:szCs w:val="21"/>
          <w:lang w:eastAsia="zh-CN"/>
        </w:rPr>
        <w:t>　</w:t>
      </w:r>
      <w:r>
        <w:rPr>
          <w:rFonts w:hint="eastAsia"/>
        </w:rPr>
        <w:t>范围</w:t>
      </w:r>
      <w:r>
        <w:tab/>
      </w:r>
      <w:r>
        <w:fldChar w:fldCharType="begin"/>
      </w:r>
      <w:r>
        <w:instrText xml:space="preserve"> PAGEREF _Toc19310 \h </w:instrText>
      </w:r>
      <w:r>
        <w:fldChar w:fldCharType="separate"/>
      </w:r>
      <w:r>
        <w:t>1</w:t>
      </w:r>
      <w:r>
        <w:fldChar w:fldCharType="end"/>
      </w:r>
      <w:r>
        <w:rPr>
          <w:rFonts w:hint="eastAsia"/>
          <w:lang w:eastAsia="zh-CN"/>
        </w:rPr>
        <w:fldChar w:fldCharType="end"/>
      </w:r>
    </w:p>
    <w:p>
      <w:pPr>
        <w:pStyle w:val="16"/>
        <w:tabs>
          <w:tab w:val="right" w:leader="dot" w:pos="9354"/>
          <w:tab w:val="clear" w:pos="9242"/>
        </w:tabs>
      </w:pPr>
      <w:r>
        <w:rPr>
          <w:rFonts w:hint="eastAsia"/>
          <w:lang w:eastAsia="zh-CN"/>
        </w:rPr>
        <w:fldChar w:fldCharType="begin"/>
      </w:r>
      <w:r>
        <w:rPr>
          <w:rFonts w:hint="eastAsia"/>
          <w:lang w:eastAsia="zh-CN"/>
        </w:rPr>
        <w:instrText xml:space="preserve"> HYPERLINK \l _Toc30430 </w:instrText>
      </w:r>
      <w:r>
        <w:rPr>
          <w:rFonts w:hint="eastAsia"/>
          <w:lang w:eastAsia="zh-CN"/>
        </w:rPr>
        <w:fldChar w:fldCharType="separate"/>
      </w:r>
      <w:r>
        <w:rPr>
          <w:rFonts w:hint="eastAsia" w:ascii="黑体" w:hAnsi="Times New Roman" w:eastAsia="黑体"/>
          <w:i w:val="0"/>
          <w:szCs w:val="21"/>
        </w:rPr>
        <w:t>2</w:t>
      </w:r>
      <w:r>
        <w:rPr>
          <w:rFonts w:hint="eastAsia" w:ascii="黑体" w:eastAsia="黑体"/>
          <w:i w:val="0"/>
          <w:szCs w:val="21"/>
          <w:lang w:eastAsia="zh-CN"/>
        </w:rPr>
        <w:t>　</w:t>
      </w:r>
      <w:r>
        <w:rPr>
          <w:rFonts w:hint="eastAsia"/>
        </w:rPr>
        <w:t>规范性引用文件</w:t>
      </w:r>
      <w:r>
        <w:tab/>
      </w:r>
      <w:r>
        <w:fldChar w:fldCharType="begin"/>
      </w:r>
      <w:r>
        <w:instrText xml:space="preserve"> PAGEREF _Toc30430 \h </w:instrText>
      </w:r>
      <w:r>
        <w:fldChar w:fldCharType="separate"/>
      </w:r>
      <w:r>
        <w:t>1</w:t>
      </w:r>
      <w:r>
        <w:fldChar w:fldCharType="end"/>
      </w:r>
      <w:r>
        <w:rPr>
          <w:rFonts w:hint="eastAsia"/>
          <w:lang w:eastAsia="zh-CN"/>
        </w:rPr>
        <w:fldChar w:fldCharType="end"/>
      </w:r>
    </w:p>
    <w:p>
      <w:pPr>
        <w:pStyle w:val="16"/>
        <w:tabs>
          <w:tab w:val="right" w:leader="dot" w:pos="9354"/>
          <w:tab w:val="clear" w:pos="9242"/>
        </w:tabs>
      </w:pPr>
      <w:r>
        <w:rPr>
          <w:rFonts w:hint="eastAsia"/>
          <w:lang w:eastAsia="zh-CN"/>
        </w:rPr>
        <w:fldChar w:fldCharType="begin"/>
      </w:r>
      <w:r>
        <w:rPr>
          <w:rFonts w:hint="eastAsia"/>
          <w:lang w:eastAsia="zh-CN"/>
        </w:rPr>
        <w:instrText xml:space="preserve"> HYPERLINK \l _Toc12100 </w:instrText>
      </w:r>
      <w:r>
        <w:rPr>
          <w:rFonts w:hint="eastAsia"/>
          <w:lang w:eastAsia="zh-CN"/>
        </w:rPr>
        <w:fldChar w:fldCharType="separate"/>
      </w:r>
      <w:r>
        <w:rPr>
          <w:rFonts w:hint="eastAsia" w:ascii="黑体" w:hAnsi="Times New Roman" w:eastAsia="黑体"/>
          <w:i w:val="0"/>
          <w:szCs w:val="21"/>
        </w:rPr>
        <w:t>3</w:t>
      </w:r>
      <w:r>
        <w:rPr>
          <w:rFonts w:hint="eastAsia" w:ascii="黑体" w:eastAsia="黑体"/>
          <w:i w:val="0"/>
          <w:szCs w:val="21"/>
          <w:lang w:eastAsia="zh-CN"/>
        </w:rPr>
        <w:t>　</w:t>
      </w:r>
      <w:r>
        <w:rPr>
          <w:rFonts w:hint="eastAsia"/>
        </w:rPr>
        <w:t>术语和定义</w:t>
      </w:r>
      <w:r>
        <w:tab/>
      </w:r>
      <w:r>
        <w:fldChar w:fldCharType="begin"/>
      </w:r>
      <w:r>
        <w:instrText xml:space="preserve"> PAGEREF _Toc12100 \h </w:instrText>
      </w:r>
      <w:r>
        <w:fldChar w:fldCharType="separate"/>
      </w:r>
      <w:r>
        <w:t>1</w:t>
      </w:r>
      <w:r>
        <w:fldChar w:fldCharType="end"/>
      </w:r>
      <w:r>
        <w:rPr>
          <w:rFonts w:hint="eastAsia"/>
          <w:lang w:eastAsia="zh-CN"/>
        </w:rPr>
        <w:fldChar w:fldCharType="end"/>
      </w:r>
    </w:p>
    <w:p>
      <w:pPr>
        <w:pStyle w:val="16"/>
        <w:tabs>
          <w:tab w:val="right" w:leader="dot" w:pos="9354"/>
          <w:tab w:val="clear" w:pos="9242"/>
        </w:tabs>
      </w:pPr>
      <w:r>
        <w:rPr>
          <w:rFonts w:hint="eastAsia"/>
          <w:lang w:eastAsia="zh-CN"/>
        </w:rPr>
        <w:fldChar w:fldCharType="begin"/>
      </w:r>
      <w:r>
        <w:rPr>
          <w:rFonts w:hint="eastAsia"/>
          <w:lang w:eastAsia="zh-CN"/>
        </w:rPr>
        <w:instrText xml:space="preserve"> HYPERLINK \l _Toc32482 </w:instrText>
      </w:r>
      <w:r>
        <w:rPr>
          <w:rFonts w:hint="eastAsia"/>
          <w:lang w:eastAsia="zh-CN"/>
        </w:rPr>
        <w:fldChar w:fldCharType="separate"/>
      </w:r>
      <w:r>
        <w:rPr>
          <w:rFonts w:hint="eastAsia" w:ascii="黑体" w:hAnsi="Times New Roman" w:eastAsia="黑体"/>
          <w:i w:val="0"/>
          <w:szCs w:val="21"/>
        </w:rPr>
        <w:t>4</w:t>
      </w:r>
      <w:r>
        <w:rPr>
          <w:rFonts w:hint="eastAsia" w:ascii="黑体" w:eastAsia="黑体"/>
          <w:i w:val="0"/>
          <w:szCs w:val="21"/>
          <w:lang w:eastAsia="zh-CN"/>
        </w:rPr>
        <w:t>　</w:t>
      </w:r>
      <w:r>
        <w:rPr>
          <w:rFonts w:hint="eastAsia"/>
        </w:rPr>
        <w:t>基本要求和原则</w:t>
      </w:r>
      <w:r>
        <w:tab/>
      </w:r>
      <w:r>
        <w:fldChar w:fldCharType="begin"/>
      </w:r>
      <w:r>
        <w:instrText xml:space="preserve"> PAGEREF _Toc32482 \h </w:instrText>
      </w:r>
      <w:r>
        <w:fldChar w:fldCharType="separate"/>
      </w:r>
      <w:r>
        <w:t>3</w:t>
      </w:r>
      <w:r>
        <w:fldChar w:fldCharType="end"/>
      </w:r>
      <w:r>
        <w:rPr>
          <w:rFonts w:hint="eastAsia"/>
          <w:lang w:eastAsia="zh-CN"/>
        </w:rPr>
        <w:fldChar w:fldCharType="end"/>
      </w:r>
    </w:p>
    <w:p>
      <w:pPr>
        <w:pStyle w:val="16"/>
        <w:tabs>
          <w:tab w:val="right" w:leader="dot" w:pos="9354"/>
          <w:tab w:val="clear" w:pos="9242"/>
        </w:tabs>
      </w:pPr>
      <w:r>
        <w:rPr>
          <w:rFonts w:hint="eastAsia"/>
          <w:lang w:eastAsia="zh-CN"/>
        </w:rPr>
        <w:fldChar w:fldCharType="begin"/>
      </w:r>
      <w:r>
        <w:rPr>
          <w:rFonts w:hint="eastAsia"/>
          <w:lang w:eastAsia="zh-CN"/>
        </w:rPr>
        <w:instrText xml:space="preserve"> HYPERLINK \l _Toc27338 </w:instrText>
      </w:r>
      <w:r>
        <w:rPr>
          <w:rFonts w:hint="eastAsia"/>
          <w:lang w:eastAsia="zh-CN"/>
        </w:rPr>
        <w:fldChar w:fldCharType="separate"/>
      </w:r>
      <w:r>
        <w:rPr>
          <w:rFonts w:hint="eastAsia" w:ascii="黑体" w:hAnsi="Times New Roman" w:eastAsia="黑体"/>
          <w:i w:val="0"/>
          <w:szCs w:val="21"/>
        </w:rPr>
        <w:t>5</w:t>
      </w:r>
      <w:r>
        <w:rPr>
          <w:rFonts w:hint="eastAsia" w:ascii="黑体" w:eastAsia="黑体"/>
          <w:i w:val="0"/>
          <w:szCs w:val="21"/>
          <w:lang w:eastAsia="zh-CN"/>
        </w:rPr>
        <w:t>　</w:t>
      </w:r>
      <w:r>
        <w:rPr>
          <w:rFonts w:hint="eastAsia"/>
        </w:rPr>
        <w:t>碳中和流程</w:t>
      </w:r>
      <w:r>
        <w:tab/>
      </w:r>
      <w:r>
        <w:fldChar w:fldCharType="begin"/>
      </w:r>
      <w:r>
        <w:instrText xml:space="preserve"> PAGEREF _Toc27338 \h </w:instrText>
      </w:r>
      <w:r>
        <w:fldChar w:fldCharType="separate"/>
      </w:r>
      <w:r>
        <w:t>3</w:t>
      </w:r>
      <w:r>
        <w:fldChar w:fldCharType="end"/>
      </w:r>
      <w:r>
        <w:rPr>
          <w:rFonts w:hint="eastAsia"/>
          <w:lang w:eastAsia="zh-CN"/>
        </w:rPr>
        <w:fldChar w:fldCharType="end"/>
      </w:r>
    </w:p>
    <w:p>
      <w:pPr>
        <w:pStyle w:val="16"/>
        <w:tabs>
          <w:tab w:val="right" w:leader="dot" w:pos="9354"/>
          <w:tab w:val="clear" w:pos="9242"/>
        </w:tabs>
      </w:pPr>
      <w:r>
        <w:rPr>
          <w:rFonts w:hint="eastAsia"/>
          <w:lang w:eastAsia="zh-CN"/>
        </w:rPr>
        <w:fldChar w:fldCharType="begin"/>
      </w:r>
      <w:r>
        <w:rPr>
          <w:rFonts w:hint="eastAsia"/>
          <w:lang w:eastAsia="zh-CN"/>
        </w:rPr>
        <w:instrText xml:space="preserve"> HYPERLINK \l _Toc1853 </w:instrText>
      </w:r>
      <w:r>
        <w:rPr>
          <w:rFonts w:hint="eastAsia"/>
          <w:lang w:eastAsia="zh-CN"/>
        </w:rPr>
        <w:fldChar w:fldCharType="separate"/>
      </w:r>
      <w:r>
        <w:rPr>
          <w:rFonts w:hint="eastAsia" w:ascii="黑体" w:hAnsi="Times New Roman" w:eastAsia="黑体"/>
          <w:i w:val="0"/>
          <w:szCs w:val="21"/>
        </w:rPr>
        <w:t>6</w:t>
      </w:r>
      <w:r>
        <w:rPr>
          <w:rFonts w:hint="eastAsia" w:ascii="黑体" w:eastAsia="黑体"/>
          <w:i w:val="0"/>
          <w:szCs w:val="21"/>
          <w:lang w:eastAsia="zh-CN"/>
        </w:rPr>
        <w:t>　</w:t>
      </w:r>
      <w:r>
        <w:rPr>
          <w:rFonts w:hint="eastAsia"/>
        </w:rPr>
        <w:t>设立碳排放管理团队</w:t>
      </w:r>
      <w:r>
        <w:tab/>
      </w:r>
      <w:r>
        <w:fldChar w:fldCharType="begin"/>
      </w:r>
      <w:r>
        <w:instrText xml:space="preserve"> PAGEREF _Toc1853 \h </w:instrText>
      </w:r>
      <w:r>
        <w:fldChar w:fldCharType="separate"/>
      </w:r>
      <w:r>
        <w:t>3</w:t>
      </w:r>
      <w:r>
        <w:fldChar w:fldCharType="end"/>
      </w:r>
      <w:r>
        <w:rPr>
          <w:rFonts w:hint="eastAsia"/>
          <w:lang w:eastAsia="zh-CN"/>
        </w:rPr>
        <w:fldChar w:fldCharType="end"/>
      </w:r>
    </w:p>
    <w:p>
      <w:pPr>
        <w:pStyle w:val="16"/>
        <w:tabs>
          <w:tab w:val="right" w:leader="dot" w:pos="9354"/>
          <w:tab w:val="clear" w:pos="9242"/>
        </w:tabs>
      </w:pPr>
      <w:r>
        <w:rPr>
          <w:rFonts w:hint="eastAsia"/>
          <w:lang w:eastAsia="zh-CN"/>
        </w:rPr>
        <w:fldChar w:fldCharType="begin"/>
      </w:r>
      <w:r>
        <w:rPr>
          <w:rFonts w:hint="eastAsia"/>
          <w:lang w:eastAsia="zh-CN"/>
        </w:rPr>
        <w:instrText xml:space="preserve"> HYPERLINK \l _Toc17 </w:instrText>
      </w:r>
      <w:r>
        <w:rPr>
          <w:rFonts w:hint="eastAsia"/>
          <w:lang w:eastAsia="zh-CN"/>
        </w:rPr>
        <w:fldChar w:fldCharType="separate"/>
      </w:r>
      <w:r>
        <w:rPr>
          <w:rFonts w:hint="eastAsia" w:ascii="黑体" w:hAnsi="Times New Roman" w:eastAsia="黑体"/>
          <w:i w:val="0"/>
          <w:szCs w:val="21"/>
        </w:rPr>
        <w:t>7</w:t>
      </w:r>
      <w:r>
        <w:rPr>
          <w:rFonts w:hint="eastAsia" w:ascii="黑体" w:eastAsia="黑体"/>
          <w:i w:val="0"/>
          <w:szCs w:val="21"/>
          <w:lang w:eastAsia="zh-CN"/>
        </w:rPr>
        <w:t>　</w:t>
      </w:r>
      <w:r>
        <w:rPr>
          <w:rFonts w:hint="eastAsia"/>
        </w:rPr>
        <w:t>明确碳排放数据管理</w:t>
      </w:r>
      <w:r>
        <w:tab/>
      </w:r>
      <w:r>
        <w:fldChar w:fldCharType="begin"/>
      </w:r>
      <w:r>
        <w:instrText xml:space="preserve"> PAGEREF _Toc17 \h </w:instrText>
      </w:r>
      <w:r>
        <w:fldChar w:fldCharType="separate"/>
      </w:r>
      <w:r>
        <w:t>3</w:t>
      </w:r>
      <w:r>
        <w:fldChar w:fldCharType="end"/>
      </w:r>
      <w:r>
        <w:rPr>
          <w:rFonts w:hint="eastAsia"/>
          <w:lang w:eastAsia="zh-CN"/>
        </w:rPr>
        <w:fldChar w:fldCharType="end"/>
      </w:r>
    </w:p>
    <w:p>
      <w:pPr>
        <w:pStyle w:val="16"/>
        <w:tabs>
          <w:tab w:val="right" w:leader="dot" w:pos="9354"/>
          <w:tab w:val="clear" w:pos="9242"/>
        </w:tabs>
      </w:pPr>
      <w:r>
        <w:rPr>
          <w:rFonts w:hint="eastAsia"/>
          <w:lang w:eastAsia="zh-CN"/>
        </w:rPr>
        <w:fldChar w:fldCharType="begin"/>
      </w:r>
      <w:r>
        <w:rPr>
          <w:rFonts w:hint="eastAsia"/>
          <w:lang w:eastAsia="zh-CN"/>
        </w:rPr>
        <w:instrText xml:space="preserve"> HYPERLINK \l _Toc7936 </w:instrText>
      </w:r>
      <w:r>
        <w:rPr>
          <w:rFonts w:hint="eastAsia"/>
          <w:lang w:eastAsia="zh-CN"/>
        </w:rPr>
        <w:fldChar w:fldCharType="separate"/>
      </w:r>
      <w:r>
        <w:rPr>
          <w:rFonts w:hint="eastAsia" w:ascii="黑体" w:hAnsi="Times New Roman" w:eastAsia="黑体"/>
          <w:i w:val="0"/>
          <w:szCs w:val="21"/>
        </w:rPr>
        <w:t>8</w:t>
      </w:r>
      <w:r>
        <w:rPr>
          <w:rFonts w:hint="eastAsia" w:ascii="黑体" w:eastAsia="黑体"/>
          <w:i w:val="0"/>
          <w:szCs w:val="21"/>
          <w:lang w:eastAsia="zh-CN"/>
        </w:rPr>
        <w:t>　</w:t>
      </w:r>
      <w:r>
        <w:rPr>
          <w:rFonts w:hint="eastAsia"/>
        </w:rPr>
        <w:t>制定碳中和计划</w:t>
      </w:r>
      <w:r>
        <w:tab/>
      </w:r>
      <w:r>
        <w:fldChar w:fldCharType="begin"/>
      </w:r>
      <w:r>
        <w:instrText xml:space="preserve"> PAGEREF _Toc7936 \h </w:instrText>
      </w:r>
      <w:r>
        <w:fldChar w:fldCharType="separate"/>
      </w:r>
      <w:r>
        <w:t>4</w:t>
      </w:r>
      <w:r>
        <w:fldChar w:fldCharType="end"/>
      </w:r>
      <w:r>
        <w:rPr>
          <w:rFonts w:hint="eastAsia"/>
          <w:lang w:eastAsia="zh-CN"/>
        </w:rPr>
        <w:fldChar w:fldCharType="end"/>
      </w:r>
    </w:p>
    <w:p>
      <w:pPr>
        <w:pStyle w:val="16"/>
        <w:tabs>
          <w:tab w:val="right" w:leader="dot" w:pos="9354"/>
          <w:tab w:val="clear" w:pos="9242"/>
        </w:tabs>
      </w:pPr>
      <w:r>
        <w:rPr>
          <w:rFonts w:hint="eastAsia"/>
          <w:lang w:eastAsia="zh-CN"/>
        </w:rPr>
        <w:fldChar w:fldCharType="begin"/>
      </w:r>
      <w:r>
        <w:rPr>
          <w:rFonts w:hint="eastAsia"/>
          <w:lang w:eastAsia="zh-CN"/>
        </w:rPr>
        <w:instrText xml:space="preserve"> HYPERLINK \l _Toc2592 </w:instrText>
      </w:r>
      <w:r>
        <w:rPr>
          <w:rFonts w:hint="eastAsia"/>
          <w:lang w:eastAsia="zh-CN"/>
        </w:rPr>
        <w:fldChar w:fldCharType="separate"/>
      </w:r>
      <w:r>
        <w:rPr>
          <w:rFonts w:hint="eastAsia" w:ascii="黑体" w:hAnsi="Times New Roman" w:eastAsia="黑体"/>
          <w:i w:val="0"/>
          <w:szCs w:val="21"/>
        </w:rPr>
        <w:t>9</w:t>
      </w:r>
      <w:r>
        <w:rPr>
          <w:rFonts w:hint="eastAsia" w:ascii="黑体" w:eastAsia="黑体"/>
          <w:i w:val="0"/>
          <w:szCs w:val="21"/>
          <w:lang w:eastAsia="zh-CN"/>
        </w:rPr>
        <w:t>　</w:t>
      </w:r>
      <w:r>
        <w:rPr>
          <w:rFonts w:hint="eastAsia"/>
        </w:rPr>
        <w:t>践行控排降碳行动</w:t>
      </w:r>
      <w:r>
        <w:tab/>
      </w:r>
      <w:r>
        <w:fldChar w:fldCharType="begin"/>
      </w:r>
      <w:r>
        <w:instrText xml:space="preserve"> PAGEREF _Toc2592 \h </w:instrText>
      </w:r>
      <w:r>
        <w:fldChar w:fldCharType="separate"/>
      </w:r>
      <w:r>
        <w:t>4</w:t>
      </w:r>
      <w:r>
        <w:fldChar w:fldCharType="end"/>
      </w:r>
      <w:r>
        <w:rPr>
          <w:rFonts w:hint="eastAsia"/>
          <w:lang w:eastAsia="zh-CN"/>
        </w:rPr>
        <w:fldChar w:fldCharType="end"/>
      </w:r>
    </w:p>
    <w:p>
      <w:pPr>
        <w:pStyle w:val="16"/>
        <w:tabs>
          <w:tab w:val="right" w:leader="dot" w:pos="9354"/>
          <w:tab w:val="clear" w:pos="9242"/>
        </w:tabs>
      </w:pPr>
      <w:r>
        <w:rPr>
          <w:rFonts w:hint="eastAsia"/>
          <w:lang w:eastAsia="zh-CN"/>
        </w:rPr>
        <w:fldChar w:fldCharType="begin"/>
      </w:r>
      <w:r>
        <w:rPr>
          <w:rFonts w:hint="eastAsia"/>
          <w:lang w:eastAsia="zh-CN"/>
        </w:rPr>
        <w:instrText xml:space="preserve"> HYPERLINK \l _Toc1127 </w:instrText>
      </w:r>
      <w:r>
        <w:rPr>
          <w:rFonts w:hint="eastAsia"/>
          <w:lang w:eastAsia="zh-CN"/>
        </w:rPr>
        <w:fldChar w:fldCharType="separate"/>
      </w:r>
      <w:r>
        <w:rPr>
          <w:rFonts w:hint="eastAsia" w:ascii="黑体" w:hAnsi="Times New Roman" w:eastAsia="黑体"/>
          <w:i w:val="0"/>
          <w:szCs w:val="21"/>
        </w:rPr>
        <w:t>10</w:t>
      </w:r>
      <w:r>
        <w:rPr>
          <w:rFonts w:hint="eastAsia" w:ascii="黑体" w:eastAsia="黑体"/>
          <w:i w:val="0"/>
          <w:szCs w:val="21"/>
          <w:lang w:eastAsia="zh-CN"/>
        </w:rPr>
        <w:t>　</w:t>
      </w:r>
      <w:r>
        <w:rPr>
          <w:rFonts w:hint="eastAsia"/>
        </w:rPr>
        <w:t>核算碳排放量</w:t>
      </w:r>
      <w:r>
        <w:tab/>
      </w:r>
      <w:r>
        <w:fldChar w:fldCharType="begin"/>
      </w:r>
      <w:r>
        <w:instrText xml:space="preserve"> PAGEREF _Toc1127 \h </w:instrText>
      </w:r>
      <w:r>
        <w:fldChar w:fldCharType="separate"/>
      </w:r>
      <w:r>
        <w:t>4</w:t>
      </w:r>
      <w:r>
        <w:fldChar w:fldCharType="end"/>
      </w:r>
      <w:r>
        <w:rPr>
          <w:rFonts w:hint="eastAsia"/>
          <w:lang w:eastAsia="zh-CN"/>
        </w:rPr>
        <w:fldChar w:fldCharType="end"/>
      </w:r>
    </w:p>
    <w:p>
      <w:pPr>
        <w:pStyle w:val="16"/>
        <w:tabs>
          <w:tab w:val="right" w:leader="dot" w:pos="9354"/>
          <w:tab w:val="clear" w:pos="9242"/>
        </w:tabs>
      </w:pPr>
      <w:r>
        <w:rPr>
          <w:rFonts w:hint="eastAsia"/>
          <w:lang w:eastAsia="zh-CN"/>
        </w:rPr>
        <w:fldChar w:fldCharType="begin"/>
      </w:r>
      <w:r>
        <w:rPr>
          <w:rFonts w:hint="eastAsia"/>
          <w:lang w:eastAsia="zh-CN"/>
        </w:rPr>
        <w:instrText xml:space="preserve"> HYPERLINK \l _Toc29512 </w:instrText>
      </w:r>
      <w:r>
        <w:rPr>
          <w:rFonts w:hint="eastAsia"/>
          <w:lang w:eastAsia="zh-CN"/>
        </w:rPr>
        <w:fldChar w:fldCharType="separate"/>
      </w:r>
      <w:r>
        <w:rPr>
          <w:rFonts w:hint="eastAsia" w:ascii="黑体" w:hAnsi="Times New Roman" w:eastAsia="黑体"/>
          <w:i w:val="0"/>
          <w:szCs w:val="21"/>
        </w:rPr>
        <w:t>11</w:t>
      </w:r>
      <w:r>
        <w:rPr>
          <w:rFonts w:hint="eastAsia" w:ascii="黑体" w:eastAsia="黑体"/>
          <w:i w:val="0"/>
          <w:szCs w:val="21"/>
          <w:lang w:eastAsia="zh-CN"/>
        </w:rPr>
        <w:t>　</w:t>
      </w:r>
      <w:r>
        <w:rPr>
          <w:rFonts w:hint="eastAsia"/>
        </w:rPr>
        <w:t>确定碳抵消方式</w:t>
      </w:r>
      <w:r>
        <w:tab/>
      </w:r>
      <w:r>
        <w:fldChar w:fldCharType="begin"/>
      </w:r>
      <w:r>
        <w:instrText xml:space="preserve"> PAGEREF _Toc29512 \h </w:instrText>
      </w:r>
      <w:r>
        <w:fldChar w:fldCharType="separate"/>
      </w:r>
      <w:r>
        <w:t>4</w:t>
      </w:r>
      <w:r>
        <w:fldChar w:fldCharType="end"/>
      </w:r>
      <w:r>
        <w:rPr>
          <w:rFonts w:hint="eastAsia"/>
          <w:lang w:eastAsia="zh-CN"/>
        </w:rPr>
        <w:fldChar w:fldCharType="end"/>
      </w:r>
    </w:p>
    <w:p>
      <w:pPr>
        <w:pStyle w:val="16"/>
        <w:tabs>
          <w:tab w:val="right" w:leader="dot" w:pos="9354"/>
          <w:tab w:val="clear" w:pos="9242"/>
        </w:tabs>
      </w:pPr>
      <w:r>
        <w:rPr>
          <w:rFonts w:hint="eastAsia"/>
          <w:lang w:eastAsia="zh-CN"/>
        </w:rPr>
        <w:fldChar w:fldCharType="begin"/>
      </w:r>
      <w:r>
        <w:rPr>
          <w:rFonts w:hint="eastAsia"/>
          <w:lang w:eastAsia="zh-CN"/>
        </w:rPr>
        <w:instrText xml:space="preserve"> HYPERLINK \l _Toc24951 </w:instrText>
      </w:r>
      <w:r>
        <w:rPr>
          <w:rFonts w:hint="eastAsia"/>
          <w:lang w:eastAsia="zh-CN"/>
        </w:rPr>
        <w:fldChar w:fldCharType="separate"/>
      </w:r>
      <w:r>
        <w:rPr>
          <w:rFonts w:hint="eastAsia" w:ascii="黑体" w:hAnsi="Times New Roman" w:eastAsia="黑体"/>
          <w:i w:val="0"/>
          <w:szCs w:val="21"/>
        </w:rPr>
        <w:t>12</w:t>
      </w:r>
      <w:r>
        <w:rPr>
          <w:rFonts w:hint="eastAsia" w:ascii="黑体" w:eastAsia="黑体"/>
          <w:i w:val="0"/>
          <w:szCs w:val="21"/>
          <w:lang w:eastAsia="zh-CN"/>
        </w:rPr>
        <w:t>　</w:t>
      </w:r>
      <w:r>
        <w:rPr>
          <w:rFonts w:hint="eastAsia"/>
        </w:rPr>
        <w:t>实现碳中和</w:t>
      </w:r>
      <w:r>
        <w:tab/>
      </w:r>
      <w:r>
        <w:fldChar w:fldCharType="begin"/>
      </w:r>
      <w:r>
        <w:instrText xml:space="preserve"> PAGEREF _Toc24951 \h </w:instrText>
      </w:r>
      <w:r>
        <w:fldChar w:fldCharType="separate"/>
      </w:r>
      <w:r>
        <w:t>5</w:t>
      </w:r>
      <w:r>
        <w:fldChar w:fldCharType="end"/>
      </w:r>
      <w:r>
        <w:rPr>
          <w:rFonts w:hint="eastAsia"/>
          <w:lang w:eastAsia="zh-CN"/>
        </w:rPr>
        <w:fldChar w:fldCharType="end"/>
      </w:r>
    </w:p>
    <w:p>
      <w:pPr>
        <w:pStyle w:val="16"/>
        <w:tabs>
          <w:tab w:val="right" w:leader="dot" w:pos="9354"/>
          <w:tab w:val="clear" w:pos="9242"/>
        </w:tabs>
      </w:pPr>
      <w:r>
        <w:rPr>
          <w:rFonts w:hint="eastAsia"/>
          <w:lang w:eastAsia="zh-CN"/>
        </w:rPr>
        <w:fldChar w:fldCharType="begin"/>
      </w:r>
      <w:r>
        <w:rPr>
          <w:rFonts w:hint="eastAsia"/>
          <w:lang w:eastAsia="zh-CN"/>
        </w:rPr>
        <w:instrText xml:space="preserve"> HYPERLINK \l _Toc4116 </w:instrText>
      </w:r>
      <w:r>
        <w:rPr>
          <w:rFonts w:hint="eastAsia"/>
          <w:lang w:eastAsia="zh-CN"/>
        </w:rPr>
        <w:fldChar w:fldCharType="separate"/>
      </w:r>
      <w:r>
        <w:rPr>
          <w:rFonts w:hint="eastAsia" w:ascii="黑体" w:hAnsi="Times New Roman" w:eastAsia="黑体"/>
          <w:i w:val="0"/>
          <w:spacing w:val="0"/>
          <w:w w:val="100"/>
        </w:rPr>
        <w:t>附录A</w:t>
      </w:r>
      <w:r>
        <w:rPr>
          <w:rFonts w:hint="eastAsia" w:ascii="黑体" w:eastAsia="黑体"/>
          <w:i w:val="0"/>
          <w:spacing w:val="0"/>
          <w:w w:val="100"/>
          <w:lang w:eastAsia="zh-CN"/>
        </w:rPr>
        <w:t>　</w:t>
      </w:r>
      <w:r>
        <w:t xml:space="preserve"> </w:t>
      </w:r>
      <w:r>
        <w:rPr>
          <w:rFonts w:hint="eastAsia"/>
        </w:rPr>
        <w:t>（资料性）</w:t>
      </w:r>
      <w:r>
        <w:t xml:space="preserve"> </w:t>
      </w:r>
      <w:r>
        <w:rPr>
          <w:rFonts w:hint="eastAsia"/>
        </w:rPr>
        <w:t>机关事业单位日常运营控排降碳路径</w:t>
      </w:r>
      <w:r>
        <w:tab/>
      </w:r>
      <w:r>
        <w:fldChar w:fldCharType="begin"/>
      </w:r>
      <w:r>
        <w:instrText xml:space="preserve"> PAGEREF _Toc4116 \h </w:instrText>
      </w:r>
      <w:r>
        <w:fldChar w:fldCharType="separate"/>
      </w:r>
      <w:r>
        <w:t>8</w:t>
      </w:r>
      <w:r>
        <w:fldChar w:fldCharType="end"/>
      </w:r>
      <w:r>
        <w:rPr>
          <w:rFonts w:hint="eastAsia"/>
          <w:lang w:eastAsia="zh-CN"/>
        </w:rPr>
        <w:fldChar w:fldCharType="end"/>
      </w:r>
    </w:p>
    <w:p>
      <w:pPr>
        <w:pStyle w:val="16"/>
        <w:tabs>
          <w:tab w:val="right" w:leader="dot" w:pos="9354"/>
          <w:tab w:val="clear" w:pos="9242"/>
        </w:tabs>
      </w:pPr>
      <w:r>
        <w:rPr>
          <w:rFonts w:hint="eastAsia"/>
          <w:lang w:eastAsia="zh-CN"/>
        </w:rPr>
        <w:fldChar w:fldCharType="begin"/>
      </w:r>
      <w:r>
        <w:rPr>
          <w:rFonts w:hint="eastAsia"/>
          <w:lang w:eastAsia="zh-CN"/>
        </w:rPr>
        <w:instrText xml:space="preserve"> HYPERLINK \l _Toc25964 </w:instrText>
      </w:r>
      <w:r>
        <w:rPr>
          <w:rFonts w:hint="eastAsia"/>
          <w:lang w:eastAsia="zh-CN"/>
        </w:rPr>
        <w:fldChar w:fldCharType="separate"/>
      </w:r>
      <w:r>
        <w:rPr>
          <w:rFonts w:hint="eastAsia" w:ascii="黑体" w:hAnsi="Times New Roman" w:eastAsia="黑体"/>
          <w:i w:val="0"/>
          <w:spacing w:val="0"/>
          <w:w w:val="100"/>
        </w:rPr>
        <w:t>附录B</w:t>
      </w:r>
      <w:r>
        <w:rPr>
          <w:rFonts w:hint="eastAsia" w:ascii="黑体" w:eastAsia="黑体"/>
          <w:i w:val="0"/>
          <w:spacing w:val="0"/>
          <w:w w:val="100"/>
          <w:lang w:eastAsia="zh-CN"/>
        </w:rPr>
        <w:t>　</w:t>
      </w:r>
      <w:r>
        <w:t xml:space="preserve"> </w:t>
      </w:r>
      <w:r>
        <w:rPr>
          <w:rFonts w:hint="eastAsia"/>
        </w:rPr>
        <w:t>（资料性） 机关事业单位日常运营碳排放核算</w:t>
      </w:r>
      <w:r>
        <w:tab/>
      </w:r>
      <w:r>
        <w:fldChar w:fldCharType="begin"/>
      </w:r>
      <w:r>
        <w:instrText xml:space="preserve"> PAGEREF _Toc25964 \h </w:instrText>
      </w:r>
      <w:r>
        <w:fldChar w:fldCharType="separate"/>
      </w:r>
      <w:r>
        <w:t>9</w:t>
      </w:r>
      <w:r>
        <w:fldChar w:fldCharType="end"/>
      </w:r>
      <w:r>
        <w:rPr>
          <w:rFonts w:hint="eastAsia"/>
          <w:lang w:eastAsia="zh-CN"/>
        </w:rPr>
        <w:fldChar w:fldCharType="end"/>
      </w:r>
    </w:p>
    <w:p>
      <w:pPr>
        <w:pStyle w:val="16"/>
        <w:tabs>
          <w:tab w:val="right" w:leader="dot" w:pos="9354"/>
          <w:tab w:val="clear" w:pos="9242"/>
        </w:tabs>
        <w:rPr>
          <w:spacing w:val="0"/>
        </w:rPr>
      </w:pPr>
      <w:r>
        <w:rPr>
          <w:rFonts w:hint="eastAsia"/>
          <w:spacing w:val="0"/>
          <w:lang w:eastAsia="zh-CN"/>
        </w:rPr>
        <w:fldChar w:fldCharType="begin"/>
      </w:r>
      <w:r>
        <w:rPr>
          <w:rFonts w:hint="eastAsia"/>
          <w:spacing w:val="0"/>
          <w:lang w:eastAsia="zh-CN"/>
        </w:rPr>
        <w:instrText xml:space="preserve"> HYPERLINK \l _Toc7115 </w:instrText>
      </w:r>
      <w:r>
        <w:rPr>
          <w:rFonts w:hint="eastAsia"/>
          <w:spacing w:val="0"/>
          <w:lang w:eastAsia="zh-CN"/>
        </w:rPr>
        <w:fldChar w:fldCharType="separate"/>
      </w:r>
      <w:r>
        <w:rPr>
          <w:rFonts w:hint="eastAsia" w:ascii="黑体" w:hAnsi="Times New Roman" w:eastAsia="黑体"/>
          <w:i w:val="0"/>
          <w:spacing w:val="0"/>
          <w:w w:val="100"/>
        </w:rPr>
        <w:t>附录C</w:t>
      </w:r>
      <w:r>
        <w:rPr>
          <w:rFonts w:hint="eastAsia" w:ascii="黑体" w:eastAsia="黑体"/>
          <w:i w:val="0"/>
          <w:spacing w:val="0"/>
          <w:w w:val="100"/>
          <w:lang w:eastAsia="zh-CN"/>
        </w:rPr>
        <w:t>　</w:t>
      </w:r>
      <w:r>
        <w:rPr>
          <w:spacing w:val="0"/>
        </w:rPr>
        <w:t xml:space="preserve"> </w:t>
      </w:r>
      <w:r>
        <w:rPr>
          <w:rFonts w:hint="eastAsia"/>
          <w:spacing w:val="0"/>
        </w:rPr>
        <w:t>（资料性）</w:t>
      </w:r>
      <w:r>
        <w:rPr>
          <w:spacing w:val="0"/>
        </w:rPr>
        <w:t xml:space="preserve"> </w:t>
      </w:r>
      <w:r>
        <w:rPr>
          <w:rFonts w:hint="eastAsia"/>
          <w:spacing w:val="0"/>
        </w:rPr>
        <w:t>基于林草碳汇的机关事业单位日常运营碳排放核算及碳中和示例</w:t>
      </w:r>
      <w:r>
        <w:rPr>
          <w:spacing w:val="0"/>
        </w:rPr>
        <w:tab/>
      </w:r>
      <w:r>
        <w:rPr>
          <w:spacing w:val="0"/>
        </w:rPr>
        <w:fldChar w:fldCharType="begin"/>
      </w:r>
      <w:r>
        <w:rPr>
          <w:spacing w:val="0"/>
        </w:rPr>
        <w:instrText xml:space="preserve"> PAGEREF _Toc7115 \h </w:instrText>
      </w:r>
      <w:r>
        <w:rPr>
          <w:spacing w:val="0"/>
        </w:rPr>
        <w:fldChar w:fldCharType="separate"/>
      </w:r>
      <w:r>
        <w:rPr>
          <w:spacing w:val="0"/>
        </w:rPr>
        <w:t>13</w:t>
      </w:r>
      <w:r>
        <w:rPr>
          <w:spacing w:val="0"/>
        </w:rPr>
        <w:fldChar w:fldCharType="end"/>
      </w:r>
      <w:r>
        <w:rPr>
          <w:rFonts w:hint="eastAsia"/>
          <w:spacing w:val="0"/>
          <w:lang w:eastAsia="zh-CN"/>
        </w:rPr>
        <w:fldChar w:fldCharType="end"/>
      </w:r>
    </w:p>
    <w:p>
      <w:pPr>
        <w:pStyle w:val="16"/>
        <w:tabs>
          <w:tab w:val="right" w:leader="dot" w:pos="9354"/>
          <w:tab w:val="clear" w:pos="9242"/>
        </w:tabs>
        <w:rPr>
          <w:spacing w:val="0"/>
        </w:rPr>
      </w:pPr>
      <w:r>
        <w:rPr>
          <w:rFonts w:hint="eastAsia"/>
          <w:spacing w:val="0"/>
          <w:lang w:eastAsia="zh-CN"/>
        </w:rPr>
        <w:fldChar w:fldCharType="begin"/>
      </w:r>
      <w:r>
        <w:rPr>
          <w:rFonts w:hint="eastAsia"/>
          <w:spacing w:val="0"/>
          <w:lang w:eastAsia="zh-CN"/>
        </w:rPr>
        <w:instrText xml:space="preserve"> HYPERLINK \l _Toc1962 </w:instrText>
      </w:r>
      <w:r>
        <w:rPr>
          <w:rFonts w:hint="eastAsia"/>
          <w:spacing w:val="0"/>
          <w:lang w:eastAsia="zh-CN"/>
        </w:rPr>
        <w:fldChar w:fldCharType="separate"/>
      </w:r>
      <w:r>
        <w:rPr>
          <w:rFonts w:hint="eastAsia"/>
          <w:spacing w:val="0"/>
        </w:rPr>
        <w:t>参</w:t>
      </w:r>
      <w:r>
        <w:rPr>
          <w:rFonts w:hAnsi="黑体"/>
          <w:spacing w:val="0"/>
        </w:rPr>
        <w:t> </w:t>
      </w:r>
      <w:r>
        <w:rPr>
          <w:rFonts w:hint="eastAsia"/>
          <w:spacing w:val="0"/>
        </w:rPr>
        <w:t>考</w:t>
      </w:r>
      <w:r>
        <w:rPr>
          <w:rFonts w:hAnsi="黑体"/>
          <w:spacing w:val="0"/>
        </w:rPr>
        <w:t> </w:t>
      </w:r>
      <w:r>
        <w:rPr>
          <w:rFonts w:hint="eastAsia"/>
          <w:spacing w:val="0"/>
        </w:rPr>
        <w:t>文</w:t>
      </w:r>
      <w:r>
        <w:rPr>
          <w:rFonts w:hAnsi="黑体"/>
          <w:spacing w:val="0"/>
        </w:rPr>
        <w:t> </w:t>
      </w:r>
      <w:r>
        <w:rPr>
          <w:rFonts w:hint="eastAsia"/>
          <w:spacing w:val="0"/>
        </w:rPr>
        <w:t>献</w:t>
      </w:r>
      <w:r>
        <w:rPr>
          <w:spacing w:val="0"/>
        </w:rPr>
        <w:tab/>
      </w:r>
      <w:r>
        <w:rPr>
          <w:spacing w:val="0"/>
        </w:rPr>
        <w:fldChar w:fldCharType="begin"/>
      </w:r>
      <w:r>
        <w:rPr>
          <w:spacing w:val="0"/>
        </w:rPr>
        <w:instrText xml:space="preserve"> PAGEREF _Toc1962 \h </w:instrText>
      </w:r>
      <w:r>
        <w:rPr>
          <w:spacing w:val="0"/>
        </w:rPr>
        <w:fldChar w:fldCharType="separate"/>
      </w:r>
      <w:r>
        <w:rPr>
          <w:spacing w:val="0"/>
        </w:rPr>
        <w:t>16</w:t>
      </w:r>
      <w:r>
        <w:rPr>
          <w:spacing w:val="0"/>
        </w:rPr>
        <w:fldChar w:fldCharType="end"/>
      </w:r>
      <w:r>
        <w:rPr>
          <w:rFonts w:hint="eastAsia"/>
          <w:spacing w:val="0"/>
          <w:lang w:eastAsia="zh-CN"/>
        </w:rPr>
        <w:fldChar w:fldCharType="end"/>
      </w:r>
    </w:p>
    <w:p>
      <w:pPr>
        <w:pStyle w:val="20"/>
        <w:rPr>
          <w:rFonts w:hint="eastAsia"/>
          <w:lang w:eastAsia="zh-CN"/>
        </w:rPr>
      </w:pPr>
      <w:r>
        <w:rPr>
          <w:rFonts w:hint="eastAsia"/>
          <w:lang w:eastAsia="zh-CN"/>
        </w:rPr>
        <w:fldChar w:fldCharType="end"/>
      </w:r>
    </w:p>
    <w:p>
      <w:pPr>
        <w:pStyle w:val="108"/>
      </w:pPr>
      <w:bookmarkStart w:id="28" w:name="_Toc2623"/>
      <w:r>
        <w:rPr>
          <w:rFonts w:hint="eastAsia"/>
        </w:rPr>
        <w:t>前</w:t>
      </w:r>
      <w:bookmarkStart w:id="29" w:name="BKQY"/>
      <w:r>
        <w:rPr>
          <w:rFonts w:hint="eastAsia" w:ascii="MS Mincho" w:hAnsi="MS Mincho" w:eastAsia="MS Mincho" w:cs="MS Mincho"/>
        </w:rPr>
        <w:t>  </w:t>
      </w:r>
      <w:r>
        <w:rPr>
          <w:rFonts w:hint="eastAsia"/>
        </w:rPr>
        <w:t>言</w:t>
      </w:r>
      <w:bookmarkEnd w:id="20"/>
      <w:bookmarkEnd w:id="21"/>
      <w:bookmarkEnd w:id="22"/>
      <w:bookmarkEnd w:id="23"/>
      <w:bookmarkEnd w:id="24"/>
      <w:bookmarkEnd w:id="25"/>
      <w:bookmarkEnd w:id="26"/>
      <w:bookmarkEnd w:id="28"/>
      <w:bookmarkEnd w:id="29"/>
    </w:p>
    <w:p>
      <w:pPr>
        <w:pStyle w:val="20"/>
      </w:pPr>
      <w:r>
        <w:rPr>
          <w:rFonts w:hint="eastAsia"/>
        </w:rPr>
        <w:t>本文件按照GB/T1.1—2020《标准化工作导则 第1部分：标准化文件的结构和起草规则》的规定起草。</w:t>
      </w:r>
    </w:p>
    <w:p>
      <w:pPr>
        <w:pStyle w:val="20"/>
      </w:pPr>
      <w:r>
        <w:rPr>
          <w:rFonts w:hint="eastAsia"/>
        </w:rPr>
        <w:t>请注意本文件的某些内容可能涉及专利。本文件的发布机构不承担识别专利的责任。</w:t>
      </w:r>
    </w:p>
    <w:p>
      <w:pPr>
        <w:pStyle w:val="20"/>
      </w:pPr>
      <w:r>
        <w:rPr>
          <w:rFonts w:hint="eastAsia"/>
        </w:rPr>
        <w:t>本文件由包头市林业和草原局提出。</w:t>
      </w:r>
    </w:p>
    <w:p>
      <w:pPr>
        <w:pStyle w:val="20"/>
      </w:pPr>
      <w:r>
        <w:rPr>
          <w:rFonts w:hint="eastAsia"/>
        </w:rPr>
        <w:t>本文件起草单位：包头市林业和草原工作站、杭州超腾能源技术股份有限公司、包头市国发低碳发展碳排放权交易服务有限公司、包头市检验检测中心。</w:t>
      </w:r>
    </w:p>
    <w:p>
      <w:pPr>
        <w:pStyle w:val="20"/>
        <w:rPr>
          <w:rFonts w:hint="eastAsia" w:hAnsi="Times New Roman" w:cs="Times New Roman"/>
          <w:lang w:val="en-US" w:eastAsia="zh-CN"/>
        </w:rPr>
      </w:pPr>
      <w:r>
        <w:rPr>
          <w:rFonts w:hint="eastAsia"/>
        </w:rPr>
        <w:t>本</w:t>
      </w:r>
      <w:r>
        <w:t>文件主要起草人：</w:t>
      </w:r>
      <w:r>
        <w:rPr>
          <w:rFonts w:hint="eastAsia" w:hAnsi="Times New Roman" w:cs="Times New Roman"/>
          <w:lang w:val="en-US" w:eastAsia="zh-CN"/>
        </w:rPr>
        <w:t>李茂森、黄梅、张瑾、闫婧、张欢、春明、张文英、</w:t>
      </w:r>
      <w:r>
        <w:rPr>
          <w:rFonts w:hint="eastAsia" w:cs="Times New Roman"/>
          <w:lang w:val="en-US" w:eastAsia="zh-CN"/>
        </w:rPr>
        <w:t>张瑞、</w:t>
      </w:r>
      <w:r>
        <w:rPr>
          <w:rFonts w:hint="eastAsia" w:hAnsi="Times New Roman" w:cs="Times New Roman"/>
          <w:lang w:eastAsia="zh-CN"/>
        </w:rPr>
        <w:t>吕整荣、</w:t>
      </w:r>
      <w:r>
        <w:rPr>
          <w:rFonts w:hint="eastAsia" w:cs="Times New Roman"/>
          <w:lang w:val="en-US" w:eastAsia="zh-CN"/>
        </w:rPr>
        <w:t>姚瑶、</w:t>
      </w:r>
      <w:bookmarkStart w:id="155" w:name="_GoBack"/>
      <w:bookmarkEnd w:id="155"/>
      <w:r>
        <w:rPr>
          <w:rFonts w:hint="eastAsia" w:hAnsi="Times New Roman" w:cs="Times New Roman"/>
          <w:lang w:val="en-US" w:eastAsia="zh-CN"/>
        </w:rPr>
        <w:t>施炜、张文辽、肖雪、戴圣炎、刘遮、尚国云、赵雪峰、赵振宇、冯小东、郭华、丁志军、焦智斌、朱学友、王石塄。</w:t>
      </w:r>
    </w:p>
    <w:p>
      <w:pPr>
        <w:pStyle w:val="20"/>
        <w:rPr>
          <w:rFonts w:hint="eastAsia"/>
        </w:rPr>
      </w:pPr>
    </w:p>
    <w:p>
      <w:pPr>
        <w:pStyle w:val="20"/>
      </w:pPr>
    </w:p>
    <w:p>
      <w:pPr>
        <w:pStyle w:val="20"/>
        <w:sectPr>
          <w:headerReference r:id="rId9" w:type="default"/>
          <w:footerReference r:id="rId10" w:type="default"/>
          <w:pgSz w:w="11906" w:h="16838"/>
          <w:pgMar w:top="567" w:right="1134" w:bottom="1134" w:left="1418" w:header="1418" w:footer="1134" w:gutter="0"/>
          <w:pgNumType w:fmt="upperRoman" w:start="1"/>
          <w:cols w:space="720" w:num="1"/>
          <w:formProt w:val="0"/>
          <w:docGrid w:type="lines" w:linePitch="312" w:charSpace="0"/>
        </w:sectPr>
      </w:pPr>
    </w:p>
    <w:p>
      <w:pPr>
        <w:pStyle w:val="46"/>
      </w:pPr>
      <w:r>
        <w:rPr>
          <w:rFonts w:hint="eastAsia"/>
        </w:rPr>
        <w:t>基于林草碳汇的机关事业单位日常运营碳中和实施指南</w:t>
      </w:r>
    </w:p>
    <w:p>
      <w:pPr>
        <w:pStyle w:val="41"/>
        <w:spacing w:before="312" w:after="312"/>
      </w:pPr>
      <w:bookmarkStart w:id="30" w:name="_Toc8409"/>
      <w:bookmarkStart w:id="31" w:name="_Toc19310"/>
      <w:bookmarkStart w:id="32" w:name="_Toc141734797"/>
      <w:bookmarkStart w:id="33" w:name="_Toc3797"/>
      <w:bookmarkStart w:id="34" w:name="_Toc4967"/>
      <w:bookmarkStart w:id="35" w:name="_Toc17424"/>
      <w:bookmarkStart w:id="36" w:name="_Toc25082"/>
      <w:bookmarkStart w:id="37" w:name="_Toc29338"/>
      <w:r>
        <w:rPr>
          <w:rFonts w:hint="eastAsia"/>
        </w:rPr>
        <w:t>范围</w:t>
      </w:r>
      <w:bookmarkEnd w:id="30"/>
      <w:bookmarkEnd w:id="31"/>
      <w:bookmarkEnd w:id="32"/>
      <w:bookmarkEnd w:id="33"/>
      <w:bookmarkEnd w:id="34"/>
      <w:bookmarkEnd w:id="35"/>
      <w:bookmarkEnd w:id="36"/>
      <w:bookmarkEnd w:id="37"/>
    </w:p>
    <w:p>
      <w:pPr>
        <w:pStyle w:val="20"/>
      </w:pPr>
      <w:r>
        <w:rPr>
          <w:rFonts w:hint="eastAsia"/>
        </w:rPr>
        <w:t>本文件</w:t>
      </w:r>
      <w:r>
        <w:rPr>
          <w:rFonts w:hint="eastAsia"/>
          <w:lang w:val="en-US" w:eastAsia="zh-CN"/>
        </w:rPr>
        <w:t>确立了</w:t>
      </w:r>
      <w:r>
        <w:rPr>
          <w:rFonts w:hint="eastAsia"/>
        </w:rPr>
        <w:t>基于林草碳汇的机关事业单位日常运营碳中和的基本要求和原则、碳中和流程，描述了践行控排降碳行动、制定碳中和计划、核算碳排放量、确定抵消方式、实现碳中和的详细内容和工作要求。</w:t>
      </w:r>
    </w:p>
    <w:p>
      <w:pPr>
        <w:pStyle w:val="20"/>
      </w:pPr>
      <w:r>
        <w:rPr>
          <w:rFonts w:hint="eastAsia"/>
        </w:rPr>
        <w:t>本文件适用于机关事业单位</w:t>
      </w:r>
      <w:r>
        <w:rPr>
          <w:rFonts w:hint="eastAsia"/>
          <w:lang w:val="en-US" w:eastAsia="zh-CN"/>
        </w:rPr>
        <w:t>购买</w:t>
      </w:r>
      <w:r>
        <w:rPr>
          <w:rFonts w:hint="eastAsia"/>
        </w:rPr>
        <w:t>包头林草碳票</w:t>
      </w:r>
      <w:r>
        <w:rPr>
          <w:rFonts w:hint="eastAsia"/>
          <w:lang w:val="en-US" w:eastAsia="zh-CN"/>
        </w:rPr>
        <w:t>或</w:t>
      </w:r>
      <w:r>
        <w:rPr>
          <w:rFonts w:hint="eastAsia"/>
        </w:rPr>
        <w:t>碳汇类碳信用、新建碳汇林</w:t>
      </w:r>
      <w:r>
        <w:rPr>
          <w:rFonts w:hint="eastAsia"/>
          <w:lang w:val="en-US" w:eastAsia="zh-CN"/>
        </w:rPr>
        <w:t>的林草碳汇类抵消方式实现</w:t>
      </w:r>
      <w:r>
        <w:rPr>
          <w:rFonts w:hint="eastAsia"/>
        </w:rPr>
        <w:t>日常运营阶段碳中和。</w:t>
      </w:r>
    </w:p>
    <w:p>
      <w:pPr>
        <w:pStyle w:val="20"/>
      </w:pPr>
      <w:r>
        <w:rPr>
          <w:rFonts w:hint="eastAsia"/>
        </w:rPr>
        <w:t>本文件不适用于机关事业单位购买</w:t>
      </w:r>
      <w:r>
        <w:rPr>
          <w:rFonts w:hint="eastAsia"/>
          <w:lang w:val="en-US" w:eastAsia="zh-CN"/>
        </w:rPr>
        <w:t>非包头林草碳票、</w:t>
      </w:r>
      <w:r>
        <w:rPr>
          <w:rFonts w:hint="eastAsia"/>
        </w:rPr>
        <w:t>非碳汇</w:t>
      </w:r>
      <w:r>
        <w:rPr>
          <w:rFonts w:hint="eastAsia"/>
          <w:lang w:val="en-US" w:eastAsia="zh-CN"/>
        </w:rPr>
        <w:t>类</w:t>
      </w:r>
      <w:r>
        <w:rPr>
          <w:rFonts w:hint="eastAsia"/>
        </w:rPr>
        <w:t>碳信用</w:t>
      </w:r>
      <w:r>
        <w:rPr>
          <w:rFonts w:hint="eastAsia"/>
          <w:lang w:eastAsia="zh-CN"/>
        </w:rPr>
        <w:t>、</w:t>
      </w:r>
      <w:r>
        <w:rPr>
          <w:rFonts w:hint="eastAsia"/>
        </w:rPr>
        <w:t>碳配额</w:t>
      </w:r>
      <w:r>
        <w:rPr>
          <w:rFonts w:hint="eastAsia"/>
          <w:lang w:val="en-US" w:eastAsia="zh-CN"/>
        </w:rPr>
        <w:t>等其他非林草碳汇类抵消方式实现</w:t>
      </w:r>
      <w:r>
        <w:rPr>
          <w:rFonts w:hint="eastAsia"/>
        </w:rPr>
        <w:t>日常运营阶段碳中和。</w:t>
      </w:r>
    </w:p>
    <w:p>
      <w:pPr>
        <w:pStyle w:val="41"/>
        <w:spacing w:before="312" w:after="312"/>
      </w:pPr>
      <w:bookmarkStart w:id="38" w:name="_Toc141734798"/>
      <w:bookmarkStart w:id="39" w:name="_Toc30856"/>
      <w:bookmarkStart w:id="40" w:name="_Toc15232"/>
      <w:bookmarkStart w:id="41" w:name="_Toc9840"/>
      <w:bookmarkStart w:id="42" w:name="_Toc18440"/>
      <w:bookmarkStart w:id="43" w:name="_Toc5633"/>
      <w:bookmarkStart w:id="44" w:name="_Toc18270"/>
      <w:bookmarkStart w:id="45" w:name="_Toc30430"/>
      <w:r>
        <w:rPr>
          <w:rFonts w:hint="eastAsia"/>
        </w:rPr>
        <w:t>规范性引用文件</w:t>
      </w:r>
      <w:bookmarkEnd w:id="38"/>
      <w:bookmarkEnd w:id="39"/>
      <w:bookmarkEnd w:id="40"/>
      <w:bookmarkEnd w:id="41"/>
      <w:bookmarkEnd w:id="42"/>
      <w:bookmarkEnd w:id="43"/>
      <w:bookmarkEnd w:id="44"/>
      <w:bookmarkEnd w:id="45"/>
    </w:p>
    <w:p>
      <w:pPr>
        <w:pStyle w:val="2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0"/>
      </w:pPr>
      <w:r>
        <w:t>GB/T 3215</w:t>
      </w:r>
      <w:r>
        <w:rPr>
          <w:rFonts w:hint="eastAsia"/>
        </w:rPr>
        <w:t>0 工业企业温室气体排放核算和报告通则</w:t>
      </w:r>
    </w:p>
    <w:p>
      <w:pPr>
        <w:pStyle w:val="20"/>
      </w:pPr>
      <w:r>
        <w:t>DB11/T</w:t>
      </w:r>
      <w:r>
        <w:rPr>
          <w:rFonts w:hint="eastAsia"/>
          <w:lang w:val="en-US" w:eastAsia="zh-CN"/>
        </w:rPr>
        <w:t xml:space="preserve"> </w:t>
      </w:r>
      <w:r>
        <w:t>186</w:t>
      </w:r>
      <w:r>
        <w:rPr>
          <w:rFonts w:hint="eastAsia"/>
        </w:rPr>
        <w:t xml:space="preserve">1 </w:t>
      </w:r>
      <w:r>
        <w:t>企事业单位碳中和实施指南</w:t>
      </w:r>
    </w:p>
    <w:p>
      <w:pPr>
        <w:pStyle w:val="20"/>
      </w:pPr>
      <w:r>
        <w:t>ISO</w:t>
      </w:r>
      <w:r>
        <w:rPr>
          <w:rFonts w:hint="eastAsia"/>
          <w:lang w:val="en-US" w:eastAsia="zh-CN"/>
        </w:rPr>
        <w:t xml:space="preserve"> </w:t>
      </w:r>
      <w:r>
        <w:t>14064-1</w:t>
      </w:r>
      <w:r>
        <w:rPr>
          <w:rFonts w:hint="eastAsia"/>
          <w:lang w:val="en-US" w:eastAsia="zh-CN"/>
        </w:rPr>
        <w:t xml:space="preserve"> </w:t>
      </w:r>
      <w:r>
        <w:t>温室气体第1部分组织层次上对温室气体排放和清除的量化与报告的规范及指南</w:t>
      </w:r>
    </w:p>
    <w:p>
      <w:pPr>
        <w:pStyle w:val="41"/>
        <w:spacing w:before="312" w:after="312"/>
      </w:pPr>
      <w:bookmarkStart w:id="46" w:name="_Toc12100"/>
      <w:bookmarkStart w:id="47" w:name="_Toc15430"/>
      <w:bookmarkStart w:id="48" w:name="_Toc27507"/>
      <w:bookmarkStart w:id="49" w:name="_Toc12132"/>
      <w:bookmarkStart w:id="50" w:name="_Toc3306"/>
      <w:bookmarkStart w:id="51" w:name="_Toc917"/>
      <w:bookmarkStart w:id="52" w:name="_Toc12326"/>
      <w:bookmarkStart w:id="53" w:name="_Toc141734799"/>
      <w:r>
        <w:rPr>
          <w:rFonts w:hint="eastAsia"/>
        </w:rPr>
        <w:t>术语和定义</w:t>
      </w:r>
      <w:bookmarkEnd w:id="46"/>
      <w:bookmarkEnd w:id="47"/>
      <w:bookmarkEnd w:id="48"/>
      <w:bookmarkEnd w:id="49"/>
      <w:bookmarkEnd w:id="50"/>
      <w:bookmarkEnd w:id="51"/>
      <w:bookmarkEnd w:id="52"/>
      <w:bookmarkEnd w:id="53"/>
    </w:p>
    <w:p>
      <w:pPr>
        <w:pStyle w:val="20"/>
      </w:pPr>
      <w:r>
        <w:rPr>
          <w:rFonts w:hint="eastAsia"/>
        </w:rPr>
        <w:t>下列术语和定义适用于本文件。</w:t>
      </w:r>
    </w:p>
    <w:p>
      <w:pPr>
        <w:pStyle w:val="38"/>
        <w:spacing w:before="156" w:after="156"/>
      </w:pPr>
    </w:p>
    <w:p>
      <w:pPr>
        <w:pStyle w:val="20"/>
        <w:rPr>
          <w:rFonts w:hint="default" w:ascii="黑体" w:hAnsi="黑体" w:eastAsia="黑体"/>
          <w:bCs/>
          <w:lang w:val="en-US" w:eastAsia="zh-CN"/>
        </w:rPr>
      </w:pPr>
      <w:r>
        <w:rPr>
          <w:rFonts w:hint="eastAsia" w:ascii="黑体" w:hAnsi="黑体" w:eastAsia="黑体"/>
          <w:bCs/>
        </w:rPr>
        <w:t>林草碳汇 carbon sink</w:t>
      </w:r>
      <w:r>
        <w:rPr>
          <w:rFonts w:hint="eastAsia" w:ascii="黑体" w:hAnsi="黑体" w:eastAsia="黑体"/>
          <w:bCs/>
          <w:lang w:val="en-US" w:eastAsia="zh-CN"/>
        </w:rPr>
        <w:t xml:space="preserve"> of forest and grassland</w:t>
      </w:r>
    </w:p>
    <w:p>
      <w:pPr>
        <w:pStyle w:val="20"/>
      </w:pPr>
      <w:r>
        <w:rPr>
          <w:rFonts w:hint="eastAsia"/>
        </w:rPr>
        <w:t>利用森林、草原的储碳功能，通过森林草原保护、造林、森林经营管理、采伐林产品管理、植被恢复等措施，利用植物光合作用吸收大气中的二氧化碳，并将其固定在植被和土壤中，从而减少大气中二氧化碳浓度的过程、活动和机制。</w:t>
      </w:r>
    </w:p>
    <w:p>
      <w:pPr>
        <w:pStyle w:val="38"/>
        <w:spacing w:before="156" w:after="156"/>
      </w:pPr>
    </w:p>
    <w:p>
      <w:pPr>
        <w:pStyle w:val="20"/>
        <w:rPr>
          <w:rFonts w:ascii="黑体" w:hAnsi="黑体" w:eastAsia="黑体"/>
          <w:bCs/>
        </w:rPr>
      </w:pPr>
      <w:r>
        <w:rPr>
          <w:rFonts w:hint="eastAsia" w:ascii="黑体" w:hAnsi="黑体" w:eastAsia="黑体"/>
          <w:bCs/>
        </w:rPr>
        <w:t>日常运营碳中和 carbon neutrality of daily operations</w:t>
      </w:r>
    </w:p>
    <w:p>
      <w:pPr>
        <w:pStyle w:val="20"/>
      </w:pPr>
      <w:r>
        <w:rPr>
          <w:rFonts w:hint="eastAsia"/>
        </w:rPr>
        <w:t>指一定组织边界内，在管理、服务等过程中一定时间内直接或间接产生的温室气体排放总量，在已开展控排降碳的前提下，日常运营产生的碳排放量通过购买</w:t>
      </w:r>
      <w:r>
        <w:rPr>
          <w:rFonts w:hint="eastAsia"/>
          <w:lang w:val="en-US" w:eastAsia="zh-CN"/>
        </w:rPr>
        <w:t>包头林草碳票和碳汇类碳信用、新建碳汇林的</w:t>
      </w:r>
      <w:r>
        <w:rPr>
          <w:rFonts w:hint="eastAsia"/>
        </w:rPr>
        <w:t>方式来抵消实现碳中和。</w:t>
      </w:r>
    </w:p>
    <w:p>
      <w:pPr>
        <w:pStyle w:val="38"/>
        <w:bidi w:val="0"/>
        <w:rPr>
          <w:highlight w:val="none"/>
        </w:rPr>
      </w:pPr>
    </w:p>
    <w:p>
      <w:pPr>
        <w:keepNext w:val="0"/>
        <w:keepLines w:val="0"/>
        <w:widowControl/>
        <w:suppressLineNumbers w:val="0"/>
        <w:ind w:firstLine="420" w:firstLineChars="200"/>
        <w:jc w:val="left"/>
        <w:rPr>
          <w:rFonts w:hint="default" w:ascii="宋体" w:hAnsi="Times New Roman" w:eastAsia="宋体" w:cs="Times New Roman"/>
          <w:kern w:val="0"/>
          <w:sz w:val="21"/>
          <w:szCs w:val="20"/>
          <w:lang w:val="en-US" w:eastAsia="zh-CN" w:bidi="ar-SA"/>
        </w:rPr>
      </w:pPr>
      <w:r>
        <w:rPr>
          <w:rFonts w:hint="eastAsia" w:ascii="黑体" w:hAnsi="黑体" w:eastAsia="黑体" w:cs="Times New Roman"/>
          <w:bCs/>
          <w:kern w:val="0"/>
          <w:sz w:val="21"/>
          <w:szCs w:val="20"/>
          <w:lang w:val="en-US" w:eastAsia="zh-CN" w:bidi="ar-SA"/>
        </w:rPr>
        <w:t xml:space="preserve">碳配额 carbon allowance </w:t>
      </w:r>
    </w:p>
    <w:p>
      <w:pPr>
        <w:keepNext w:val="0"/>
        <w:keepLines w:val="0"/>
        <w:widowControl/>
        <w:suppressLineNumbers w:val="0"/>
        <w:ind w:firstLine="420" w:firstLineChars="200"/>
        <w:jc w:val="left"/>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在碳排放权交易市场下，参与碳排放权交易的单位和个人依法取得，可用于交易和碳市场重点排放单位温室气体排放量抵扣的指标。1 个单位碳配额相当于 1 吨二氧化碳当量。</w:t>
      </w:r>
    </w:p>
    <w:p>
      <w:pPr>
        <w:pStyle w:val="38"/>
        <w:bidi w:val="0"/>
        <w:rPr>
          <w:rFonts w:hint="eastAsia"/>
          <w:lang w:val="en-US" w:eastAsia="zh-CN"/>
        </w:rPr>
      </w:pPr>
    </w:p>
    <w:p>
      <w:pPr>
        <w:pStyle w:val="20"/>
        <w:rPr>
          <w:rFonts w:ascii="黑体" w:hAnsi="黑体" w:eastAsia="黑体"/>
          <w:bCs/>
        </w:rPr>
      </w:pPr>
      <w:r>
        <w:rPr>
          <w:rFonts w:hint="eastAsia" w:ascii="黑体" w:hAnsi="黑体" w:eastAsia="黑体"/>
          <w:bCs/>
        </w:rPr>
        <w:t>碳信用 carbon credit</w:t>
      </w:r>
    </w:p>
    <w:p>
      <w:pPr>
        <w:pStyle w:val="20"/>
      </w:pPr>
      <w:r>
        <w:rPr>
          <w:rFonts w:hint="eastAsia"/>
        </w:rPr>
        <w:t>温室气体减排项目按照有关技术标准和认定程序确认减排量化效果后，由政府部门或国际组织签发或其授权机构签发的碳减排指标。</w:t>
      </w:r>
    </w:p>
    <w:p>
      <w:pPr>
        <w:pStyle w:val="60"/>
        <w:bidi w:val="0"/>
        <w:rPr>
          <w:rFonts w:hint="eastAsia"/>
          <w:lang w:val="en-US" w:eastAsia="zh-CN"/>
        </w:rPr>
      </w:pPr>
      <w:r>
        <w:rPr>
          <w:rFonts w:hint="eastAsia"/>
        </w:rPr>
        <w:t>对于中国自愿减排项目，碳信用指国家核证自愿减排量（CCER），1个额度碳信用相当于1吨二氧化碳当量</w:t>
      </w:r>
      <w:r>
        <w:rPr>
          <w:rFonts w:hint="eastAsia"/>
          <w:lang w:eastAsia="zh-CN"/>
        </w:rPr>
        <w:t>。</w:t>
      </w:r>
    </w:p>
    <w:p>
      <w:pPr>
        <w:pStyle w:val="38"/>
        <w:spacing w:before="156" w:after="156"/>
      </w:pPr>
    </w:p>
    <w:p>
      <w:pPr>
        <w:pStyle w:val="20"/>
        <w:rPr>
          <w:rFonts w:ascii="黑体" w:hAnsi="黑体" w:eastAsia="黑体"/>
          <w:bCs/>
        </w:rPr>
      </w:pPr>
      <w:r>
        <w:rPr>
          <w:rFonts w:hint="eastAsia" w:ascii="黑体" w:hAnsi="黑体" w:eastAsia="黑体"/>
          <w:bCs/>
        </w:rPr>
        <w:t>温室气体 greenhouse gas</w:t>
      </w:r>
    </w:p>
    <w:p>
      <w:pPr>
        <w:pStyle w:val="20"/>
      </w:pPr>
      <w:r>
        <w:rPr>
          <w:rFonts w:hint="eastAsia"/>
        </w:rPr>
        <w:t>大气层中自然存在的和由于人类活动产生的能够吸收和散发由地球表面、大气层和云层所产生的、 波长在红外光谱内的辐射的气态成分，包括二氧化碳（CO</w:t>
      </w:r>
      <w:r>
        <w:rPr>
          <w:rFonts w:hint="eastAsia"/>
          <w:vertAlign w:val="subscript"/>
        </w:rPr>
        <w:t>2</w:t>
      </w:r>
      <w:r>
        <w:rPr>
          <w:rFonts w:hint="eastAsia"/>
        </w:rPr>
        <w:t>）、甲烷（CH</w:t>
      </w:r>
      <w:r>
        <w:rPr>
          <w:rFonts w:hint="eastAsia"/>
          <w:vertAlign w:val="subscript"/>
        </w:rPr>
        <w:t>4</w:t>
      </w:r>
      <w:r>
        <w:rPr>
          <w:rFonts w:hint="eastAsia"/>
        </w:rPr>
        <w:t>）、氧化亚氮（N</w:t>
      </w:r>
      <w:r>
        <w:rPr>
          <w:rFonts w:hint="eastAsia"/>
          <w:vertAlign w:val="subscript"/>
        </w:rPr>
        <w:t>2</w:t>
      </w:r>
      <w:r>
        <w:rPr>
          <w:rFonts w:hint="eastAsia"/>
        </w:rPr>
        <w:t>O）、氢氟碳化物（HFCs）、全氟化碳（PFCs）、六氟化硫（SF</w:t>
      </w:r>
      <w:r>
        <w:rPr>
          <w:rFonts w:hint="eastAsia"/>
          <w:vertAlign w:val="subscript"/>
        </w:rPr>
        <w:t>6</w:t>
      </w:r>
      <w:r>
        <w:rPr>
          <w:rFonts w:hint="eastAsia"/>
        </w:rPr>
        <w:t>）与三氟化氮（NF</w:t>
      </w:r>
      <w:r>
        <w:rPr>
          <w:rFonts w:hint="eastAsia"/>
          <w:vertAlign w:val="subscript"/>
        </w:rPr>
        <w:t>3</w:t>
      </w:r>
      <w:r>
        <w:rPr>
          <w:rFonts w:hint="eastAsia"/>
        </w:rPr>
        <w:t>）。</w:t>
      </w:r>
    </w:p>
    <w:p>
      <w:pPr>
        <w:pStyle w:val="20"/>
        <w:rPr>
          <w:rFonts w:hint="eastAsia"/>
        </w:rPr>
      </w:pPr>
      <w:r>
        <w:rPr>
          <w:rFonts w:hint="eastAsia"/>
        </w:rPr>
        <w:t>[来源：GB/T 32150-2015，</w:t>
      </w:r>
      <w:r>
        <w:rPr>
          <w:rFonts w:hint="eastAsia"/>
          <w:lang w:val="en-US" w:eastAsia="zh-CN"/>
        </w:rPr>
        <w:t>定义</w:t>
      </w:r>
      <w:r>
        <w:rPr>
          <w:rFonts w:hint="eastAsia"/>
        </w:rPr>
        <w:t>3.1]</w:t>
      </w:r>
    </w:p>
    <w:p>
      <w:pPr>
        <w:pStyle w:val="38"/>
        <w:bidi w:val="0"/>
        <w:rPr>
          <w:rFonts w:hint="eastAsia"/>
        </w:rPr>
      </w:pPr>
    </w:p>
    <w:p>
      <w:pPr>
        <w:pStyle w:val="20"/>
        <w:rPr>
          <w:rFonts w:hint="eastAsia" w:ascii="黑体" w:hAnsi="黑体" w:eastAsia="黑体"/>
          <w:bCs/>
          <w:lang w:val="en-US" w:eastAsia="zh-CN"/>
        </w:rPr>
      </w:pPr>
      <w:r>
        <w:rPr>
          <w:rFonts w:hint="eastAsia" w:ascii="黑体" w:hAnsi="黑体" w:eastAsia="黑体"/>
          <w:bCs/>
        </w:rPr>
        <w:t>碳排放</w:t>
      </w:r>
      <w:r>
        <w:rPr>
          <w:rFonts w:hint="eastAsia" w:ascii="黑体" w:hAnsi="黑体" w:eastAsia="黑体"/>
          <w:bCs/>
          <w:lang w:val="en-US" w:eastAsia="zh-CN"/>
        </w:rPr>
        <w:t xml:space="preserve"> c</w:t>
      </w:r>
      <w:r>
        <w:rPr>
          <w:rFonts w:hint="eastAsia" w:ascii="黑体" w:hAnsi="黑体" w:eastAsia="黑体"/>
          <w:bCs/>
        </w:rPr>
        <w:t xml:space="preserve">arbon </w:t>
      </w:r>
      <w:r>
        <w:rPr>
          <w:rFonts w:hint="eastAsia" w:ascii="黑体" w:hAnsi="黑体" w:eastAsia="黑体"/>
          <w:bCs/>
          <w:lang w:val="en-US" w:eastAsia="zh-CN"/>
        </w:rPr>
        <w:t>e</w:t>
      </w:r>
      <w:r>
        <w:rPr>
          <w:rFonts w:hint="eastAsia" w:ascii="黑体" w:hAnsi="黑体" w:eastAsia="黑体"/>
          <w:bCs/>
        </w:rPr>
        <w:t>missions</w:t>
      </w:r>
    </w:p>
    <w:p>
      <w:pPr>
        <w:pStyle w:val="20"/>
        <w:rPr>
          <w:rFonts w:hint="eastAsia"/>
        </w:rPr>
      </w:pPr>
      <w:r>
        <w:rPr>
          <w:rFonts w:hint="eastAsia"/>
        </w:rPr>
        <w:t>煤炭、石油、天然气等化石能源燃烧活动和工业生产过程以及土地利用变化与林业等活动产生的温室气体排放，也包括因使用外购的电力和热力等所导致的温室气体排放。</w:t>
      </w:r>
    </w:p>
    <w:p>
      <w:pPr>
        <w:pStyle w:val="60"/>
        <w:bidi w:val="0"/>
        <w:rPr>
          <w:rFonts w:hint="eastAsia"/>
        </w:rPr>
      </w:pPr>
      <w:r>
        <w:rPr>
          <w:rFonts w:hint="eastAsia"/>
        </w:rPr>
        <w:t>本</w:t>
      </w:r>
      <w:r>
        <w:rPr>
          <w:rFonts w:hint="eastAsia"/>
          <w:lang w:eastAsia="zh-CN"/>
        </w:rPr>
        <w:t>文件</w:t>
      </w:r>
      <w:r>
        <w:rPr>
          <w:rFonts w:hint="eastAsia"/>
        </w:rPr>
        <w:t>的</w:t>
      </w:r>
      <w:r>
        <w:rPr>
          <w:rFonts w:hint="eastAsia"/>
          <w:lang w:val="en-US" w:eastAsia="zh-CN"/>
        </w:rPr>
        <w:t>碳排放主要指机关事业单位日常运营使用化石燃料(煤炭、汽油、柴油、天然气、液化石油气等）、外购电、外购热（冬季供暖、外购蒸汽和热水）所导致的温室气体排放。</w:t>
      </w:r>
    </w:p>
    <w:p>
      <w:pPr>
        <w:pStyle w:val="38"/>
        <w:bidi w:val="0"/>
        <w:rPr>
          <w:rFonts w:hint="eastAsia"/>
        </w:rPr>
      </w:pPr>
    </w:p>
    <w:p>
      <w:pPr>
        <w:pStyle w:val="20"/>
        <w:rPr>
          <w:rFonts w:ascii="黑体" w:hAnsi="黑体" w:eastAsia="黑体"/>
          <w:bCs/>
        </w:rPr>
      </w:pPr>
      <w:r>
        <w:rPr>
          <w:rFonts w:hint="eastAsia" w:ascii="黑体" w:hAnsi="黑体" w:eastAsia="黑体"/>
          <w:bCs/>
        </w:rPr>
        <w:t>碳抵消 carbon offset</w:t>
      </w:r>
    </w:p>
    <w:p>
      <w:pPr>
        <w:pStyle w:val="20"/>
        <w:rPr>
          <w:rFonts w:hint="eastAsia"/>
        </w:rPr>
      </w:pPr>
      <w:r>
        <w:rPr>
          <w:rFonts w:hint="eastAsia"/>
        </w:rPr>
        <w:t>核算边界内所产生的温室气体排放量通过核算边界外的措施（购买碳汇类碳信用</w:t>
      </w:r>
      <w:r>
        <w:rPr>
          <w:rFonts w:hint="eastAsia"/>
          <w:lang w:val="en-US" w:eastAsia="zh-CN"/>
        </w:rPr>
        <w:t>和包头林草</w:t>
      </w:r>
      <w:r>
        <w:rPr>
          <w:rFonts w:hint="eastAsia"/>
        </w:rPr>
        <w:t>碳票、新建碳汇林等）来补偿或冲抵的过程。</w:t>
      </w:r>
    </w:p>
    <w:p>
      <w:pPr>
        <w:pStyle w:val="38"/>
        <w:bidi w:val="0"/>
        <w:rPr>
          <w:rFonts w:hint="eastAsia"/>
        </w:rPr>
      </w:pPr>
    </w:p>
    <w:p>
      <w:pPr>
        <w:pStyle w:val="20"/>
        <w:rPr>
          <w:rFonts w:ascii="黑体" w:hAnsi="黑体" w:eastAsia="黑体"/>
          <w:bCs/>
        </w:rPr>
      </w:pPr>
      <w:r>
        <w:rPr>
          <w:rFonts w:hint="eastAsia" w:ascii="黑体" w:hAnsi="黑体" w:eastAsia="黑体"/>
          <w:bCs/>
        </w:rPr>
        <w:t>活动水平数据 activity level data</w:t>
      </w:r>
    </w:p>
    <w:p>
      <w:pPr>
        <w:pStyle w:val="20"/>
      </w:pPr>
      <w:r>
        <w:rPr>
          <w:rFonts w:hint="eastAsia"/>
        </w:rPr>
        <w:t>量化导致温室气体排放的生产或消费活动量的表征值。</w:t>
      </w:r>
    </w:p>
    <w:p>
      <w:pPr>
        <w:pStyle w:val="60"/>
      </w:pPr>
      <w:r>
        <w:rPr>
          <w:rFonts w:hint="eastAsia"/>
        </w:rPr>
        <w:t>本</w:t>
      </w:r>
      <w:r>
        <w:rPr>
          <w:rFonts w:hint="eastAsia"/>
          <w:lang w:eastAsia="zh-CN"/>
        </w:rPr>
        <w:t>文件</w:t>
      </w:r>
      <w:r>
        <w:rPr>
          <w:rFonts w:hint="eastAsia"/>
        </w:rPr>
        <w:t>的</w:t>
      </w:r>
      <w:r>
        <w:rPr>
          <w:rFonts w:hint="eastAsia"/>
          <w:lang w:val="en-US" w:eastAsia="zh-CN"/>
        </w:rPr>
        <w:t>活动水平数据包括</w:t>
      </w:r>
      <w:r>
        <w:rPr>
          <w:rFonts w:hint="eastAsia"/>
        </w:rPr>
        <w:t>化石</w:t>
      </w:r>
      <w:r>
        <w:rPr>
          <w:rFonts w:hint="eastAsia"/>
          <w:lang w:val="en-US" w:eastAsia="zh-CN"/>
        </w:rPr>
        <w:t>燃料</w:t>
      </w:r>
      <w:r>
        <w:rPr>
          <w:rFonts w:hint="eastAsia"/>
        </w:rPr>
        <w:t>消耗量（</w:t>
      </w:r>
      <w:r>
        <w:rPr>
          <w:rFonts w:hint="eastAsia"/>
          <w:lang w:val="en-US" w:eastAsia="zh-CN"/>
        </w:rPr>
        <w:t>煤炭、</w:t>
      </w:r>
      <w:r>
        <w:rPr>
          <w:rFonts w:hint="eastAsia"/>
        </w:rPr>
        <w:t>汽油、</w:t>
      </w:r>
      <w:r>
        <w:rPr>
          <w:rFonts w:hint="eastAsia"/>
          <w:lang w:val="en-US" w:eastAsia="zh-CN"/>
        </w:rPr>
        <w:t>柴油、</w:t>
      </w:r>
      <w:r>
        <w:rPr>
          <w:rFonts w:hint="eastAsia"/>
        </w:rPr>
        <w:t>天然气、液化石油气等）、</w:t>
      </w:r>
      <w:r>
        <w:rPr>
          <w:rFonts w:hint="eastAsia"/>
          <w:lang w:val="en-US" w:eastAsia="zh-CN"/>
        </w:rPr>
        <w:t>外购电</w:t>
      </w:r>
      <w:r>
        <w:rPr>
          <w:rFonts w:hint="eastAsia"/>
        </w:rPr>
        <w:t>（购电量，不包括绿电直供）、</w:t>
      </w:r>
      <w:r>
        <w:rPr>
          <w:rFonts w:hint="eastAsia"/>
          <w:lang w:val="en-US" w:eastAsia="zh-CN"/>
        </w:rPr>
        <w:t>外购热</w:t>
      </w:r>
      <w:r>
        <w:rPr>
          <w:rFonts w:hint="eastAsia"/>
        </w:rPr>
        <w:t>（冬季供暖、冬季购蒸汽或热水）</w:t>
      </w:r>
      <w:r>
        <w:rPr>
          <w:rFonts w:hint="eastAsia"/>
          <w:lang w:eastAsia="zh-CN"/>
        </w:rPr>
        <w:t>。</w:t>
      </w:r>
    </w:p>
    <w:p>
      <w:pPr>
        <w:pStyle w:val="20"/>
        <w:rPr>
          <w:rFonts w:hint="eastAsia"/>
        </w:rPr>
      </w:pPr>
      <w:r>
        <w:rPr>
          <w:rFonts w:hint="eastAsia"/>
        </w:rPr>
        <w:t>[来源：GB/T 32150-2015，</w:t>
      </w:r>
      <w:r>
        <w:rPr>
          <w:rFonts w:hint="eastAsia"/>
          <w:lang w:val="en-US" w:eastAsia="zh-CN"/>
        </w:rPr>
        <w:t>定义</w:t>
      </w:r>
      <w:r>
        <w:rPr>
          <w:rFonts w:hint="eastAsia"/>
        </w:rPr>
        <w:t>3.12,有修改]</w:t>
      </w:r>
    </w:p>
    <w:p>
      <w:pPr>
        <w:pStyle w:val="38"/>
        <w:bidi w:val="0"/>
        <w:rPr>
          <w:rFonts w:hint="eastAsia"/>
        </w:rPr>
      </w:pPr>
    </w:p>
    <w:p>
      <w:pPr>
        <w:pStyle w:val="20"/>
        <w:rPr>
          <w:rFonts w:ascii="黑体" w:hAnsi="黑体" w:eastAsia="黑体"/>
          <w:bCs/>
        </w:rPr>
      </w:pPr>
      <w:r>
        <w:rPr>
          <w:rFonts w:hint="eastAsia" w:ascii="黑体" w:hAnsi="黑体" w:eastAsia="黑体"/>
          <w:bCs/>
        </w:rPr>
        <w:t>排放因子 emission fact</w:t>
      </w:r>
    </w:p>
    <w:p>
      <w:pPr>
        <w:pStyle w:val="20"/>
      </w:pPr>
      <w:r>
        <w:rPr>
          <w:rFonts w:hint="eastAsia"/>
        </w:rPr>
        <w:t>表征单位生产和消费活动量的二氧化碳排放系数。</w:t>
      </w:r>
    </w:p>
    <w:p>
      <w:pPr>
        <w:pStyle w:val="20"/>
        <w:rPr>
          <w:rFonts w:hint="eastAsia"/>
        </w:rPr>
      </w:pPr>
      <w:r>
        <w:rPr>
          <w:rFonts w:hint="eastAsia"/>
        </w:rPr>
        <w:t>[来源：GB/T 32150-2015，</w:t>
      </w:r>
      <w:r>
        <w:rPr>
          <w:rFonts w:hint="eastAsia"/>
          <w:lang w:val="en-US" w:eastAsia="zh-CN"/>
        </w:rPr>
        <w:t>定义</w:t>
      </w:r>
      <w:r>
        <w:rPr>
          <w:rFonts w:hint="eastAsia"/>
        </w:rPr>
        <w:t>3.13]</w:t>
      </w:r>
    </w:p>
    <w:p>
      <w:pPr>
        <w:pStyle w:val="38"/>
        <w:spacing w:before="156" w:after="156"/>
      </w:pPr>
    </w:p>
    <w:p>
      <w:pPr>
        <w:pStyle w:val="20"/>
        <w:rPr>
          <w:rFonts w:ascii="黑体" w:hAnsi="黑体" w:eastAsia="黑体"/>
          <w:bCs/>
        </w:rPr>
      </w:pPr>
      <w:r>
        <w:rPr>
          <w:rFonts w:hint="eastAsia" w:ascii="黑体" w:hAnsi="黑体" w:eastAsia="黑体"/>
          <w:bCs/>
        </w:rPr>
        <w:t>包头林草碳票 Baotou forest and grass carbon ticket</w:t>
      </w:r>
    </w:p>
    <w:p>
      <w:pPr>
        <w:pStyle w:val="20"/>
        <w:rPr>
          <w:rFonts w:hint="eastAsia"/>
        </w:rPr>
      </w:pPr>
      <w:r>
        <w:rPr>
          <w:rFonts w:hint="eastAsia"/>
        </w:rPr>
        <w:t>针对包头市行政区域内权属清晰的森林、草原，依据</w:t>
      </w:r>
      <w:r>
        <w:rPr>
          <w:rFonts w:hint="eastAsia"/>
          <w:lang w:eastAsia="zh-CN"/>
        </w:rPr>
        <w:t>《</w:t>
      </w:r>
      <w:r>
        <w:rPr>
          <w:rFonts w:hint="eastAsia"/>
          <w:lang w:val="en-US" w:eastAsia="zh-CN"/>
        </w:rPr>
        <w:t>包头市林草碳票认定流转办法（试行）</w:t>
      </w:r>
      <w:r>
        <w:rPr>
          <w:rFonts w:hint="eastAsia"/>
          <w:lang w:eastAsia="zh-CN"/>
        </w:rPr>
        <w:t>》</w:t>
      </w:r>
      <w:r>
        <w:rPr>
          <w:rFonts w:hint="eastAsia"/>
        </w:rPr>
        <w:t>核算认定的具有收益权的林草碳汇量凭证，赋予在包头市行政区域内流转、质押、兑现、抵消等权能。</w:t>
      </w:r>
    </w:p>
    <w:p>
      <w:pPr>
        <w:pStyle w:val="38"/>
        <w:bidi w:val="0"/>
        <w:rPr>
          <w:rFonts w:hint="eastAsia"/>
        </w:rPr>
      </w:pPr>
    </w:p>
    <w:p>
      <w:pPr>
        <w:pStyle w:val="20"/>
        <w:rPr>
          <w:rFonts w:hint="eastAsia" w:ascii="黑体" w:hAnsi="黑体" w:eastAsia="黑体"/>
        </w:rPr>
      </w:pPr>
      <w:r>
        <w:rPr>
          <w:rFonts w:hint="eastAsia" w:ascii="黑体" w:hAnsi="黑体" w:eastAsia="黑体"/>
        </w:rPr>
        <w:t>碳汇林 afforestation for carbon sequestration</w:t>
      </w:r>
    </w:p>
    <w:p>
      <w:pPr>
        <w:pStyle w:val="20"/>
        <w:rPr>
          <w:rFonts w:hint="eastAsia"/>
        </w:rPr>
      </w:pPr>
      <w:r>
        <w:rPr>
          <w:rFonts w:hint="eastAsia"/>
        </w:rPr>
        <w:t>以增加碳汇为主要目的，对造林和林木生长全过程实施碳汇计量和监测而进行的有特殊要求的造林。</w:t>
      </w:r>
    </w:p>
    <w:p>
      <w:pPr>
        <w:pStyle w:val="20"/>
        <w:rPr>
          <w:rFonts w:hint="eastAsia"/>
        </w:rPr>
      </w:pPr>
      <w:r>
        <w:rPr>
          <w:rFonts w:hint="eastAsia"/>
        </w:rPr>
        <w:t>[来源：LY/T 2252-2014</w:t>
      </w:r>
      <w:r>
        <w:rPr>
          <w:rFonts w:hint="eastAsia"/>
          <w:lang w:eastAsia="zh-CN"/>
        </w:rPr>
        <w:t>，</w:t>
      </w:r>
      <w:r>
        <w:rPr>
          <w:rFonts w:hint="eastAsia"/>
          <w:lang w:val="en-US" w:eastAsia="zh-CN"/>
        </w:rPr>
        <w:t>定义3.4，有修改</w:t>
      </w:r>
      <w:r>
        <w:rPr>
          <w:rFonts w:hint="eastAsia"/>
        </w:rPr>
        <w:t>]</w:t>
      </w:r>
    </w:p>
    <w:p>
      <w:pPr>
        <w:pStyle w:val="38"/>
        <w:bidi w:val="0"/>
        <w:rPr>
          <w:rFonts w:hint="eastAsia"/>
        </w:rPr>
      </w:pPr>
    </w:p>
    <w:p>
      <w:pPr>
        <w:pStyle w:val="20"/>
        <w:rPr>
          <w:rFonts w:ascii="黑体" w:hAnsi="黑体" w:eastAsia="黑体"/>
          <w:bCs/>
        </w:rPr>
      </w:pPr>
      <w:r>
        <w:rPr>
          <w:rFonts w:hint="eastAsia" w:ascii="黑体" w:hAnsi="黑体" w:eastAsia="黑体"/>
          <w:bCs/>
        </w:rPr>
        <w:t>国家核证自愿减排量（CCER） Chinese certified emission reduction</w:t>
      </w:r>
    </w:p>
    <w:p>
      <w:pPr>
        <w:pStyle w:val="20"/>
      </w:pPr>
      <w:r>
        <w:rPr>
          <w:rFonts w:hint="eastAsia"/>
        </w:rPr>
        <w:t>对</w:t>
      </w:r>
      <w:r>
        <w:rPr>
          <w:rFonts w:hint="eastAsia"/>
          <w:lang w:val="en-US" w:eastAsia="zh-CN"/>
        </w:rPr>
        <w:t>中国</w:t>
      </w:r>
      <w:r>
        <w:rPr>
          <w:rFonts w:hint="eastAsia"/>
        </w:rPr>
        <w:t>境内可再生能源、林业碳汇、甲烷利用等项目的温室气体减排效果进行量化核证，并在国家温室气体自愿减排交易注册登记系统中登记的温室气体减排量。</w:t>
      </w:r>
    </w:p>
    <w:p>
      <w:pPr>
        <w:pStyle w:val="20"/>
      </w:pPr>
      <w:r>
        <w:rPr>
          <w:rFonts w:hint="eastAsia"/>
        </w:rPr>
        <w:t>[来源：JR/T 0244-2022，</w:t>
      </w:r>
      <w:r>
        <w:rPr>
          <w:rFonts w:hint="eastAsia"/>
          <w:lang w:val="en-US" w:eastAsia="zh-CN"/>
        </w:rPr>
        <w:t>定义</w:t>
      </w:r>
      <w:r>
        <w:rPr>
          <w:rFonts w:hint="eastAsia"/>
        </w:rPr>
        <w:t>3.3]</w:t>
      </w:r>
    </w:p>
    <w:p>
      <w:pPr>
        <w:pStyle w:val="41"/>
        <w:spacing w:before="312" w:after="312"/>
      </w:pPr>
      <w:bookmarkStart w:id="54" w:name="_Toc19352"/>
      <w:bookmarkStart w:id="55" w:name="_Toc14096"/>
      <w:bookmarkStart w:id="56" w:name="_Toc28646"/>
      <w:bookmarkStart w:id="57" w:name="_Toc5025"/>
      <w:bookmarkStart w:id="58" w:name="_Toc141734800"/>
      <w:bookmarkStart w:id="59" w:name="_Toc26838"/>
      <w:bookmarkStart w:id="60" w:name="_Toc30649"/>
      <w:bookmarkStart w:id="61" w:name="_Toc32482"/>
      <w:r>
        <w:rPr>
          <w:rFonts w:hint="eastAsia"/>
        </w:rPr>
        <w:t>基本要求和原则</w:t>
      </w:r>
      <w:bookmarkEnd w:id="54"/>
      <w:bookmarkEnd w:id="55"/>
      <w:bookmarkEnd w:id="56"/>
      <w:bookmarkEnd w:id="57"/>
      <w:bookmarkEnd w:id="58"/>
      <w:bookmarkEnd w:id="59"/>
      <w:bookmarkEnd w:id="60"/>
      <w:bookmarkEnd w:id="61"/>
    </w:p>
    <w:p>
      <w:pPr>
        <w:pStyle w:val="20"/>
      </w:pPr>
      <w:r>
        <w:rPr>
          <w:rFonts w:hint="eastAsia"/>
        </w:rPr>
        <w:t>机关事业单位应立足自身情况，优先通过源头减量、能源替代、节能提效、回收利用等方式落实控排降碳，剩余不可避免的碳排放再通过碳抵消方式中和。</w:t>
      </w:r>
    </w:p>
    <w:p>
      <w:pPr>
        <w:pStyle w:val="20"/>
      </w:pPr>
      <w:r>
        <w:rPr>
          <w:rFonts w:hint="eastAsia"/>
        </w:rPr>
        <w:t>核算机关事业单位日常运营产生的碳排放量应遵循科学性、规范性、完整性、准确性原则。</w:t>
      </w:r>
    </w:p>
    <w:p>
      <w:pPr>
        <w:pStyle w:val="20"/>
      </w:pPr>
      <w:r>
        <w:rPr>
          <w:rFonts w:hint="eastAsia"/>
        </w:rPr>
        <w:t>在碳中和声明阶段应做到公开透明。</w:t>
      </w:r>
    </w:p>
    <w:p>
      <w:pPr>
        <w:pStyle w:val="41"/>
        <w:spacing w:before="312" w:after="312"/>
      </w:pPr>
      <w:bookmarkStart w:id="62" w:name="_Toc10596"/>
      <w:bookmarkStart w:id="63" w:name="_Toc18820"/>
      <w:bookmarkStart w:id="64" w:name="_Toc141734801"/>
      <w:bookmarkStart w:id="65" w:name="_Toc5055"/>
      <w:bookmarkStart w:id="66" w:name="_Toc4368"/>
      <w:bookmarkStart w:id="67" w:name="_Toc25655"/>
      <w:bookmarkStart w:id="68" w:name="_Toc27338"/>
      <w:bookmarkStart w:id="69" w:name="_Toc20246"/>
      <w:r>
        <w:rPr>
          <w:rFonts w:hint="eastAsia"/>
        </w:rPr>
        <w:t>碳中和流程</w:t>
      </w:r>
      <w:bookmarkEnd w:id="62"/>
      <w:bookmarkEnd w:id="63"/>
      <w:bookmarkEnd w:id="64"/>
      <w:bookmarkEnd w:id="65"/>
      <w:bookmarkEnd w:id="66"/>
      <w:bookmarkEnd w:id="67"/>
      <w:bookmarkEnd w:id="68"/>
      <w:bookmarkEnd w:id="69"/>
    </w:p>
    <w:p>
      <w:pPr>
        <w:pStyle w:val="20"/>
      </w:pPr>
      <w:r>
        <w:rPr>
          <w:rFonts w:hint="eastAsia"/>
        </w:rPr>
        <w:t>机关事业单位日常运营碳中和流程如下：</w:t>
      </w:r>
    </w:p>
    <w:p>
      <w:pPr>
        <w:pStyle w:val="55"/>
        <w:bidi w:val="0"/>
        <w:ind w:left="839" w:leftChars="0" w:hanging="419" w:firstLineChars="0"/>
      </w:pPr>
      <w:r>
        <w:rPr>
          <w:rFonts w:hint="eastAsia"/>
        </w:rPr>
        <w:t>设立碳排放管理团队</w:t>
      </w:r>
      <w:r>
        <w:rPr>
          <w:rFonts w:hint="eastAsia"/>
          <w:lang w:eastAsia="zh-CN"/>
        </w:rPr>
        <w:t>；</w:t>
      </w:r>
    </w:p>
    <w:p>
      <w:pPr>
        <w:pStyle w:val="55"/>
        <w:bidi w:val="0"/>
        <w:ind w:left="839" w:leftChars="0" w:hanging="419" w:firstLineChars="0"/>
      </w:pPr>
      <w:r>
        <w:rPr>
          <w:rFonts w:hint="eastAsia"/>
        </w:rPr>
        <w:t>明确碳排放数据管理</w:t>
      </w:r>
      <w:r>
        <w:rPr>
          <w:rFonts w:hint="eastAsia"/>
          <w:lang w:eastAsia="zh-CN"/>
        </w:rPr>
        <w:t>；</w:t>
      </w:r>
    </w:p>
    <w:p>
      <w:pPr>
        <w:pStyle w:val="55"/>
        <w:bidi w:val="0"/>
        <w:ind w:left="839" w:leftChars="0" w:hanging="419" w:firstLineChars="0"/>
      </w:pPr>
      <w:r>
        <w:rPr>
          <w:rFonts w:hint="eastAsia"/>
        </w:rPr>
        <w:t>制定碳中和计划</w:t>
      </w:r>
      <w:r>
        <w:rPr>
          <w:rFonts w:hint="eastAsia"/>
          <w:lang w:eastAsia="zh-CN"/>
        </w:rPr>
        <w:t>；</w:t>
      </w:r>
    </w:p>
    <w:p>
      <w:pPr>
        <w:pStyle w:val="55"/>
        <w:bidi w:val="0"/>
        <w:ind w:left="839" w:leftChars="0" w:hanging="419" w:firstLineChars="0"/>
      </w:pPr>
      <w:r>
        <w:rPr>
          <w:rFonts w:hint="eastAsia"/>
        </w:rPr>
        <w:t>践行控排降碳行动</w:t>
      </w:r>
      <w:r>
        <w:rPr>
          <w:rFonts w:hint="eastAsia"/>
          <w:lang w:eastAsia="zh-CN"/>
        </w:rPr>
        <w:t>；</w:t>
      </w:r>
    </w:p>
    <w:p>
      <w:pPr>
        <w:pStyle w:val="55"/>
        <w:bidi w:val="0"/>
        <w:ind w:left="839" w:leftChars="0" w:hanging="419" w:firstLineChars="0"/>
      </w:pPr>
      <w:r>
        <w:rPr>
          <w:rFonts w:hint="eastAsia"/>
        </w:rPr>
        <w:t>核算碳排放量</w:t>
      </w:r>
      <w:r>
        <w:rPr>
          <w:rFonts w:hint="eastAsia"/>
          <w:lang w:eastAsia="zh-CN"/>
        </w:rPr>
        <w:t>；</w:t>
      </w:r>
    </w:p>
    <w:p>
      <w:pPr>
        <w:pStyle w:val="55"/>
        <w:bidi w:val="0"/>
        <w:ind w:left="839" w:leftChars="0" w:hanging="419" w:firstLineChars="0"/>
      </w:pPr>
      <w:r>
        <w:rPr>
          <w:rFonts w:hint="eastAsia"/>
        </w:rPr>
        <w:t>确定碳抵消方式</w:t>
      </w:r>
      <w:r>
        <w:rPr>
          <w:rFonts w:hint="eastAsia"/>
          <w:lang w:eastAsia="zh-CN"/>
        </w:rPr>
        <w:t>；</w:t>
      </w:r>
    </w:p>
    <w:p>
      <w:pPr>
        <w:pStyle w:val="55"/>
        <w:bidi w:val="0"/>
        <w:ind w:left="839" w:leftChars="0" w:hanging="419" w:firstLineChars="0"/>
      </w:pPr>
      <w:r>
        <w:rPr>
          <w:rFonts w:hint="eastAsia"/>
        </w:rPr>
        <w:t>实现碳中和</w:t>
      </w:r>
      <w:r>
        <w:rPr>
          <w:rFonts w:hint="eastAsia"/>
          <w:lang w:eastAsia="zh-CN"/>
        </w:rPr>
        <w:t>。</w:t>
      </w:r>
    </w:p>
    <w:p>
      <w:pPr>
        <w:pStyle w:val="41"/>
        <w:spacing w:before="312" w:after="312"/>
        <w:rPr>
          <w:rFonts w:eastAsia="宋体"/>
        </w:rPr>
      </w:pPr>
      <w:bookmarkStart w:id="70" w:name="_Toc28484"/>
      <w:bookmarkStart w:id="71" w:name="_Toc1862"/>
      <w:bookmarkStart w:id="72" w:name="_Toc1853"/>
      <w:bookmarkStart w:id="73" w:name="_Toc23297"/>
      <w:bookmarkStart w:id="74" w:name="_Toc30311"/>
      <w:r>
        <w:rPr>
          <w:rFonts w:hint="eastAsia"/>
        </w:rPr>
        <w:t>设立碳排放管理团队</w:t>
      </w:r>
      <w:bookmarkEnd w:id="70"/>
      <w:bookmarkEnd w:id="71"/>
      <w:bookmarkEnd w:id="72"/>
      <w:bookmarkEnd w:id="73"/>
      <w:bookmarkEnd w:id="74"/>
    </w:p>
    <w:p>
      <w:pPr>
        <w:pStyle w:val="20"/>
      </w:pPr>
      <w:r>
        <w:rPr>
          <w:rFonts w:hint="eastAsia"/>
        </w:rPr>
        <w:t>机关事业单位应组建碳排放管理团队，确定职责分工，建立日常运营碳中和全过程管理机制，联合各相关部门共同做好控排降碳行动、完成碳数据收集及核算、明确碳抵消路径、开展碳中和声明等。</w:t>
      </w:r>
    </w:p>
    <w:p>
      <w:pPr>
        <w:pStyle w:val="41"/>
        <w:spacing w:before="312" w:after="312"/>
      </w:pPr>
      <w:bookmarkStart w:id="75" w:name="_Toc5916"/>
      <w:bookmarkStart w:id="76" w:name="_Toc17"/>
      <w:bookmarkStart w:id="77" w:name="_Toc4572"/>
      <w:bookmarkStart w:id="78" w:name="_Toc23972"/>
      <w:bookmarkStart w:id="79" w:name="_Toc32184"/>
      <w:r>
        <w:rPr>
          <w:rFonts w:hint="eastAsia"/>
        </w:rPr>
        <w:t>明确碳排放数据管理</w:t>
      </w:r>
      <w:bookmarkEnd w:id="75"/>
      <w:bookmarkEnd w:id="76"/>
      <w:bookmarkEnd w:id="77"/>
      <w:bookmarkEnd w:id="78"/>
      <w:bookmarkEnd w:id="79"/>
    </w:p>
    <w:p>
      <w:pPr>
        <w:pStyle w:val="20"/>
      </w:pPr>
      <w:r>
        <w:rPr>
          <w:rFonts w:hint="eastAsia"/>
        </w:rPr>
        <w:t>机关事业单位应开展日常运营碳排放数据质量管理，包括但不限于：</w:t>
      </w:r>
    </w:p>
    <w:p>
      <w:pPr>
        <w:pStyle w:val="55"/>
        <w:numPr>
          <w:ilvl w:val="0"/>
          <w:numId w:val="18"/>
        </w:numPr>
      </w:pPr>
      <w:r>
        <w:rPr>
          <w:rFonts w:hint="eastAsia"/>
        </w:rPr>
        <w:t>建立碳排放数据归档管理制度，和碳排放相关的数据佐证资料应保存至少五年；</w:t>
      </w:r>
    </w:p>
    <w:p>
      <w:pPr>
        <w:pStyle w:val="55"/>
        <w:numPr>
          <w:ilvl w:val="0"/>
          <w:numId w:val="18"/>
        </w:numPr>
      </w:pPr>
      <w:r>
        <w:rPr>
          <w:rFonts w:hint="eastAsia"/>
        </w:rPr>
        <w:t>明确碳排放数据源缺失处理方式。</w:t>
      </w:r>
    </w:p>
    <w:p>
      <w:pPr>
        <w:pStyle w:val="41"/>
        <w:spacing w:before="312" w:after="312"/>
      </w:pPr>
      <w:bookmarkStart w:id="80" w:name="_Toc27525"/>
      <w:bookmarkStart w:id="81" w:name="_Toc17111"/>
      <w:bookmarkStart w:id="82" w:name="_Toc7936"/>
      <w:bookmarkStart w:id="83" w:name="_Toc141734803"/>
      <w:bookmarkStart w:id="84" w:name="_Toc9082"/>
      <w:bookmarkStart w:id="85" w:name="_Toc19702"/>
      <w:bookmarkStart w:id="86" w:name="_Toc24898"/>
      <w:bookmarkStart w:id="87" w:name="_Toc14874"/>
      <w:bookmarkStart w:id="88" w:name="_Toc9100"/>
      <w:bookmarkStart w:id="89" w:name="_Toc32685"/>
      <w:bookmarkStart w:id="90" w:name="_Toc141734802"/>
      <w:r>
        <w:rPr>
          <w:rFonts w:hint="eastAsia"/>
        </w:rPr>
        <w:t>制定碳中和计划</w:t>
      </w:r>
      <w:bookmarkEnd w:id="80"/>
      <w:bookmarkEnd w:id="81"/>
      <w:bookmarkEnd w:id="82"/>
      <w:bookmarkEnd w:id="83"/>
      <w:bookmarkEnd w:id="84"/>
      <w:bookmarkEnd w:id="85"/>
      <w:bookmarkEnd w:id="86"/>
      <w:bookmarkEnd w:id="87"/>
    </w:p>
    <w:p>
      <w:pPr>
        <w:pStyle w:val="20"/>
      </w:pPr>
      <w:r>
        <w:rPr>
          <w:rFonts w:hint="eastAsia"/>
        </w:rPr>
        <w:t>机关事业单位应制定日常运营温室气体排放碳中和计划，包括但不限于：</w:t>
      </w:r>
    </w:p>
    <w:p>
      <w:pPr>
        <w:pStyle w:val="55"/>
        <w:numPr>
          <w:ilvl w:val="0"/>
          <w:numId w:val="19"/>
        </w:numPr>
      </w:pPr>
      <w:r>
        <w:rPr>
          <w:rFonts w:hint="eastAsia"/>
        </w:rPr>
        <w:t>碳中和主体基本信息，包括简介、实现碳中和愿景等；</w:t>
      </w:r>
    </w:p>
    <w:p>
      <w:pPr>
        <w:pStyle w:val="55"/>
        <w:numPr>
          <w:ilvl w:val="0"/>
          <w:numId w:val="19"/>
        </w:numPr>
      </w:pPr>
      <w:r>
        <w:rPr>
          <w:rFonts w:hint="eastAsia"/>
        </w:rPr>
        <w:t>计划开展的控排降碳行动，包括开展的时间、投资情况、预计节能减排成效等；</w:t>
      </w:r>
    </w:p>
    <w:p>
      <w:pPr>
        <w:pStyle w:val="55"/>
        <w:numPr>
          <w:ilvl w:val="0"/>
          <w:numId w:val="19"/>
        </w:numPr>
      </w:pPr>
      <w:r>
        <w:rPr>
          <w:rFonts w:hint="eastAsia"/>
        </w:rPr>
        <w:t>计划开展碳排放核算的核算边界、核算方法等；</w:t>
      </w:r>
    </w:p>
    <w:p>
      <w:pPr>
        <w:pStyle w:val="55"/>
        <w:numPr>
          <w:ilvl w:val="0"/>
          <w:numId w:val="19"/>
        </w:numPr>
      </w:pPr>
      <w:r>
        <w:rPr>
          <w:rFonts w:hint="eastAsia"/>
        </w:rPr>
        <w:t>计划实现碳中和的路径，包括抵消方式、</w:t>
      </w:r>
      <w:r>
        <w:rPr>
          <w:rFonts w:hint="eastAsia"/>
          <w:lang w:val="en-US" w:eastAsia="zh-CN"/>
        </w:rPr>
        <w:t>成本估算</w:t>
      </w:r>
      <w:r>
        <w:rPr>
          <w:rFonts w:hint="eastAsia"/>
        </w:rPr>
        <w:t>、发布碳中和的形式及渠道等</w:t>
      </w:r>
      <w:r>
        <w:rPr>
          <w:rFonts w:hint="eastAsia" w:hAnsi="宋体" w:cs="宋体"/>
          <w:color w:val="000000"/>
          <w:szCs w:val="21"/>
        </w:rPr>
        <w:t>。</w:t>
      </w:r>
    </w:p>
    <w:p>
      <w:pPr>
        <w:pStyle w:val="41"/>
        <w:spacing w:before="312" w:after="312"/>
      </w:pPr>
      <w:bookmarkStart w:id="91" w:name="_Toc25422"/>
      <w:bookmarkStart w:id="92" w:name="_Toc24719"/>
      <w:bookmarkStart w:id="93" w:name="_Toc21650"/>
      <w:bookmarkStart w:id="94" w:name="_Toc2592"/>
      <w:bookmarkStart w:id="95" w:name="_Toc29752"/>
      <w:r>
        <w:rPr>
          <w:rFonts w:hint="eastAsia"/>
        </w:rPr>
        <w:t>践行控排降碳行动</w:t>
      </w:r>
      <w:bookmarkEnd w:id="88"/>
      <w:bookmarkEnd w:id="89"/>
      <w:bookmarkEnd w:id="90"/>
      <w:bookmarkEnd w:id="91"/>
      <w:bookmarkEnd w:id="92"/>
      <w:bookmarkEnd w:id="93"/>
      <w:bookmarkEnd w:id="94"/>
      <w:bookmarkEnd w:id="95"/>
    </w:p>
    <w:p>
      <w:pPr>
        <w:pStyle w:val="20"/>
        <w:rPr>
          <w:rFonts w:hint="eastAsia" w:eastAsia="宋体"/>
          <w:lang w:eastAsia="zh-CN"/>
        </w:rPr>
      </w:pPr>
      <w:r>
        <w:rPr>
          <w:rFonts w:hint="eastAsia"/>
        </w:rPr>
        <w:t>机关事业单位</w:t>
      </w:r>
      <w:r>
        <w:rPr>
          <w:rFonts w:hint="eastAsia"/>
          <w:lang w:val="en-US" w:eastAsia="zh-CN"/>
        </w:rPr>
        <w:t>开展日常运营</w:t>
      </w:r>
      <w:r>
        <w:rPr>
          <w:rFonts w:hint="eastAsia"/>
        </w:rPr>
        <w:t>控排降碳行动包括绿色办公、绿色出行、绿色会务、建筑节能、其他绿色低碳行为，具体</w:t>
      </w:r>
      <w:r>
        <w:rPr>
          <w:rFonts w:hint="eastAsia"/>
          <w:lang w:val="en-US" w:eastAsia="zh-CN"/>
        </w:rPr>
        <w:t>内容</w:t>
      </w:r>
      <w:r>
        <w:rPr>
          <w:rFonts w:hint="eastAsia"/>
        </w:rPr>
        <w:t>包括</w:t>
      </w:r>
      <w:r>
        <w:rPr>
          <w:rFonts w:hint="eastAsia"/>
          <w:lang w:val="en-US" w:eastAsia="zh-CN"/>
        </w:rPr>
        <w:t>但</w:t>
      </w:r>
      <w:r>
        <w:rPr>
          <w:rFonts w:hint="eastAsia"/>
        </w:rPr>
        <w:t>不限于实施路径、实施时间及进度安排、资金匹配、预估减排量</w:t>
      </w:r>
      <w:r>
        <w:rPr>
          <w:rFonts w:hint="eastAsia"/>
          <w:lang w:val="en-US" w:eastAsia="zh-CN"/>
        </w:rPr>
        <w:t>等，</w:t>
      </w:r>
      <w:r>
        <w:rPr>
          <w:rFonts w:hint="eastAsia"/>
        </w:rPr>
        <w:t>可参考本文附录A实施</w:t>
      </w:r>
      <w:r>
        <w:rPr>
          <w:rFonts w:hint="eastAsia"/>
          <w:lang w:eastAsia="zh-CN"/>
        </w:rPr>
        <w:t>。</w:t>
      </w:r>
    </w:p>
    <w:p>
      <w:pPr>
        <w:pStyle w:val="20"/>
      </w:pPr>
      <w:r>
        <w:rPr>
          <w:rFonts w:hint="eastAsia"/>
        </w:rPr>
        <w:t>机关事业单位</w:t>
      </w:r>
      <w:r>
        <w:rPr>
          <w:rFonts w:hint="eastAsia"/>
          <w:lang w:val="en-US" w:eastAsia="zh-CN"/>
        </w:rPr>
        <w:t>需</w:t>
      </w:r>
      <w:r>
        <w:rPr>
          <w:rFonts w:hint="eastAsia"/>
        </w:rPr>
        <w:t>立足实际，结合控排降碳</w:t>
      </w:r>
      <w:r>
        <w:rPr>
          <w:rFonts w:hint="eastAsia"/>
          <w:lang w:val="en-US" w:eastAsia="zh-CN"/>
        </w:rPr>
        <w:t>行动</w:t>
      </w:r>
      <w:r>
        <w:rPr>
          <w:rFonts w:hint="eastAsia"/>
        </w:rPr>
        <w:t>路径，落实日常运营阶段控排降碳</w:t>
      </w:r>
      <w:r>
        <w:rPr>
          <w:rFonts w:hint="eastAsia"/>
          <w:lang w:val="en-US" w:eastAsia="zh-CN"/>
        </w:rPr>
        <w:t>的措施</w:t>
      </w:r>
      <w:r>
        <w:rPr>
          <w:rFonts w:hint="eastAsia"/>
        </w:rPr>
        <w:t>，实现先降碳再中和。机关事业单位碳排放管理团队应全流程</w:t>
      </w:r>
      <w:r>
        <w:rPr>
          <w:rFonts w:hint="eastAsia"/>
          <w:lang w:val="en-US" w:eastAsia="zh-CN"/>
        </w:rPr>
        <w:t>监管和</w:t>
      </w:r>
      <w:r>
        <w:rPr>
          <w:rFonts w:hint="eastAsia"/>
        </w:rPr>
        <w:t>评估</w:t>
      </w:r>
      <w:r>
        <w:rPr>
          <w:rFonts w:hint="eastAsia"/>
          <w:lang w:val="en-US" w:eastAsia="zh-CN"/>
        </w:rPr>
        <w:t>控排减碳行动方案</w:t>
      </w:r>
      <w:r>
        <w:rPr>
          <w:rFonts w:hint="eastAsia"/>
        </w:rPr>
        <w:t>，包括但不限于：</w:t>
      </w:r>
    </w:p>
    <w:p>
      <w:pPr>
        <w:pStyle w:val="55"/>
        <w:numPr>
          <w:ilvl w:val="0"/>
          <w:numId w:val="20"/>
        </w:numPr>
      </w:pPr>
      <w:r>
        <w:rPr>
          <w:rFonts w:hint="eastAsia"/>
        </w:rPr>
        <w:t>行动方案是否执行；</w:t>
      </w:r>
    </w:p>
    <w:p>
      <w:pPr>
        <w:pStyle w:val="55"/>
        <w:numPr>
          <w:ilvl w:val="0"/>
          <w:numId w:val="20"/>
        </w:numPr>
      </w:pPr>
      <w:r>
        <w:rPr>
          <w:rFonts w:hint="eastAsia"/>
        </w:rPr>
        <w:t>行动方案是否调整；</w:t>
      </w:r>
    </w:p>
    <w:p>
      <w:pPr>
        <w:pStyle w:val="55"/>
        <w:numPr>
          <w:ilvl w:val="0"/>
          <w:numId w:val="20"/>
        </w:numPr>
      </w:pPr>
      <w:r>
        <w:rPr>
          <w:rFonts w:hint="eastAsia"/>
        </w:rPr>
        <w:t>行动方案是否全面落实；</w:t>
      </w:r>
    </w:p>
    <w:p>
      <w:pPr>
        <w:pStyle w:val="55"/>
        <w:numPr>
          <w:ilvl w:val="0"/>
          <w:numId w:val="20"/>
        </w:numPr>
      </w:pPr>
      <w:r>
        <w:rPr>
          <w:rFonts w:hint="eastAsia"/>
        </w:rPr>
        <w:t>行动方案是否可持续维护。</w:t>
      </w:r>
    </w:p>
    <w:p>
      <w:pPr>
        <w:pStyle w:val="41"/>
        <w:spacing w:before="312" w:after="312"/>
      </w:pPr>
      <w:bookmarkStart w:id="96" w:name="_Toc1127"/>
      <w:bookmarkStart w:id="97" w:name="_Toc3082"/>
      <w:bookmarkStart w:id="98" w:name="_Toc12018"/>
      <w:bookmarkStart w:id="99" w:name="_Toc141734805"/>
      <w:bookmarkStart w:id="100" w:name="_Toc12117"/>
      <w:bookmarkStart w:id="101" w:name="_Toc17568"/>
      <w:bookmarkStart w:id="102" w:name="_Toc5962"/>
      <w:bookmarkStart w:id="103" w:name="_Toc8980"/>
      <w:r>
        <w:rPr>
          <w:rFonts w:hint="eastAsia"/>
        </w:rPr>
        <w:t>核算碳排放量</w:t>
      </w:r>
      <w:bookmarkEnd w:id="96"/>
      <w:bookmarkEnd w:id="97"/>
      <w:bookmarkEnd w:id="98"/>
      <w:bookmarkEnd w:id="99"/>
      <w:bookmarkEnd w:id="100"/>
      <w:bookmarkEnd w:id="101"/>
      <w:bookmarkEnd w:id="102"/>
      <w:bookmarkEnd w:id="103"/>
    </w:p>
    <w:p>
      <w:pPr>
        <w:pStyle w:val="38"/>
        <w:spacing w:before="156" w:after="156"/>
      </w:pPr>
      <w:r>
        <w:rPr>
          <w:rFonts w:hint="eastAsia"/>
        </w:rPr>
        <w:t>核算流程</w:t>
      </w:r>
    </w:p>
    <w:p>
      <w:pPr>
        <w:pStyle w:val="20"/>
      </w:pPr>
      <w:r>
        <w:rPr>
          <w:rFonts w:hint="eastAsia"/>
        </w:rPr>
        <w:t>机关事业单位进行日常运营阶段</w:t>
      </w:r>
      <w:r>
        <w:rPr>
          <w:rFonts w:hint="eastAsia"/>
          <w:lang w:val="en-US" w:eastAsia="zh-CN"/>
        </w:rPr>
        <w:t>碳</w:t>
      </w:r>
      <w:r>
        <w:rPr>
          <w:rFonts w:hint="eastAsia"/>
        </w:rPr>
        <w:t>排放核算流程包括以下步骤：</w:t>
      </w:r>
    </w:p>
    <w:p>
      <w:pPr>
        <w:pStyle w:val="55"/>
        <w:numPr>
          <w:ilvl w:val="0"/>
          <w:numId w:val="21"/>
        </w:numPr>
      </w:pPr>
      <w:r>
        <w:rPr>
          <w:rFonts w:hint="eastAsia"/>
        </w:rPr>
        <w:t>根据营业执照、简介、组织机构图等资料确定机关事业单位基本情况；</w:t>
      </w:r>
    </w:p>
    <w:p>
      <w:pPr>
        <w:pStyle w:val="55"/>
        <w:numPr>
          <w:ilvl w:val="0"/>
          <w:numId w:val="21"/>
        </w:numPr>
      </w:pPr>
      <w:r>
        <w:rPr>
          <w:rFonts w:hint="eastAsia"/>
        </w:rPr>
        <w:t>根据组织机构图、平面图、主要用能设备、计量设备等情况确定日常运营阶段</w:t>
      </w:r>
      <w:r>
        <w:rPr>
          <w:rFonts w:hint="eastAsia"/>
          <w:lang w:val="en-US" w:eastAsia="zh-CN"/>
        </w:rPr>
        <w:t>碳</w:t>
      </w:r>
      <w:r>
        <w:rPr>
          <w:rFonts w:hint="eastAsia"/>
        </w:rPr>
        <w:t>排放核算边界；</w:t>
      </w:r>
    </w:p>
    <w:p>
      <w:pPr>
        <w:pStyle w:val="55"/>
        <w:numPr>
          <w:ilvl w:val="0"/>
          <w:numId w:val="21"/>
        </w:numPr>
      </w:pPr>
      <w:r>
        <w:rPr>
          <w:rFonts w:hint="eastAsia"/>
        </w:rPr>
        <w:t>按照最新的对应行业核算指南的要求确定核算方法；</w:t>
      </w:r>
    </w:p>
    <w:p>
      <w:pPr>
        <w:pStyle w:val="55"/>
        <w:numPr>
          <w:ilvl w:val="0"/>
          <w:numId w:val="21"/>
        </w:numPr>
      </w:pPr>
      <w:r>
        <w:rPr>
          <w:rFonts w:hint="eastAsia"/>
        </w:rPr>
        <w:t>选择与收集全部活动水平数据；</w:t>
      </w:r>
    </w:p>
    <w:p>
      <w:pPr>
        <w:pStyle w:val="55"/>
        <w:numPr>
          <w:ilvl w:val="0"/>
          <w:numId w:val="21"/>
        </w:numPr>
      </w:pPr>
      <w:r>
        <w:rPr>
          <w:rFonts w:hint="eastAsia"/>
        </w:rPr>
        <w:t>选择或测算排放因子；</w:t>
      </w:r>
    </w:p>
    <w:p>
      <w:pPr>
        <w:pStyle w:val="55"/>
        <w:numPr>
          <w:ilvl w:val="0"/>
          <w:numId w:val="21"/>
        </w:numPr>
      </w:pPr>
      <w:r>
        <w:rPr>
          <w:rFonts w:hint="eastAsia"/>
        </w:rPr>
        <w:t>核算</w:t>
      </w:r>
      <w:r>
        <w:rPr>
          <w:rFonts w:hint="eastAsia"/>
          <w:lang w:val="en-US" w:eastAsia="zh-CN"/>
        </w:rPr>
        <w:t>碳</w:t>
      </w:r>
      <w:r>
        <w:rPr>
          <w:rFonts w:hint="eastAsia"/>
        </w:rPr>
        <w:t>排放量。</w:t>
      </w:r>
    </w:p>
    <w:p>
      <w:pPr>
        <w:pStyle w:val="38"/>
        <w:spacing w:before="156" w:after="156"/>
      </w:pPr>
      <w:r>
        <w:rPr>
          <w:rFonts w:hint="eastAsia"/>
        </w:rPr>
        <w:t>核算方法</w:t>
      </w:r>
    </w:p>
    <w:p>
      <w:pPr>
        <w:pStyle w:val="20"/>
      </w:pPr>
      <w:r>
        <w:rPr>
          <w:rFonts w:hint="eastAsia"/>
        </w:rPr>
        <w:t>机关事业单位碳排放核算</w:t>
      </w:r>
      <w:r>
        <w:rPr>
          <w:rFonts w:hint="eastAsia"/>
          <w:lang w:val="en-US" w:eastAsia="zh-CN"/>
        </w:rPr>
        <w:t>方法</w:t>
      </w:r>
      <w:r>
        <w:rPr>
          <w:rFonts w:hint="eastAsia"/>
        </w:rPr>
        <w:t>可参考本文附录B实施。</w:t>
      </w:r>
    </w:p>
    <w:p>
      <w:pPr>
        <w:pStyle w:val="41"/>
        <w:spacing w:before="312" w:after="312"/>
      </w:pPr>
      <w:bookmarkStart w:id="104" w:name="_Toc30245"/>
      <w:bookmarkStart w:id="105" w:name="_Toc26756"/>
      <w:bookmarkStart w:id="106" w:name="_Toc13924"/>
      <w:bookmarkStart w:id="107" w:name="_Toc30073"/>
      <w:bookmarkStart w:id="108" w:name="_Toc141734806"/>
      <w:bookmarkStart w:id="109" w:name="_Toc29512"/>
      <w:bookmarkStart w:id="110" w:name="_Toc16623"/>
      <w:bookmarkStart w:id="111" w:name="_Toc11275"/>
      <w:r>
        <w:rPr>
          <w:rFonts w:hint="eastAsia"/>
        </w:rPr>
        <w:t>确定碳抵消方式</w:t>
      </w:r>
      <w:bookmarkEnd w:id="104"/>
      <w:bookmarkEnd w:id="105"/>
      <w:bookmarkEnd w:id="106"/>
      <w:bookmarkEnd w:id="107"/>
      <w:bookmarkEnd w:id="108"/>
      <w:bookmarkEnd w:id="109"/>
      <w:bookmarkEnd w:id="110"/>
      <w:bookmarkEnd w:id="111"/>
    </w:p>
    <w:p>
      <w:pPr>
        <w:pStyle w:val="38"/>
        <w:spacing w:before="156" w:after="156"/>
      </w:pPr>
      <w:r>
        <w:rPr>
          <w:rFonts w:hint="eastAsia"/>
        </w:rPr>
        <w:t>实现碳中和基本要求</w:t>
      </w:r>
    </w:p>
    <w:p>
      <w:pPr>
        <w:pStyle w:val="20"/>
      </w:pPr>
      <w:r>
        <w:rPr>
          <w:rFonts w:hint="eastAsia"/>
        </w:rPr>
        <w:t>基于林草碳汇的机关事业单位日常运营碳中和实现基本要求包括：</w:t>
      </w:r>
    </w:p>
    <w:p>
      <w:pPr>
        <w:pStyle w:val="55"/>
        <w:numPr>
          <w:ilvl w:val="0"/>
          <w:numId w:val="22"/>
        </w:numPr>
      </w:pPr>
      <w:r>
        <w:rPr>
          <w:rFonts w:hint="eastAsia"/>
        </w:rPr>
        <w:t>机关事业单位核算边界内日常运营</w:t>
      </w:r>
      <w:r>
        <w:rPr>
          <w:rFonts w:hint="eastAsia"/>
          <w:lang w:val="en-US" w:eastAsia="zh-CN"/>
        </w:rPr>
        <w:t>碳</w:t>
      </w:r>
      <w:r>
        <w:rPr>
          <w:rFonts w:hint="eastAsia"/>
        </w:rPr>
        <w:t>排放量小于等于抵消量时即可判定为碳中和；反之，则不能判定为碳中和。</w:t>
      </w:r>
    </w:p>
    <w:p>
      <w:pPr>
        <w:pStyle w:val="55"/>
        <w:numPr>
          <w:ilvl w:val="0"/>
          <w:numId w:val="22"/>
        </w:numPr>
      </w:pPr>
      <w:r>
        <w:rPr>
          <w:rFonts w:hint="eastAsia"/>
        </w:rPr>
        <w:t>机关事业单位应保证抵消所用的包头林草碳票、碳汇类碳信用、新建碳汇林是唯一的，并承诺不作为任何其他用途使用。</w:t>
      </w:r>
    </w:p>
    <w:p>
      <w:pPr>
        <w:pStyle w:val="38"/>
        <w:spacing w:before="156" w:after="156"/>
      </w:pPr>
      <w:r>
        <w:rPr>
          <w:rFonts w:hint="eastAsia"/>
        </w:rPr>
        <w:t>确定基于林草碳汇的碳抵消方式</w:t>
      </w:r>
    </w:p>
    <w:p>
      <w:pPr>
        <w:pStyle w:val="42"/>
        <w:spacing w:before="156" w:after="156"/>
      </w:pPr>
      <w:r>
        <w:rPr>
          <w:rFonts w:hint="eastAsia"/>
        </w:rPr>
        <w:t>碳抵消项目类型</w:t>
      </w:r>
    </w:p>
    <w:p>
      <w:pPr>
        <w:pStyle w:val="20"/>
      </w:pPr>
      <w:r>
        <w:rPr>
          <w:rFonts w:hint="eastAsia"/>
        </w:rPr>
        <w:t>机关事业单位日常运营的碳抵消方式可使用的项目类型包括：</w:t>
      </w:r>
    </w:p>
    <w:p>
      <w:pPr>
        <w:pStyle w:val="55"/>
        <w:numPr>
          <w:ilvl w:val="0"/>
          <w:numId w:val="23"/>
        </w:numPr>
      </w:pPr>
      <w:r>
        <w:rPr>
          <w:rFonts w:hint="eastAsia"/>
        </w:rPr>
        <w:t>购买碳汇类碳信用进行抵消；</w:t>
      </w:r>
    </w:p>
    <w:p>
      <w:pPr>
        <w:pStyle w:val="55"/>
        <w:numPr>
          <w:ilvl w:val="0"/>
          <w:numId w:val="23"/>
        </w:numPr>
      </w:pPr>
      <w:r>
        <w:rPr>
          <w:rFonts w:hint="eastAsia"/>
        </w:rPr>
        <w:t>购买经</w:t>
      </w:r>
      <w:r>
        <w:rPr>
          <w:rFonts w:hint="eastAsia"/>
          <w:color w:val="auto"/>
        </w:rPr>
        <w:t>包头市生态环境局备案</w:t>
      </w:r>
      <w:r>
        <w:rPr>
          <w:rFonts w:hint="eastAsia"/>
          <w:color w:val="auto"/>
          <w:lang w:val="en-US" w:eastAsia="zh-CN"/>
        </w:rPr>
        <w:t>和</w:t>
      </w:r>
      <w:r>
        <w:rPr>
          <w:rFonts w:hint="eastAsia"/>
          <w:color w:val="auto"/>
        </w:rPr>
        <w:t>包头市林业和草原局</w:t>
      </w:r>
      <w:r>
        <w:rPr>
          <w:rFonts w:hint="eastAsia"/>
        </w:rPr>
        <w:t>签发的包头林草碳票进行抵消；</w:t>
      </w:r>
    </w:p>
    <w:p>
      <w:pPr>
        <w:pStyle w:val="55"/>
        <w:numPr>
          <w:ilvl w:val="0"/>
          <w:numId w:val="23"/>
        </w:numPr>
      </w:pPr>
      <w:r>
        <w:rPr>
          <w:rFonts w:hint="eastAsia"/>
        </w:rPr>
        <w:t>在包头市行政</w:t>
      </w:r>
      <w:r>
        <w:rPr>
          <w:rFonts w:hint="eastAsia"/>
          <w:lang w:val="en-US" w:eastAsia="zh-CN"/>
        </w:rPr>
        <w:t>范围</w:t>
      </w:r>
      <w:r>
        <w:rPr>
          <w:rFonts w:hint="eastAsia"/>
        </w:rPr>
        <w:t>内新建碳汇林进行抵消。</w:t>
      </w:r>
    </w:p>
    <w:p>
      <w:pPr>
        <w:pStyle w:val="42"/>
        <w:spacing w:before="156" w:after="156"/>
      </w:pPr>
      <w:r>
        <w:rPr>
          <w:rFonts w:hint="eastAsia"/>
        </w:rPr>
        <w:t>碳抵消组合方式</w:t>
      </w:r>
    </w:p>
    <w:p>
      <w:pPr>
        <w:pStyle w:val="20"/>
      </w:pPr>
      <w:r>
        <w:rPr>
          <w:rFonts w:hint="eastAsia"/>
        </w:rPr>
        <w:t>机关事业单位日常运营的碳抵消可选择的组合方式：</w:t>
      </w:r>
    </w:p>
    <w:p>
      <w:pPr>
        <w:pStyle w:val="55"/>
        <w:numPr>
          <w:ilvl w:val="0"/>
          <w:numId w:val="24"/>
        </w:numPr>
      </w:pPr>
      <w:r>
        <w:rPr>
          <w:rFonts w:hint="eastAsia"/>
          <w:lang w:val="en-US" w:eastAsia="zh-CN"/>
        </w:rPr>
        <w:t>购买包头林草碳票进行抵销；</w:t>
      </w:r>
    </w:p>
    <w:p>
      <w:pPr>
        <w:pStyle w:val="55"/>
        <w:numPr>
          <w:ilvl w:val="0"/>
          <w:numId w:val="24"/>
        </w:numPr>
      </w:pPr>
      <w:r>
        <w:rPr>
          <w:rFonts w:hint="eastAsia"/>
        </w:rPr>
        <w:t>购买碳汇类碳信用进行抵消；</w:t>
      </w:r>
    </w:p>
    <w:p>
      <w:pPr>
        <w:pStyle w:val="55"/>
        <w:numPr>
          <w:ilvl w:val="0"/>
          <w:numId w:val="24"/>
        </w:numPr>
      </w:pPr>
      <w:r>
        <w:rPr>
          <w:rFonts w:hint="eastAsia"/>
        </w:rPr>
        <w:t>新建碳汇林进行抵消；</w:t>
      </w:r>
    </w:p>
    <w:p>
      <w:pPr>
        <w:pStyle w:val="55"/>
        <w:numPr>
          <w:ilvl w:val="0"/>
          <w:numId w:val="24"/>
        </w:numPr>
      </w:pPr>
      <w:r>
        <w:rPr>
          <w:rFonts w:hint="eastAsia"/>
        </w:rPr>
        <w:t>购买包头林草碳票</w:t>
      </w:r>
      <w:r>
        <w:rPr>
          <w:rFonts w:hint="eastAsia"/>
          <w:lang w:val="en-US" w:eastAsia="zh-CN"/>
        </w:rPr>
        <w:t>和</w:t>
      </w:r>
      <w:r>
        <w:rPr>
          <w:rFonts w:hint="eastAsia"/>
        </w:rPr>
        <w:t>碳汇类碳信用共同进行抵消；</w:t>
      </w:r>
    </w:p>
    <w:p>
      <w:pPr>
        <w:pStyle w:val="55"/>
        <w:numPr>
          <w:ilvl w:val="0"/>
          <w:numId w:val="24"/>
        </w:numPr>
      </w:pPr>
      <w:r>
        <w:rPr>
          <w:rFonts w:hint="eastAsia"/>
        </w:rPr>
        <w:t>购买包头林草碳票和新建碳汇林共同进行抵消；</w:t>
      </w:r>
    </w:p>
    <w:p>
      <w:pPr>
        <w:pStyle w:val="55"/>
        <w:numPr>
          <w:ilvl w:val="0"/>
          <w:numId w:val="24"/>
        </w:numPr>
      </w:pPr>
      <w:r>
        <w:rPr>
          <w:rFonts w:hint="eastAsia"/>
        </w:rPr>
        <w:t>购买碳汇类碳信用和新建碳汇林共同进行抵消；</w:t>
      </w:r>
    </w:p>
    <w:p>
      <w:pPr>
        <w:pStyle w:val="55"/>
        <w:numPr>
          <w:ilvl w:val="0"/>
          <w:numId w:val="24"/>
        </w:numPr>
      </w:pPr>
      <w:r>
        <w:rPr>
          <w:rFonts w:hint="eastAsia"/>
        </w:rPr>
        <w:t>购买包头林草碳票</w:t>
      </w:r>
      <w:r>
        <w:rPr>
          <w:rFonts w:hint="eastAsia"/>
          <w:lang w:val="en-US" w:eastAsia="zh-CN"/>
        </w:rPr>
        <w:t>和</w:t>
      </w:r>
      <w:r>
        <w:rPr>
          <w:rFonts w:hint="eastAsia"/>
        </w:rPr>
        <w:t>碳汇类碳信用</w:t>
      </w:r>
      <w:r>
        <w:rPr>
          <w:rFonts w:hint="eastAsia"/>
          <w:lang w:eastAsia="zh-CN"/>
        </w:rPr>
        <w:t>、</w:t>
      </w:r>
      <w:r>
        <w:rPr>
          <w:rFonts w:hint="eastAsia"/>
        </w:rPr>
        <w:t>新建碳汇林共同进行抵消。</w:t>
      </w:r>
    </w:p>
    <w:p>
      <w:pPr>
        <w:pStyle w:val="38"/>
        <w:spacing w:before="156" w:after="156"/>
      </w:pPr>
      <w:r>
        <w:rPr>
          <w:rFonts w:hint="eastAsia"/>
        </w:rPr>
        <w:t>购买包头林草碳票抵消</w:t>
      </w:r>
    </w:p>
    <w:p>
      <w:pPr>
        <w:pStyle w:val="20"/>
        <w:rPr>
          <w:rFonts w:hint="eastAsia"/>
        </w:rPr>
      </w:pPr>
      <w:r>
        <w:rPr>
          <w:rFonts w:hint="eastAsia"/>
        </w:rPr>
        <w:t>机关事业单位购买包头林草碳票进行日常运营碳排放抵消</w:t>
      </w:r>
      <w:r>
        <w:rPr>
          <w:rFonts w:hint="eastAsia"/>
          <w:lang w:eastAsia="zh-CN"/>
        </w:rPr>
        <w:t>，</w:t>
      </w:r>
      <w:r>
        <w:rPr>
          <w:rFonts w:hint="eastAsia"/>
        </w:rPr>
        <w:t>应满足以下要求：</w:t>
      </w:r>
    </w:p>
    <w:p>
      <w:pPr>
        <w:pStyle w:val="55"/>
        <w:numPr>
          <w:ilvl w:val="0"/>
          <w:numId w:val="25"/>
        </w:numPr>
        <w:bidi w:val="0"/>
        <w:ind w:left="839" w:leftChars="0" w:hanging="419" w:firstLineChars="0"/>
        <w:rPr>
          <w:rFonts w:hint="eastAsia"/>
          <w:lang w:val="en-US" w:eastAsia="zh-CN"/>
        </w:rPr>
      </w:pPr>
      <w:r>
        <w:rPr>
          <w:rFonts w:hint="eastAsia"/>
          <w:lang w:val="en-US" w:eastAsia="zh-CN"/>
        </w:rPr>
        <w:t>应采用经包头市生态环境局备案和包头市林业和草原局签发的包头林草碳票；</w:t>
      </w:r>
    </w:p>
    <w:p>
      <w:pPr>
        <w:pStyle w:val="55"/>
        <w:numPr>
          <w:ilvl w:val="0"/>
          <w:numId w:val="25"/>
        </w:numPr>
        <w:bidi w:val="0"/>
        <w:ind w:left="839" w:leftChars="0" w:hanging="419" w:firstLineChars="0"/>
        <w:rPr>
          <w:rFonts w:hint="eastAsia"/>
          <w:lang w:val="en-US" w:eastAsia="zh-CN"/>
        </w:rPr>
      </w:pPr>
      <w:r>
        <w:rPr>
          <w:rFonts w:hint="eastAsia"/>
          <w:lang w:val="en-US" w:eastAsia="zh-CN"/>
        </w:rPr>
        <w:t>用于抵消</w:t>
      </w:r>
      <w:r>
        <w:rPr>
          <w:rFonts w:hint="eastAsia"/>
        </w:rPr>
        <w:t>机关事业单位日常运营</w:t>
      </w:r>
      <w:r>
        <w:rPr>
          <w:rFonts w:hint="eastAsia"/>
          <w:lang w:val="en-US" w:eastAsia="zh-CN"/>
        </w:rPr>
        <w:t>碳排放量的包头林草碳票，</w:t>
      </w:r>
      <w:r>
        <w:rPr>
          <w:rFonts w:hint="eastAsia"/>
          <w:color w:val="auto"/>
          <w:highlight w:val="none"/>
          <w:lang w:val="en-US" w:eastAsia="zh-CN"/>
        </w:rPr>
        <w:t>应在包头林草碳汇认定流转平台系统中注销</w:t>
      </w:r>
      <w:r>
        <w:rPr>
          <w:rFonts w:hint="eastAsia"/>
          <w:lang w:val="en-US" w:eastAsia="zh-CN"/>
        </w:rPr>
        <w:t>，注销的包头林草碳票可追溯并能提供相应证明。</w:t>
      </w:r>
    </w:p>
    <w:p>
      <w:pPr>
        <w:pStyle w:val="38"/>
        <w:spacing w:before="156" w:after="156"/>
      </w:pPr>
      <w:r>
        <w:rPr>
          <w:rFonts w:hint="eastAsia"/>
        </w:rPr>
        <w:t>购买碳汇类碳信用抵消</w:t>
      </w:r>
    </w:p>
    <w:p>
      <w:pPr>
        <w:pStyle w:val="20"/>
        <w:rPr>
          <w:rFonts w:hint="eastAsia" w:eastAsia="宋体"/>
          <w:color w:val="auto"/>
          <w:lang w:eastAsia="zh-CN"/>
        </w:rPr>
      </w:pPr>
      <w:r>
        <w:rPr>
          <w:rFonts w:hint="eastAsia"/>
        </w:rPr>
        <w:t>机关事业单位购买中国自愿减排机制</w:t>
      </w:r>
      <w:r>
        <w:rPr>
          <w:rFonts w:hint="eastAsia"/>
          <w:color w:val="auto"/>
        </w:rPr>
        <w:t>下签发的碳汇类</w:t>
      </w:r>
      <w:r>
        <w:rPr>
          <w:rFonts w:hint="eastAsia"/>
          <w:color w:val="auto"/>
          <w:highlight w:val="none"/>
          <w:lang w:val="en-US" w:eastAsia="zh-CN"/>
        </w:rPr>
        <w:t>国家</w:t>
      </w:r>
      <w:r>
        <w:rPr>
          <w:rFonts w:hint="eastAsia"/>
          <w:color w:val="auto"/>
        </w:rPr>
        <w:t>核证自愿减排量（CCER）进行日常运营碳排放抵消</w:t>
      </w:r>
      <w:r>
        <w:rPr>
          <w:rFonts w:hint="eastAsia"/>
          <w:color w:val="auto"/>
          <w:lang w:eastAsia="zh-CN"/>
        </w:rPr>
        <w:t>，</w:t>
      </w:r>
      <w:r>
        <w:rPr>
          <w:rFonts w:hint="eastAsia"/>
          <w:color w:val="auto"/>
        </w:rPr>
        <w:t>并应满足以下要求：</w:t>
      </w:r>
    </w:p>
    <w:p>
      <w:pPr>
        <w:pStyle w:val="55"/>
        <w:numPr>
          <w:ilvl w:val="0"/>
          <w:numId w:val="26"/>
        </w:numPr>
        <w:bidi w:val="0"/>
        <w:ind w:left="839" w:leftChars="0" w:hanging="419" w:firstLineChars="0"/>
        <w:rPr>
          <w:rFonts w:hint="eastAsia"/>
          <w:color w:val="auto"/>
          <w:lang w:eastAsia="zh-CN"/>
        </w:rPr>
      </w:pPr>
      <w:r>
        <w:rPr>
          <w:rFonts w:hint="eastAsia"/>
          <w:color w:val="auto"/>
          <w:lang w:val="en-US" w:eastAsia="zh-CN"/>
        </w:rPr>
        <w:t>用于抵消</w:t>
      </w:r>
      <w:r>
        <w:rPr>
          <w:rFonts w:hint="eastAsia"/>
          <w:color w:val="auto"/>
        </w:rPr>
        <w:t>机关事业单位日常运营</w:t>
      </w:r>
      <w:r>
        <w:rPr>
          <w:rFonts w:hint="eastAsia"/>
          <w:color w:val="auto"/>
          <w:lang w:val="en-US" w:eastAsia="zh-CN"/>
        </w:rPr>
        <w:t>碳排放量的碳汇类碳信用，应在全国温室气体自愿减排交易系统中注销，注销的碳汇类碳信用可追溯并能提供相应证明；</w:t>
      </w:r>
    </w:p>
    <w:p>
      <w:pPr>
        <w:pStyle w:val="55"/>
        <w:numPr>
          <w:ilvl w:val="0"/>
          <w:numId w:val="26"/>
        </w:numPr>
        <w:bidi w:val="0"/>
        <w:ind w:left="839" w:leftChars="0" w:hanging="419" w:firstLineChars="0"/>
        <w:rPr>
          <w:rFonts w:hint="eastAsia"/>
          <w:color w:val="auto"/>
        </w:rPr>
      </w:pPr>
      <w:r>
        <w:rPr>
          <w:rFonts w:hint="eastAsia"/>
          <w:color w:val="auto"/>
          <w:lang w:val="en-US" w:eastAsia="zh-CN"/>
        </w:rPr>
        <w:t>优先购买包头市及内蒙古行政范围内的碳汇类国家</w:t>
      </w:r>
      <w:r>
        <w:rPr>
          <w:rFonts w:hint="eastAsia"/>
          <w:color w:val="auto"/>
        </w:rPr>
        <w:t>核证自愿减排量（CCER）</w:t>
      </w:r>
      <w:r>
        <w:rPr>
          <w:rFonts w:hint="eastAsia"/>
          <w:color w:val="auto"/>
          <w:lang w:eastAsia="zh-CN"/>
        </w:rPr>
        <w:t>。</w:t>
      </w:r>
    </w:p>
    <w:p>
      <w:pPr>
        <w:pStyle w:val="38"/>
        <w:spacing w:before="156" w:after="156"/>
      </w:pPr>
      <w:r>
        <w:rPr>
          <w:rFonts w:hint="eastAsia"/>
        </w:rPr>
        <w:t>新建碳汇林抵消</w:t>
      </w:r>
    </w:p>
    <w:p>
      <w:pPr>
        <w:pStyle w:val="20"/>
        <w:rPr>
          <w:color w:val="auto"/>
        </w:rPr>
      </w:pPr>
      <w:r>
        <w:rPr>
          <w:rFonts w:hint="eastAsia"/>
        </w:rPr>
        <w:t>机关事</w:t>
      </w:r>
      <w:r>
        <w:rPr>
          <w:rFonts w:hint="eastAsia"/>
          <w:color w:val="auto"/>
        </w:rPr>
        <w:t>业单位通过新建碳汇林的方式进行日常运营碳排放抵消实现碳中和，并应满足以下要求：</w:t>
      </w:r>
    </w:p>
    <w:p>
      <w:pPr>
        <w:pStyle w:val="55"/>
        <w:numPr>
          <w:ilvl w:val="0"/>
          <w:numId w:val="27"/>
        </w:numPr>
        <w:rPr>
          <w:color w:val="auto"/>
        </w:rPr>
      </w:pPr>
      <w:r>
        <w:rPr>
          <w:rFonts w:hint="eastAsia"/>
          <w:color w:val="auto"/>
          <w:lang w:val="en-US" w:eastAsia="zh-CN"/>
        </w:rPr>
        <w:t>应优先选择在包头市行政范围内新建碳汇林；</w:t>
      </w:r>
    </w:p>
    <w:p>
      <w:pPr>
        <w:pStyle w:val="55"/>
        <w:numPr>
          <w:ilvl w:val="0"/>
          <w:numId w:val="27"/>
        </w:numPr>
        <w:rPr>
          <w:color w:val="auto"/>
        </w:rPr>
      </w:pPr>
      <w:r>
        <w:rPr>
          <w:rFonts w:hint="eastAsia"/>
          <w:color w:val="auto"/>
          <w:lang w:val="en-US" w:eastAsia="zh-CN"/>
        </w:rPr>
        <w:t>新建碳汇林的</w:t>
      </w:r>
      <w:r>
        <w:rPr>
          <w:rFonts w:hint="eastAsia"/>
          <w:color w:val="auto"/>
        </w:rPr>
        <w:t>碳汇量</w:t>
      </w:r>
      <w:r>
        <w:rPr>
          <w:rFonts w:hint="eastAsia"/>
          <w:color w:val="auto"/>
          <w:lang w:val="en-US" w:eastAsia="zh-CN"/>
        </w:rPr>
        <w:t>需经第三方机构</w:t>
      </w:r>
      <w:r>
        <w:rPr>
          <w:rFonts w:hint="eastAsia"/>
          <w:color w:val="auto"/>
        </w:rPr>
        <w:t>参照</w:t>
      </w:r>
      <w:r>
        <w:rPr>
          <w:rFonts w:hint="eastAsia"/>
          <w:color w:val="auto"/>
          <w:lang w:val="en-US" w:eastAsia="zh-CN"/>
        </w:rPr>
        <w:t>生态环境部发布的</w:t>
      </w:r>
      <w:r>
        <w:rPr>
          <w:rFonts w:hint="eastAsia"/>
          <w:color w:val="auto"/>
        </w:rPr>
        <w:t>温室气体自愿减排项目方法学</w:t>
      </w:r>
      <w:r>
        <w:rPr>
          <w:rFonts w:hint="eastAsia"/>
          <w:color w:val="auto"/>
          <w:lang w:val="en-US" w:eastAsia="zh-CN"/>
        </w:rPr>
        <w:t>中</w:t>
      </w:r>
      <w:r>
        <w:rPr>
          <w:color w:val="auto"/>
        </w:rPr>
        <w:t>碳汇造林项目方法学</w:t>
      </w:r>
      <w:r>
        <w:rPr>
          <w:rFonts w:hint="eastAsia"/>
          <w:color w:val="auto"/>
          <w:lang w:val="en-US" w:eastAsia="zh-CN"/>
        </w:rPr>
        <w:t>进行核算；</w:t>
      </w:r>
    </w:p>
    <w:p>
      <w:pPr>
        <w:pStyle w:val="55"/>
        <w:numPr>
          <w:ilvl w:val="0"/>
          <w:numId w:val="27"/>
        </w:numPr>
      </w:pPr>
      <w:r>
        <w:rPr>
          <w:rFonts w:hint="eastAsia"/>
          <w:color w:val="auto"/>
        </w:rPr>
        <w:t>新建</w:t>
      </w:r>
      <w:r>
        <w:rPr>
          <w:rFonts w:hint="eastAsia"/>
          <w:color w:val="auto"/>
          <w:lang w:val="en-US" w:eastAsia="zh-CN"/>
        </w:rPr>
        <w:t>碳汇林</w:t>
      </w:r>
      <w:r>
        <w:rPr>
          <w:rFonts w:hint="eastAsia"/>
          <w:color w:val="auto"/>
        </w:rPr>
        <w:t>用于</w:t>
      </w:r>
      <w:r>
        <w:rPr>
          <w:rFonts w:hint="eastAsia"/>
          <w:color w:val="auto"/>
          <w:lang w:val="en-US" w:eastAsia="zh-CN"/>
        </w:rPr>
        <w:t>机关事业单位日常运营</w:t>
      </w:r>
      <w:r>
        <w:rPr>
          <w:rFonts w:hint="eastAsia"/>
          <w:color w:val="auto"/>
        </w:rPr>
        <w:t>碳中和之后，不得再作为</w:t>
      </w:r>
      <w:r>
        <w:rPr>
          <w:rFonts w:hint="eastAsia"/>
        </w:rPr>
        <w:t>温室气体自愿减排项目或者其他减排机制项目重复开发</w:t>
      </w:r>
      <w:r>
        <w:rPr>
          <w:rFonts w:hint="eastAsia"/>
          <w:lang w:eastAsia="zh-CN"/>
        </w:rPr>
        <w:t>，</w:t>
      </w:r>
      <w:r>
        <w:rPr>
          <w:rFonts w:hint="eastAsia"/>
          <w:lang w:val="en-US" w:eastAsia="zh-CN"/>
        </w:rPr>
        <w:t>也不可再用于开展其他活动项目的碳中和</w:t>
      </w:r>
      <w:r>
        <w:rPr>
          <w:rFonts w:hint="eastAsia"/>
        </w:rPr>
        <w:t>；</w:t>
      </w:r>
    </w:p>
    <w:p>
      <w:pPr>
        <w:pStyle w:val="55"/>
        <w:numPr>
          <w:ilvl w:val="0"/>
          <w:numId w:val="27"/>
        </w:numPr>
        <w:rPr>
          <w:color w:val="auto"/>
        </w:rPr>
      </w:pPr>
      <w:r>
        <w:rPr>
          <w:rFonts w:hint="eastAsia"/>
        </w:rPr>
        <w:t>政府机关事业单位应在公开渠道对外公示新建林业项目的地理位置、坐标范围、树种、造林面</w:t>
      </w:r>
      <w:r>
        <w:rPr>
          <w:rFonts w:hint="eastAsia"/>
          <w:color w:val="auto"/>
        </w:rPr>
        <w:t>积、造林和再造林计划、监测计划、碳汇量及其对应的时间段等信息</w:t>
      </w:r>
      <w:r>
        <w:rPr>
          <w:rFonts w:hint="eastAsia"/>
          <w:color w:val="auto"/>
          <w:lang w:eastAsia="zh-CN"/>
        </w:rPr>
        <w:t>；</w:t>
      </w:r>
    </w:p>
    <w:p>
      <w:pPr>
        <w:pStyle w:val="55"/>
        <w:numPr>
          <w:ilvl w:val="0"/>
          <w:numId w:val="27"/>
        </w:numPr>
        <w:rPr>
          <w:color w:val="auto"/>
        </w:rPr>
      </w:pPr>
      <w:r>
        <w:rPr>
          <w:rFonts w:hint="eastAsia"/>
          <w:color w:val="auto"/>
          <w:lang w:val="en-US" w:eastAsia="zh-CN"/>
        </w:rPr>
        <w:t>新建碳汇林抵消需</w:t>
      </w:r>
      <w:r>
        <w:rPr>
          <w:color w:val="auto"/>
        </w:rPr>
        <w:t>在</w:t>
      </w:r>
      <w:r>
        <w:rPr>
          <w:rFonts w:hint="eastAsia"/>
          <w:color w:val="auto"/>
          <w:lang w:val="en-US" w:eastAsia="zh-CN"/>
        </w:rPr>
        <w:t>机关事业单位日常运营碳排放产生</w:t>
      </w:r>
      <w:r>
        <w:rPr>
          <w:color w:val="auto"/>
        </w:rPr>
        <w:t>后</w:t>
      </w:r>
      <w:r>
        <w:rPr>
          <w:rFonts w:hint="eastAsia"/>
          <w:color w:val="auto"/>
          <w:lang w:val="en-US" w:eastAsia="zh-CN"/>
        </w:rPr>
        <w:t>30</w:t>
      </w:r>
      <w:r>
        <w:rPr>
          <w:color w:val="auto"/>
        </w:rPr>
        <w:t>年内完成。</w:t>
      </w:r>
    </w:p>
    <w:p>
      <w:pPr>
        <w:pStyle w:val="41"/>
        <w:spacing w:before="312" w:after="312"/>
      </w:pPr>
      <w:bookmarkStart w:id="112" w:name="_Toc25275"/>
      <w:bookmarkStart w:id="113" w:name="_Toc24951"/>
      <w:bookmarkStart w:id="114" w:name="_Toc5151"/>
      <w:bookmarkStart w:id="115" w:name="_Toc31095"/>
      <w:bookmarkStart w:id="116" w:name="_Toc24009"/>
      <w:bookmarkStart w:id="117" w:name="_Toc29166"/>
      <w:bookmarkStart w:id="118" w:name="_Toc30738"/>
      <w:bookmarkStart w:id="119" w:name="_Toc141734807"/>
      <w:r>
        <w:rPr>
          <w:rFonts w:hint="eastAsia"/>
        </w:rPr>
        <w:t>实现碳中和</w:t>
      </w:r>
      <w:bookmarkEnd w:id="112"/>
      <w:bookmarkEnd w:id="113"/>
      <w:bookmarkEnd w:id="114"/>
      <w:bookmarkEnd w:id="115"/>
      <w:bookmarkEnd w:id="116"/>
      <w:bookmarkEnd w:id="117"/>
      <w:bookmarkEnd w:id="118"/>
      <w:bookmarkEnd w:id="119"/>
    </w:p>
    <w:p>
      <w:pPr>
        <w:pStyle w:val="38"/>
        <w:spacing w:before="156" w:after="156"/>
      </w:pPr>
      <w:r>
        <w:rPr>
          <w:rFonts w:hint="eastAsia"/>
        </w:rPr>
        <w:t>基本要求</w:t>
      </w:r>
    </w:p>
    <w:p>
      <w:pPr>
        <w:pStyle w:val="20"/>
        <w:rPr>
          <w:rFonts w:hint="default" w:eastAsia="宋体"/>
          <w:lang w:val="en-US" w:eastAsia="zh-CN"/>
        </w:rPr>
      </w:pPr>
      <w:r>
        <w:rPr>
          <w:rFonts w:hint="eastAsia"/>
        </w:rPr>
        <w:t>机关事业单位应通过</w:t>
      </w:r>
      <w:r>
        <w:rPr>
          <w:rFonts w:hint="eastAsia"/>
          <w:color w:val="auto"/>
        </w:rPr>
        <w:t>自我承诺或委托第三方机构评价确定实现碳中和，确认机关事业单位碳中和实施过程按本文件执行</w:t>
      </w:r>
      <w:r>
        <w:rPr>
          <w:rFonts w:hint="eastAsia"/>
          <w:color w:val="auto"/>
          <w:lang w:eastAsia="zh-CN"/>
        </w:rPr>
        <w:t>，</w:t>
      </w:r>
      <w:r>
        <w:rPr>
          <w:rFonts w:hint="eastAsia"/>
          <w:color w:val="auto"/>
        </w:rPr>
        <w:t>自我承诺</w:t>
      </w:r>
      <w:r>
        <w:rPr>
          <w:rFonts w:hint="eastAsia"/>
          <w:color w:val="auto"/>
          <w:lang w:val="en-US" w:eastAsia="zh-CN"/>
        </w:rPr>
        <w:t>书</w:t>
      </w:r>
      <w:r>
        <w:rPr>
          <w:rFonts w:hint="eastAsia"/>
          <w:color w:val="auto"/>
        </w:rPr>
        <w:t>或第三方机构评价</w:t>
      </w:r>
      <w:r>
        <w:rPr>
          <w:rFonts w:hint="eastAsia"/>
          <w:color w:val="auto"/>
          <w:lang w:val="en-US" w:eastAsia="zh-CN"/>
        </w:rPr>
        <w:t>报告应提交包头市林业和草原局备案。</w:t>
      </w:r>
    </w:p>
    <w:p>
      <w:pPr>
        <w:pStyle w:val="38"/>
        <w:spacing w:before="156" w:after="156"/>
      </w:pPr>
      <w:r>
        <w:rPr>
          <w:rFonts w:hint="eastAsia"/>
        </w:rPr>
        <w:t>自我承诺实现碳中和</w:t>
      </w:r>
    </w:p>
    <w:p>
      <w:pPr>
        <w:pStyle w:val="42"/>
        <w:spacing w:before="156" w:after="156"/>
      </w:pPr>
      <w:r>
        <w:rPr>
          <w:rFonts w:hint="eastAsia"/>
        </w:rPr>
        <w:t>自我承诺适用范围</w:t>
      </w:r>
    </w:p>
    <w:p>
      <w:pPr>
        <w:pStyle w:val="20"/>
      </w:pPr>
      <w:r>
        <w:rPr>
          <w:rFonts w:hint="eastAsia"/>
        </w:rPr>
        <w:t>机关事业单位可采用自我承诺</w:t>
      </w:r>
      <w:r>
        <w:rPr>
          <w:rFonts w:hint="eastAsia"/>
          <w:lang w:val="en-US" w:eastAsia="zh-CN"/>
        </w:rPr>
        <w:t>方式实现日常运营碳中和</w:t>
      </w:r>
      <w:r>
        <w:rPr>
          <w:rFonts w:hint="eastAsia"/>
          <w:lang w:eastAsia="zh-CN"/>
        </w:rPr>
        <w:t>，</w:t>
      </w:r>
      <w:r>
        <w:rPr>
          <w:rFonts w:hint="eastAsia"/>
          <w:lang w:val="en-US" w:eastAsia="zh-CN"/>
        </w:rPr>
        <w:t>自我承诺适用范围包括：</w:t>
      </w:r>
    </w:p>
    <w:p>
      <w:pPr>
        <w:pStyle w:val="55"/>
        <w:numPr>
          <w:ilvl w:val="0"/>
          <w:numId w:val="28"/>
        </w:numPr>
      </w:pPr>
      <w:r>
        <w:rPr>
          <w:rFonts w:hint="eastAsia"/>
          <w:lang w:val="en-US" w:eastAsia="zh-CN"/>
        </w:rPr>
        <w:t>购买包头林草碳票</w:t>
      </w:r>
      <w:r>
        <w:rPr>
          <w:rFonts w:hint="eastAsia"/>
        </w:rPr>
        <w:t>进行抵消</w:t>
      </w:r>
      <w:r>
        <w:rPr>
          <w:rFonts w:hint="eastAsia"/>
          <w:lang w:eastAsia="zh-CN"/>
        </w:rPr>
        <w:t>；</w:t>
      </w:r>
    </w:p>
    <w:p>
      <w:pPr>
        <w:pStyle w:val="55"/>
        <w:numPr>
          <w:ilvl w:val="0"/>
          <w:numId w:val="28"/>
        </w:numPr>
      </w:pPr>
      <w:r>
        <w:rPr>
          <w:rFonts w:hint="eastAsia"/>
        </w:rPr>
        <w:t>购买碳汇类碳信用进行抵消；</w:t>
      </w:r>
    </w:p>
    <w:p>
      <w:pPr>
        <w:pStyle w:val="55"/>
        <w:numPr>
          <w:ilvl w:val="0"/>
          <w:numId w:val="28"/>
        </w:numPr>
      </w:pPr>
      <w:r>
        <w:rPr>
          <w:rFonts w:hint="eastAsia"/>
        </w:rPr>
        <w:t>购买包头林草碳票</w:t>
      </w:r>
      <w:r>
        <w:rPr>
          <w:rFonts w:hint="eastAsia"/>
          <w:lang w:val="en-US" w:eastAsia="zh-CN"/>
        </w:rPr>
        <w:t>和</w:t>
      </w:r>
      <w:r>
        <w:rPr>
          <w:rFonts w:hint="eastAsia"/>
        </w:rPr>
        <w:t>碳汇类碳信用共同进行抵消</w:t>
      </w:r>
      <w:r>
        <w:rPr>
          <w:rFonts w:hint="eastAsia"/>
          <w:lang w:eastAsia="zh-CN"/>
        </w:rPr>
        <w:t>。</w:t>
      </w:r>
    </w:p>
    <w:p>
      <w:pPr>
        <w:pStyle w:val="42"/>
        <w:spacing w:before="156" w:after="156"/>
      </w:pPr>
      <w:r>
        <w:rPr>
          <w:rFonts w:hint="eastAsia"/>
        </w:rPr>
        <w:t>自我承诺</w:t>
      </w:r>
      <w:r>
        <w:rPr>
          <w:rFonts w:hint="eastAsia"/>
          <w:lang w:val="en-US" w:eastAsia="zh-CN"/>
        </w:rPr>
        <w:t>书</w:t>
      </w:r>
      <w:r>
        <w:rPr>
          <w:rFonts w:hint="eastAsia"/>
        </w:rPr>
        <w:t>内容</w:t>
      </w:r>
    </w:p>
    <w:p>
      <w:pPr>
        <w:pStyle w:val="20"/>
      </w:pPr>
      <w:r>
        <w:rPr>
          <w:rFonts w:hint="eastAsia"/>
        </w:rPr>
        <w:t>机关事业单位自我承诺</w:t>
      </w:r>
      <w:r>
        <w:rPr>
          <w:rFonts w:hint="eastAsia"/>
          <w:lang w:val="en-US" w:eastAsia="zh-CN"/>
        </w:rPr>
        <w:t>书内容</w:t>
      </w:r>
      <w:r>
        <w:rPr>
          <w:rFonts w:hint="eastAsia"/>
        </w:rPr>
        <w:t>应包含但不限于以下内容：</w:t>
      </w:r>
    </w:p>
    <w:p>
      <w:pPr>
        <w:pStyle w:val="55"/>
        <w:numPr>
          <w:ilvl w:val="0"/>
          <w:numId w:val="29"/>
        </w:numPr>
      </w:pPr>
      <w:r>
        <w:rPr>
          <w:rFonts w:hint="eastAsia"/>
        </w:rPr>
        <w:t>机关事业单位基本信息；</w:t>
      </w:r>
    </w:p>
    <w:p>
      <w:pPr>
        <w:pStyle w:val="55"/>
        <w:numPr>
          <w:ilvl w:val="0"/>
          <w:numId w:val="29"/>
        </w:numPr>
      </w:pPr>
      <w:r>
        <w:rPr>
          <w:rFonts w:hint="eastAsia"/>
        </w:rPr>
        <w:t>机关事业单位</w:t>
      </w:r>
      <w:r>
        <w:rPr>
          <w:rFonts w:hint="eastAsia"/>
          <w:lang w:val="en-US" w:eastAsia="zh-CN"/>
        </w:rPr>
        <w:t>碳</w:t>
      </w:r>
      <w:r>
        <w:rPr>
          <w:rFonts w:hint="eastAsia"/>
        </w:rPr>
        <w:t>核算边界；</w:t>
      </w:r>
    </w:p>
    <w:p>
      <w:pPr>
        <w:pStyle w:val="55"/>
        <w:numPr>
          <w:ilvl w:val="0"/>
          <w:numId w:val="29"/>
        </w:numPr>
      </w:pPr>
      <w:r>
        <w:rPr>
          <w:rFonts w:hint="eastAsia"/>
        </w:rPr>
        <w:t>机关事业单位</w:t>
      </w:r>
      <w:r>
        <w:rPr>
          <w:rFonts w:hint="eastAsia"/>
          <w:lang w:val="en-US" w:eastAsia="zh-CN"/>
        </w:rPr>
        <w:t>碳排放</w:t>
      </w:r>
      <w:r>
        <w:rPr>
          <w:rFonts w:hint="eastAsia"/>
        </w:rPr>
        <w:t>核算方法及</w:t>
      </w:r>
      <w:r>
        <w:rPr>
          <w:rFonts w:hint="eastAsia"/>
          <w:lang w:val="en-US" w:eastAsia="zh-CN"/>
        </w:rPr>
        <w:t>碳</w:t>
      </w:r>
      <w:r>
        <w:rPr>
          <w:rFonts w:hint="eastAsia"/>
        </w:rPr>
        <w:t>排放量；</w:t>
      </w:r>
    </w:p>
    <w:p>
      <w:pPr>
        <w:pStyle w:val="55"/>
        <w:numPr>
          <w:ilvl w:val="0"/>
          <w:numId w:val="29"/>
        </w:numPr>
      </w:pPr>
      <w:r>
        <w:rPr>
          <w:rFonts w:hint="eastAsia"/>
        </w:rPr>
        <w:t>碳中和覆盖的时间段（年份）；</w:t>
      </w:r>
    </w:p>
    <w:p>
      <w:pPr>
        <w:pStyle w:val="55"/>
        <w:numPr>
          <w:ilvl w:val="0"/>
          <w:numId w:val="29"/>
        </w:numPr>
      </w:pPr>
      <w:r>
        <w:rPr>
          <w:rFonts w:hint="eastAsia"/>
        </w:rPr>
        <w:t>实践的控排降碳措施；</w:t>
      </w:r>
    </w:p>
    <w:p>
      <w:pPr>
        <w:pStyle w:val="55"/>
        <w:numPr>
          <w:ilvl w:val="0"/>
          <w:numId w:val="29"/>
        </w:numPr>
      </w:pPr>
      <w:r>
        <w:rPr>
          <w:rFonts w:hint="eastAsia"/>
        </w:rPr>
        <w:t>碳中和方式；</w:t>
      </w:r>
    </w:p>
    <w:p>
      <w:pPr>
        <w:pStyle w:val="55"/>
        <w:numPr>
          <w:ilvl w:val="0"/>
          <w:numId w:val="29"/>
        </w:numPr>
      </w:pPr>
      <w:r>
        <w:rPr>
          <w:rFonts w:hint="eastAsia"/>
        </w:rPr>
        <w:t>碳中和抵消量；</w:t>
      </w:r>
    </w:p>
    <w:p>
      <w:pPr>
        <w:pStyle w:val="55"/>
        <w:numPr>
          <w:ilvl w:val="0"/>
          <w:numId w:val="29"/>
        </w:numPr>
      </w:pPr>
      <w:r>
        <w:rPr>
          <w:rFonts w:hint="eastAsia"/>
        </w:rPr>
        <w:t>碳中和结论。</w:t>
      </w:r>
    </w:p>
    <w:p>
      <w:pPr>
        <w:pStyle w:val="42"/>
        <w:spacing w:before="156" w:after="156"/>
      </w:pPr>
      <w:r>
        <w:rPr>
          <w:rFonts w:hint="eastAsia"/>
        </w:rPr>
        <w:t>自我承诺</w:t>
      </w:r>
      <w:r>
        <w:rPr>
          <w:rFonts w:hint="eastAsia"/>
          <w:lang w:val="en-US" w:eastAsia="zh-CN"/>
        </w:rPr>
        <w:t>书</w:t>
      </w:r>
      <w:r>
        <w:rPr>
          <w:rFonts w:hint="eastAsia"/>
        </w:rPr>
        <w:t>发布渠道</w:t>
      </w:r>
    </w:p>
    <w:p>
      <w:pPr>
        <w:pStyle w:val="20"/>
      </w:pPr>
      <w:r>
        <w:rPr>
          <w:rFonts w:hint="eastAsia"/>
        </w:rPr>
        <w:t>机关事业单位日常运营碳中和自我承诺</w:t>
      </w:r>
      <w:r>
        <w:rPr>
          <w:rFonts w:hint="eastAsia"/>
          <w:lang w:val="en-US" w:eastAsia="zh-CN"/>
        </w:rPr>
        <w:t>书</w:t>
      </w:r>
      <w:r>
        <w:rPr>
          <w:rFonts w:hint="eastAsia"/>
        </w:rPr>
        <w:t>的发布渠道包括但不限于以下几个方面：</w:t>
      </w:r>
    </w:p>
    <w:p>
      <w:pPr>
        <w:pStyle w:val="55"/>
        <w:numPr>
          <w:ilvl w:val="0"/>
          <w:numId w:val="30"/>
        </w:numPr>
        <w:rPr>
          <w:color w:val="auto"/>
        </w:rPr>
      </w:pPr>
      <w:r>
        <w:rPr>
          <w:rFonts w:hint="eastAsia"/>
          <w:color w:val="auto"/>
        </w:rPr>
        <w:t>机关事业单位官方网站；</w:t>
      </w:r>
    </w:p>
    <w:p>
      <w:pPr>
        <w:pStyle w:val="55"/>
        <w:numPr>
          <w:ilvl w:val="0"/>
          <w:numId w:val="30"/>
        </w:numPr>
        <w:rPr>
          <w:color w:val="auto"/>
        </w:rPr>
      </w:pPr>
      <w:r>
        <w:rPr>
          <w:rFonts w:hint="eastAsia"/>
          <w:color w:val="auto"/>
        </w:rPr>
        <w:t>机关事业单位微信公众号；</w:t>
      </w:r>
    </w:p>
    <w:p>
      <w:pPr>
        <w:pStyle w:val="55"/>
        <w:numPr>
          <w:ilvl w:val="0"/>
          <w:numId w:val="30"/>
        </w:numPr>
        <w:rPr>
          <w:color w:val="auto"/>
        </w:rPr>
      </w:pPr>
      <w:r>
        <w:rPr>
          <w:rFonts w:hint="eastAsia"/>
          <w:color w:val="auto"/>
        </w:rPr>
        <w:t>包头市林业和草原局官方网站</w:t>
      </w:r>
      <w:r>
        <w:rPr>
          <w:rFonts w:hint="eastAsia"/>
          <w:color w:val="auto"/>
          <w:lang w:eastAsia="zh-CN"/>
        </w:rPr>
        <w:t>；</w:t>
      </w:r>
    </w:p>
    <w:p>
      <w:pPr>
        <w:pStyle w:val="55"/>
        <w:numPr>
          <w:ilvl w:val="0"/>
          <w:numId w:val="30"/>
        </w:numPr>
        <w:rPr>
          <w:color w:val="auto"/>
        </w:rPr>
      </w:pPr>
      <w:r>
        <w:rPr>
          <w:rFonts w:hint="eastAsia"/>
          <w:color w:val="auto"/>
          <w:lang w:val="en-US" w:eastAsia="zh-CN"/>
        </w:rPr>
        <w:t>包头市机关事务管理局官方网站。</w:t>
      </w:r>
    </w:p>
    <w:p>
      <w:pPr>
        <w:pStyle w:val="38"/>
        <w:spacing w:before="156" w:after="156"/>
      </w:pPr>
      <w:r>
        <w:rPr>
          <w:rFonts w:hint="eastAsia"/>
        </w:rPr>
        <w:t>第三方机构评价实现碳中和</w:t>
      </w:r>
    </w:p>
    <w:p>
      <w:pPr>
        <w:pStyle w:val="42"/>
        <w:spacing w:before="156" w:after="156"/>
        <w:rPr>
          <w:color w:val="auto"/>
        </w:rPr>
      </w:pPr>
      <w:r>
        <w:rPr>
          <w:rFonts w:hint="eastAsia"/>
          <w:color w:val="auto"/>
        </w:rPr>
        <w:t>评</w:t>
      </w:r>
      <w:r>
        <w:rPr>
          <w:rFonts w:hint="eastAsia"/>
          <w:color w:val="auto"/>
          <w:lang w:val="en-US" w:eastAsia="zh-CN"/>
        </w:rPr>
        <w:t>价</w:t>
      </w:r>
      <w:r>
        <w:rPr>
          <w:rFonts w:hint="eastAsia"/>
          <w:color w:val="auto"/>
        </w:rPr>
        <w:t>适用范围</w:t>
      </w:r>
    </w:p>
    <w:p>
      <w:pPr>
        <w:pStyle w:val="20"/>
      </w:pPr>
      <w:r>
        <w:rPr>
          <w:rFonts w:hint="eastAsia"/>
        </w:rPr>
        <w:t>机关事业单位可采用委托第三方机构</w:t>
      </w:r>
      <w:r>
        <w:rPr>
          <w:rFonts w:hint="eastAsia"/>
          <w:lang w:val="en-US" w:eastAsia="zh-CN"/>
        </w:rPr>
        <w:t>评价的方式实现日常运营碳中和</w:t>
      </w:r>
      <w:r>
        <w:rPr>
          <w:rFonts w:hint="eastAsia"/>
          <w:lang w:eastAsia="zh-CN"/>
        </w:rPr>
        <w:t>，</w:t>
      </w:r>
      <w:r>
        <w:rPr>
          <w:rFonts w:hint="eastAsia"/>
          <w:lang w:val="en-US" w:eastAsia="zh-CN"/>
        </w:rPr>
        <w:t>第三方机构评价适用范围包括：</w:t>
      </w:r>
    </w:p>
    <w:p>
      <w:pPr>
        <w:pStyle w:val="55"/>
        <w:numPr>
          <w:ilvl w:val="0"/>
          <w:numId w:val="31"/>
        </w:numPr>
        <w:bidi w:val="0"/>
        <w:ind w:left="839" w:leftChars="0" w:hanging="419" w:firstLineChars="0"/>
      </w:pPr>
      <w:r>
        <w:rPr>
          <w:rFonts w:hint="eastAsia"/>
          <w:lang w:val="en-US" w:eastAsia="zh-CN"/>
        </w:rPr>
        <w:t>购买包头林草碳票进行抵</w:t>
      </w:r>
      <w:r>
        <w:rPr>
          <w:rFonts w:hint="eastAsia"/>
        </w:rPr>
        <w:t>消</w:t>
      </w:r>
      <w:r>
        <w:rPr>
          <w:rFonts w:hint="eastAsia"/>
          <w:lang w:val="en-US" w:eastAsia="zh-CN"/>
        </w:rPr>
        <w:t>；</w:t>
      </w:r>
    </w:p>
    <w:p>
      <w:pPr>
        <w:pStyle w:val="55"/>
        <w:bidi w:val="0"/>
      </w:pPr>
      <w:r>
        <w:rPr>
          <w:rFonts w:hint="eastAsia"/>
        </w:rPr>
        <w:t>购买碳汇类碳信用进行抵消；</w:t>
      </w:r>
    </w:p>
    <w:p>
      <w:pPr>
        <w:pStyle w:val="55"/>
        <w:bidi w:val="0"/>
      </w:pPr>
      <w:r>
        <w:rPr>
          <w:rFonts w:hint="eastAsia"/>
        </w:rPr>
        <w:t>新建碳汇林进行抵消；</w:t>
      </w:r>
    </w:p>
    <w:p>
      <w:pPr>
        <w:pStyle w:val="55"/>
        <w:bidi w:val="0"/>
      </w:pPr>
      <w:r>
        <w:rPr>
          <w:rFonts w:hint="eastAsia"/>
        </w:rPr>
        <w:t>购买包头林草碳票</w:t>
      </w:r>
      <w:r>
        <w:rPr>
          <w:rFonts w:hint="eastAsia"/>
          <w:lang w:val="en-US" w:eastAsia="zh-CN"/>
        </w:rPr>
        <w:t>和</w:t>
      </w:r>
      <w:r>
        <w:rPr>
          <w:rFonts w:hint="eastAsia"/>
        </w:rPr>
        <w:t>碳汇类碳信用共同进行抵消；</w:t>
      </w:r>
    </w:p>
    <w:p>
      <w:pPr>
        <w:pStyle w:val="55"/>
        <w:bidi w:val="0"/>
      </w:pPr>
      <w:r>
        <w:rPr>
          <w:rFonts w:hint="eastAsia"/>
        </w:rPr>
        <w:t>购买包头林草碳票和新建碳汇林共同进行抵消；</w:t>
      </w:r>
    </w:p>
    <w:p>
      <w:pPr>
        <w:pStyle w:val="55"/>
        <w:bidi w:val="0"/>
      </w:pPr>
      <w:r>
        <w:rPr>
          <w:rFonts w:hint="eastAsia"/>
        </w:rPr>
        <w:t>购买碳汇类碳信用和新建碳汇林共同进行抵消；</w:t>
      </w:r>
    </w:p>
    <w:p>
      <w:pPr>
        <w:pStyle w:val="55"/>
        <w:bidi w:val="0"/>
      </w:pPr>
      <w:r>
        <w:rPr>
          <w:rFonts w:hint="eastAsia"/>
        </w:rPr>
        <w:t>购买包头林草碳票</w:t>
      </w:r>
      <w:r>
        <w:rPr>
          <w:rFonts w:hint="eastAsia"/>
          <w:lang w:val="en-US" w:eastAsia="zh-CN"/>
        </w:rPr>
        <w:t>和</w:t>
      </w:r>
      <w:r>
        <w:rPr>
          <w:rFonts w:hint="eastAsia"/>
        </w:rPr>
        <w:t>碳汇类碳信用</w:t>
      </w:r>
      <w:r>
        <w:rPr>
          <w:rFonts w:hint="eastAsia"/>
          <w:lang w:eastAsia="zh-CN"/>
        </w:rPr>
        <w:t>、</w:t>
      </w:r>
      <w:r>
        <w:rPr>
          <w:rFonts w:hint="eastAsia"/>
        </w:rPr>
        <w:t>新建碳汇林共同进行抵消。</w:t>
      </w:r>
    </w:p>
    <w:p>
      <w:pPr>
        <w:pStyle w:val="42"/>
        <w:spacing w:before="156" w:after="156"/>
        <w:rPr>
          <w:color w:val="auto"/>
        </w:rPr>
      </w:pPr>
      <w:r>
        <w:rPr>
          <w:rFonts w:hint="eastAsia"/>
          <w:color w:val="auto"/>
        </w:rPr>
        <w:t>评</w:t>
      </w:r>
      <w:r>
        <w:rPr>
          <w:rFonts w:hint="eastAsia"/>
          <w:color w:val="auto"/>
          <w:lang w:val="en-US" w:eastAsia="zh-CN"/>
        </w:rPr>
        <w:t>价</w:t>
      </w:r>
      <w:r>
        <w:rPr>
          <w:rFonts w:hint="eastAsia"/>
          <w:color w:val="auto"/>
        </w:rPr>
        <w:t>内容</w:t>
      </w:r>
    </w:p>
    <w:p>
      <w:pPr>
        <w:pStyle w:val="20"/>
      </w:pPr>
      <w:r>
        <w:rPr>
          <w:rFonts w:hint="eastAsia"/>
        </w:rPr>
        <w:t>机关事业单位通过委托第三方机构进行碳中和评价，第三方机构对碳中和评价的真实性、准确性负责，评价报告应包含但不限于以下内容：</w:t>
      </w:r>
    </w:p>
    <w:p>
      <w:pPr>
        <w:pStyle w:val="55"/>
        <w:numPr>
          <w:ilvl w:val="0"/>
          <w:numId w:val="32"/>
        </w:numPr>
      </w:pPr>
      <w:r>
        <w:rPr>
          <w:rFonts w:hint="eastAsia"/>
        </w:rPr>
        <w:t>评价的主体基本信息、评价边界、评价范围；</w:t>
      </w:r>
    </w:p>
    <w:p>
      <w:pPr>
        <w:pStyle w:val="55"/>
        <w:numPr>
          <w:ilvl w:val="0"/>
          <w:numId w:val="32"/>
        </w:numPr>
      </w:pPr>
      <w:r>
        <w:rPr>
          <w:rFonts w:hint="eastAsia"/>
        </w:rPr>
        <w:t>评价的流程及方法；</w:t>
      </w:r>
    </w:p>
    <w:p>
      <w:pPr>
        <w:pStyle w:val="55"/>
        <w:numPr>
          <w:ilvl w:val="0"/>
          <w:numId w:val="32"/>
        </w:numPr>
      </w:pPr>
      <w:r>
        <w:rPr>
          <w:rFonts w:hint="eastAsia"/>
        </w:rPr>
        <w:t>评价的内容，具体包括机关事业单位碳排放数据核算、控排降碳措施、碳中和方式等；</w:t>
      </w:r>
    </w:p>
    <w:p>
      <w:pPr>
        <w:pStyle w:val="55"/>
        <w:numPr>
          <w:ilvl w:val="0"/>
          <w:numId w:val="32"/>
        </w:numPr>
      </w:pPr>
      <w:r>
        <w:rPr>
          <w:rFonts w:hint="eastAsia"/>
        </w:rPr>
        <w:t>评价的结论。</w:t>
      </w:r>
    </w:p>
    <w:p>
      <w:pPr>
        <w:pStyle w:val="94"/>
      </w:pPr>
    </w:p>
    <w:p>
      <w:pPr>
        <w:pStyle w:val="82"/>
      </w:pPr>
    </w:p>
    <w:p>
      <w:pPr>
        <w:pStyle w:val="80"/>
      </w:pPr>
      <w:bookmarkStart w:id="120" w:name="_Toc20188"/>
      <w:bookmarkStart w:id="121" w:name="_Toc4116"/>
      <w:bookmarkStart w:id="122" w:name="_Toc29374"/>
      <w:bookmarkStart w:id="123" w:name="_Toc2725"/>
      <w:bookmarkStart w:id="124" w:name="_Toc6751"/>
      <w:bookmarkStart w:id="125" w:name="_Toc27160"/>
      <w:bookmarkStart w:id="126" w:name="_Toc9838"/>
      <w:r>
        <w:br w:type="textWrapping"/>
      </w:r>
      <w:bookmarkStart w:id="127" w:name="_Toc141734808"/>
      <w:r>
        <w:rPr>
          <w:rFonts w:hint="eastAsia"/>
        </w:rPr>
        <w:t>（资料性）</w:t>
      </w:r>
      <w:r>
        <w:br w:type="textWrapping"/>
      </w:r>
      <w:r>
        <w:rPr>
          <w:rFonts w:hint="eastAsia"/>
        </w:rPr>
        <w:t>机关事业单位日常运营控排降碳路径</w:t>
      </w:r>
      <w:bookmarkEnd w:id="120"/>
      <w:bookmarkEnd w:id="121"/>
      <w:bookmarkEnd w:id="122"/>
      <w:bookmarkEnd w:id="123"/>
      <w:bookmarkEnd w:id="124"/>
      <w:bookmarkEnd w:id="125"/>
      <w:bookmarkEnd w:id="126"/>
      <w:bookmarkEnd w:id="127"/>
    </w:p>
    <w:p>
      <w:pPr>
        <w:pStyle w:val="83"/>
        <w:spacing w:before="156" w:after="156"/>
      </w:pPr>
      <w:bookmarkStart w:id="128" w:name="_Toc131511337"/>
      <w:r>
        <w:rPr>
          <w:rFonts w:hint="eastAsia"/>
        </w:rPr>
        <w:t>机关事业单位日常运营控排降碳的路径</w:t>
      </w:r>
      <w:bookmarkEnd w:id="128"/>
    </w:p>
    <w:tbl>
      <w:tblPr>
        <w:tblStyle w:val="2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984"/>
        <w:gridCol w:w="591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tcBorders>
              <w:top w:val="single" w:color="auto" w:sz="8" w:space="0"/>
              <w:bottom w:val="single" w:color="auto" w:sz="8" w:space="0"/>
            </w:tcBorders>
            <w:noWrap/>
          </w:tcPr>
          <w:p>
            <w:pPr>
              <w:jc w:val="center"/>
              <w:rPr>
                <w:rFonts w:ascii="宋体"/>
                <w:sz w:val="18"/>
              </w:rPr>
            </w:pPr>
            <w:r>
              <w:rPr>
                <w:rFonts w:hint="eastAsia" w:ascii="宋体"/>
                <w:sz w:val="18"/>
              </w:rPr>
              <w:t>类别</w:t>
            </w:r>
          </w:p>
        </w:tc>
        <w:tc>
          <w:tcPr>
            <w:tcW w:w="1984" w:type="dxa"/>
            <w:tcBorders>
              <w:top w:val="single" w:color="auto" w:sz="8" w:space="0"/>
              <w:bottom w:val="single" w:color="auto" w:sz="8" w:space="0"/>
            </w:tcBorders>
            <w:noWrap/>
          </w:tcPr>
          <w:p>
            <w:pPr>
              <w:jc w:val="center"/>
              <w:rPr>
                <w:rFonts w:ascii="宋体"/>
                <w:sz w:val="18"/>
              </w:rPr>
            </w:pPr>
            <w:r>
              <w:rPr>
                <w:rFonts w:hint="eastAsia" w:ascii="宋体"/>
                <w:sz w:val="18"/>
              </w:rPr>
              <w:t>类型</w:t>
            </w:r>
          </w:p>
        </w:tc>
        <w:tc>
          <w:tcPr>
            <w:tcW w:w="5918" w:type="dxa"/>
            <w:tcBorders>
              <w:top w:val="single" w:color="auto" w:sz="8" w:space="0"/>
              <w:bottom w:val="single" w:color="auto" w:sz="8" w:space="0"/>
            </w:tcBorders>
            <w:noWrap/>
          </w:tcPr>
          <w:p>
            <w:pPr>
              <w:jc w:val="center"/>
              <w:rPr>
                <w:rFonts w:ascii="宋体"/>
                <w:sz w:val="18"/>
              </w:rPr>
            </w:pPr>
            <w:r>
              <w:rPr>
                <w:rFonts w:hint="eastAsia" w:ascii="宋体"/>
                <w:sz w:val="18"/>
              </w:rPr>
              <w:t>范围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restart"/>
            <w:tcBorders>
              <w:top w:val="single" w:color="auto" w:sz="8" w:space="0"/>
            </w:tcBorders>
            <w:noWrap/>
            <w:vAlign w:val="center"/>
          </w:tcPr>
          <w:p>
            <w:pPr>
              <w:jc w:val="left"/>
              <w:rPr>
                <w:rFonts w:ascii="宋体" w:hAnsi="宋体"/>
                <w:bCs/>
                <w:kern w:val="44"/>
                <w:sz w:val="18"/>
                <w:szCs w:val="44"/>
              </w:rPr>
            </w:pPr>
            <w:r>
              <w:rPr>
                <w:rFonts w:hint="eastAsia" w:ascii="宋体" w:hAnsi="宋体"/>
                <w:bCs/>
                <w:kern w:val="44"/>
                <w:sz w:val="18"/>
                <w:szCs w:val="44"/>
              </w:rPr>
              <w:t>绿色办公</w:t>
            </w:r>
          </w:p>
        </w:tc>
        <w:tc>
          <w:tcPr>
            <w:tcW w:w="1984" w:type="dxa"/>
            <w:tcBorders>
              <w:top w:val="single" w:color="auto" w:sz="8" w:space="0"/>
            </w:tcBorders>
            <w:noWrap/>
            <w:vAlign w:val="center"/>
          </w:tcPr>
          <w:p>
            <w:pPr>
              <w:ind w:firstLine="180" w:firstLineChars="100"/>
              <w:jc w:val="center"/>
              <w:rPr>
                <w:rFonts w:ascii="宋体" w:hAnsi="宋体"/>
                <w:bCs/>
                <w:kern w:val="44"/>
                <w:sz w:val="18"/>
                <w:szCs w:val="44"/>
              </w:rPr>
            </w:pPr>
            <w:r>
              <w:rPr>
                <w:rFonts w:hint="eastAsia" w:ascii="宋体" w:hAnsi="宋体"/>
                <w:bCs/>
                <w:kern w:val="44"/>
                <w:sz w:val="18"/>
                <w:szCs w:val="44"/>
              </w:rPr>
              <w:t>无纸化</w:t>
            </w:r>
          </w:p>
        </w:tc>
        <w:tc>
          <w:tcPr>
            <w:tcW w:w="5918" w:type="dxa"/>
            <w:tcBorders>
              <w:top w:val="single" w:color="auto" w:sz="8" w:space="0"/>
            </w:tcBorders>
            <w:noWrap/>
          </w:tcPr>
          <w:p>
            <w:pPr>
              <w:ind w:firstLine="180" w:firstLineChars="100"/>
              <w:jc w:val="left"/>
              <w:rPr>
                <w:rFonts w:ascii="宋体" w:hAnsi="宋体"/>
                <w:b/>
                <w:bCs/>
                <w:kern w:val="44"/>
                <w:sz w:val="18"/>
                <w:szCs w:val="44"/>
              </w:rPr>
            </w:pPr>
            <w:r>
              <w:rPr>
                <w:rFonts w:hint="eastAsia" w:ascii="宋体" w:hAnsi="宋体"/>
                <w:sz w:val="18"/>
              </w:rPr>
              <w:t>日常办公</w:t>
            </w:r>
            <w:r>
              <w:rPr>
                <w:rFonts w:ascii="宋体" w:hAnsi="宋体"/>
                <w:sz w:val="18"/>
              </w:rPr>
              <w:t>无纸化</w:t>
            </w:r>
            <w:r>
              <w:rPr>
                <w:rFonts w:hint="eastAsia" w:ascii="宋体" w:hAnsi="宋体"/>
                <w:sz w:val="18"/>
              </w:rPr>
              <w:t>、会议无纸化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continue"/>
            <w:noWrap/>
            <w:vAlign w:val="center"/>
          </w:tcPr>
          <w:p>
            <w:pPr>
              <w:jc w:val="left"/>
              <w:rPr>
                <w:rFonts w:ascii="宋体"/>
                <w:sz w:val="18"/>
              </w:rPr>
            </w:pPr>
          </w:p>
        </w:tc>
        <w:tc>
          <w:tcPr>
            <w:tcW w:w="1984" w:type="dxa"/>
            <w:noWrap/>
            <w:vAlign w:val="center"/>
          </w:tcPr>
          <w:p>
            <w:pPr>
              <w:ind w:firstLine="180" w:firstLineChars="100"/>
              <w:jc w:val="center"/>
              <w:rPr>
                <w:rFonts w:ascii="宋体" w:hAnsi="宋体"/>
                <w:bCs/>
                <w:kern w:val="44"/>
                <w:sz w:val="18"/>
                <w:szCs w:val="44"/>
              </w:rPr>
            </w:pPr>
            <w:r>
              <w:rPr>
                <w:rFonts w:hint="eastAsia" w:ascii="宋体" w:hAnsi="宋体"/>
                <w:bCs/>
                <w:kern w:val="44"/>
                <w:sz w:val="18"/>
                <w:szCs w:val="44"/>
              </w:rPr>
              <w:t>减纸化</w:t>
            </w:r>
          </w:p>
        </w:tc>
        <w:tc>
          <w:tcPr>
            <w:tcW w:w="5918" w:type="dxa"/>
            <w:noWrap/>
          </w:tcPr>
          <w:p>
            <w:pPr>
              <w:ind w:firstLine="180" w:firstLineChars="100"/>
              <w:jc w:val="left"/>
              <w:rPr>
                <w:rFonts w:ascii="宋体" w:hAnsi="宋体"/>
                <w:sz w:val="18"/>
              </w:rPr>
            </w:pPr>
            <w:r>
              <w:rPr>
                <w:rFonts w:hint="eastAsia" w:ascii="宋体" w:hAnsi="宋体"/>
                <w:sz w:val="18"/>
              </w:rPr>
              <w:t>文件材料使用双面打印、废旧纸张再利用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continue"/>
            <w:noWrap/>
            <w:vAlign w:val="center"/>
          </w:tcPr>
          <w:p>
            <w:pPr>
              <w:jc w:val="left"/>
              <w:rPr>
                <w:rFonts w:ascii="宋体"/>
                <w:sz w:val="18"/>
              </w:rPr>
            </w:pPr>
          </w:p>
        </w:tc>
        <w:tc>
          <w:tcPr>
            <w:tcW w:w="1984" w:type="dxa"/>
            <w:noWrap/>
            <w:vAlign w:val="center"/>
          </w:tcPr>
          <w:p>
            <w:pPr>
              <w:ind w:firstLine="180" w:firstLineChars="100"/>
              <w:jc w:val="center"/>
              <w:rPr>
                <w:rFonts w:ascii="宋体" w:hAnsi="宋体"/>
                <w:bCs/>
                <w:kern w:val="44"/>
                <w:sz w:val="18"/>
                <w:szCs w:val="44"/>
              </w:rPr>
            </w:pPr>
            <w:r>
              <w:rPr>
                <w:rFonts w:hint="eastAsia" w:ascii="宋体" w:hAnsi="宋体"/>
                <w:bCs/>
                <w:kern w:val="44"/>
                <w:sz w:val="18"/>
                <w:szCs w:val="44"/>
              </w:rPr>
              <w:t>共享办公</w:t>
            </w:r>
          </w:p>
        </w:tc>
        <w:tc>
          <w:tcPr>
            <w:tcW w:w="5918" w:type="dxa"/>
            <w:noWrap/>
          </w:tcPr>
          <w:p>
            <w:pPr>
              <w:ind w:firstLine="180" w:firstLineChars="100"/>
              <w:jc w:val="left"/>
              <w:rPr>
                <w:rFonts w:ascii="宋体" w:hAnsi="宋体"/>
                <w:sz w:val="18"/>
              </w:rPr>
            </w:pPr>
            <w:r>
              <w:rPr>
                <w:rFonts w:ascii="宋体" w:hAnsi="宋体"/>
                <w:sz w:val="18"/>
              </w:rPr>
              <w:t>共享办公</w:t>
            </w:r>
            <w:r>
              <w:rPr>
                <w:rFonts w:hint="eastAsia" w:ascii="宋体" w:hAnsi="宋体"/>
                <w:sz w:val="18"/>
              </w:rPr>
              <w:t>包括</w:t>
            </w:r>
            <w:r>
              <w:rPr>
                <w:rFonts w:ascii="宋体" w:hAnsi="宋体"/>
                <w:sz w:val="18"/>
              </w:rPr>
              <w:t>空间共享</w:t>
            </w:r>
            <w:r>
              <w:rPr>
                <w:rFonts w:hint="eastAsia" w:ascii="宋体" w:hAnsi="宋体"/>
                <w:sz w:val="18"/>
              </w:rPr>
              <w:t>、</w:t>
            </w:r>
            <w:r>
              <w:rPr>
                <w:rFonts w:ascii="宋体" w:hAnsi="宋体"/>
                <w:sz w:val="18"/>
              </w:rPr>
              <w:t>办公设施共享</w:t>
            </w:r>
            <w:r>
              <w:rPr>
                <w:rFonts w:hint="eastAsia" w:ascii="宋体" w:hAnsi="宋体"/>
                <w:sz w:val="18"/>
              </w:rPr>
              <w:t>、</w:t>
            </w:r>
            <w:r>
              <w:rPr>
                <w:rFonts w:ascii="宋体" w:hAnsi="宋体"/>
                <w:sz w:val="18"/>
              </w:rPr>
              <w:t>资源共享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continue"/>
            <w:noWrap/>
            <w:vAlign w:val="center"/>
          </w:tcPr>
          <w:p>
            <w:pPr>
              <w:jc w:val="left"/>
              <w:rPr>
                <w:rFonts w:ascii="宋体"/>
                <w:sz w:val="18"/>
              </w:rPr>
            </w:pPr>
          </w:p>
        </w:tc>
        <w:tc>
          <w:tcPr>
            <w:tcW w:w="1984" w:type="dxa"/>
            <w:noWrap/>
            <w:vAlign w:val="center"/>
          </w:tcPr>
          <w:p>
            <w:pPr>
              <w:ind w:firstLine="180" w:firstLineChars="100"/>
              <w:jc w:val="center"/>
              <w:rPr>
                <w:rFonts w:ascii="宋体" w:hAnsi="宋体"/>
                <w:bCs/>
                <w:kern w:val="44"/>
                <w:sz w:val="18"/>
                <w:szCs w:val="44"/>
              </w:rPr>
            </w:pPr>
            <w:r>
              <w:rPr>
                <w:rFonts w:hint="eastAsia" w:ascii="宋体" w:hAnsi="宋体"/>
                <w:bCs/>
                <w:kern w:val="44"/>
                <w:sz w:val="18"/>
                <w:szCs w:val="44"/>
              </w:rPr>
              <w:t>电子政务</w:t>
            </w:r>
          </w:p>
        </w:tc>
        <w:tc>
          <w:tcPr>
            <w:tcW w:w="5918" w:type="dxa"/>
            <w:noWrap/>
          </w:tcPr>
          <w:p>
            <w:pPr>
              <w:ind w:firstLine="180" w:firstLineChars="100"/>
              <w:jc w:val="left"/>
              <w:rPr>
                <w:rFonts w:ascii="宋体" w:hAnsi="宋体"/>
                <w:b/>
                <w:bCs/>
                <w:kern w:val="44"/>
                <w:sz w:val="18"/>
                <w:szCs w:val="44"/>
              </w:rPr>
            </w:pPr>
            <w:r>
              <w:rPr>
                <w:rFonts w:ascii="宋体" w:hAnsi="宋体"/>
                <w:sz w:val="18"/>
              </w:rPr>
              <w:t>应用现代信息技术、网络技术以及办公自动化技术等</w:t>
            </w:r>
            <w:r>
              <w:rPr>
                <w:rFonts w:hint="eastAsia" w:ascii="宋体" w:hAnsi="宋体"/>
                <w:sz w:val="18"/>
              </w:rPr>
              <w:t>，依托电子政务系统开展办公、管理（线上文件流转审批）</w:t>
            </w:r>
            <w:r>
              <w:rPr>
                <w:rFonts w:ascii="宋体" w:hAnsi="宋体"/>
                <w:sz w:val="18"/>
              </w:rPr>
              <w:t>和为社会提供公共服务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restart"/>
            <w:noWrap/>
            <w:vAlign w:val="center"/>
          </w:tcPr>
          <w:p>
            <w:pPr>
              <w:jc w:val="left"/>
              <w:rPr>
                <w:rFonts w:ascii="宋体" w:hAnsi="宋体"/>
                <w:bCs/>
                <w:kern w:val="44"/>
                <w:sz w:val="18"/>
                <w:szCs w:val="44"/>
              </w:rPr>
            </w:pPr>
            <w:r>
              <w:rPr>
                <w:rFonts w:hint="eastAsia" w:ascii="宋体" w:hAnsi="宋体"/>
                <w:bCs/>
                <w:kern w:val="44"/>
                <w:sz w:val="18"/>
                <w:szCs w:val="44"/>
              </w:rPr>
              <w:t>绿色出行</w:t>
            </w:r>
          </w:p>
        </w:tc>
        <w:tc>
          <w:tcPr>
            <w:tcW w:w="1984" w:type="dxa"/>
            <w:noWrap/>
            <w:vAlign w:val="center"/>
          </w:tcPr>
          <w:p>
            <w:pPr>
              <w:ind w:firstLine="180" w:firstLineChars="100"/>
              <w:jc w:val="center"/>
              <w:rPr>
                <w:rFonts w:ascii="宋体" w:hAnsi="宋体"/>
                <w:bCs/>
                <w:sz w:val="18"/>
              </w:rPr>
            </w:pPr>
            <w:r>
              <w:rPr>
                <w:rFonts w:hint="eastAsia" w:ascii="宋体" w:hAnsi="宋体"/>
                <w:bCs/>
                <w:sz w:val="18"/>
              </w:rPr>
              <w:t>选择更低碳的</w:t>
            </w:r>
          </w:p>
          <w:p>
            <w:pPr>
              <w:ind w:firstLine="180" w:firstLineChars="100"/>
              <w:jc w:val="center"/>
              <w:rPr>
                <w:rFonts w:ascii="宋体" w:hAnsi="宋体"/>
                <w:bCs/>
                <w:sz w:val="18"/>
              </w:rPr>
            </w:pPr>
            <w:r>
              <w:rPr>
                <w:rFonts w:hint="eastAsia" w:ascii="宋体" w:hAnsi="宋体"/>
                <w:bCs/>
                <w:sz w:val="18"/>
              </w:rPr>
              <w:t>出行工具</w:t>
            </w:r>
          </w:p>
        </w:tc>
        <w:tc>
          <w:tcPr>
            <w:tcW w:w="5918" w:type="dxa"/>
            <w:noWrap/>
          </w:tcPr>
          <w:p>
            <w:pPr>
              <w:ind w:firstLine="180" w:firstLineChars="100"/>
              <w:jc w:val="left"/>
              <w:rPr>
                <w:rFonts w:ascii="宋体" w:hAnsi="宋体"/>
                <w:sz w:val="18"/>
              </w:rPr>
            </w:pPr>
            <w:r>
              <w:rPr>
                <w:rFonts w:hint="eastAsia" w:ascii="宋体" w:hAnsi="宋体"/>
                <w:sz w:val="18"/>
              </w:rPr>
              <w:t>在时间允许情况下，长距离优先选择高铁火车，其次飞机；市区内的</w:t>
            </w:r>
            <w:r>
              <w:rPr>
                <w:rFonts w:ascii="宋体" w:hAnsi="宋体"/>
                <w:sz w:val="18"/>
              </w:rPr>
              <w:t>尽量使用公共交通</w:t>
            </w:r>
            <w:r>
              <w:rPr>
                <w:rFonts w:hint="eastAsia" w:ascii="宋体" w:hAnsi="宋体"/>
                <w:sz w:val="18"/>
              </w:rPr>
              <w:t>（公交、地铁）</w:t>
            </w:r>
            <w:r>
              <w:rPr>
                <w:rFonts w:ascii="宋体" w:hAnsi="宋体"/>
                <w:sz w:val="18"/>
              </w:rPr>
              <w:t>，减少私家车的使用</w:t>
            </w:r>
            <w:r>
              <w:rPr>
                <w:rFonts w:hint="eastAsia" w:ascii="宋体" w:hAnsi="宋体"/>
                <w:sz w:val="18"/>
              </w:rPr>
              <w:t>；较短距离路程</w:t>
            </w:r>
            <w:r>
              <w:rPr>
                <w:rFonts w:ascii="宋体" w:hAnsi="宋体"/>
                <w:sz w:val="18"/>
              </w:rPr>
              <w:t>尽量选择步行</w:t>
            </w:r>
            <w:r>
              <w:rPr>
                <w:rFonts w:hint="eastAsia" w:ascii="宋体" w:hAnsi="宋体"/>
                <w:sz w:val="18"/>
              </w:rPr>
              <w:t>，或者</w:t>
            </w:r>
            <w:r>
              <w:rPr>
                <w:rFonts w:ascii="宋体" w:hAnsi="宋体"/>
                <w:sz w:val="18"/>
              </w:rPr>
              <w:t>选择自行车/电单车/电助力车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continue"/>
            <w:noWrap/>
            <w:vAlign w:val="center"/>
          </w:tcPr>
          <w:p>
            <w:pPr>
              <w:jc w:val="left"/>
              <w:rPr>
                <w:rFonts w:ascii="宋体"/>
                <w:sz w:val="18"/>
              </w:rPr>
            </w:pPr>
          </w:p>
        </w:tc>
        <w:tc>
          <w:tcPr>
            <w:tcW w:w="1984" w:type="dxa"/>
            <w:noWrap/>
            <w:vAlign w:val="center"/>
          </w:tcPr>
          <w:p>
            <w:pPr>
              <w:jc w:val="center"/>
              <w:rPr>
                <w:rFonts w:ascii="宋体" w:hAnsi="宋体"/>
                <w:bCs/>
                <w:kern w:val="44"/>
                <w:sz w:val="18"/>
                <w:szCs w:val="44"/>
              </w:rPr>
            </w:pPr>
            <w:r>
              <w:rPr>
                <w:rFonts w:ascii="宋体" w:hAnsi="宋体"/>
                <w:bCs/>
                <w:sz w:val="18"/>
              </w:rPr>
              <w:t>使用新能源汽车</w:t>
            </w:r>
          </w:p>
        </w:tc>
        <w:tc>
          <w:tcPr>
            <w:tcW w:w="5918" w:type="dxa"/>
            <w:noWrap/>
          </w:tcPr>
          <w:p>
            <w:pPr>
              <w:ind w:firstLine="180" w:firstLineChars="100"/>
              <w:jc w:val="left"/>
              <w:rPr>
                <w:rFonts w:ascii="宋体" w:hAnsi="宋体"/>
                <w:b/>
                <w:bCs/>
                <w:kern w:val="44"/>
                <w:sz w:val="18"/>
                <w:szCs w:val="44"/>
              </w:rPr>
            </w:pPr>
            <w:r>
              <w:rPr>
                <w:rFonts w:hint="eastAsia" w:ascii="宋体" w:hAnsi="宋体"/>
                <w:sz w:val="18"/>
              </w:rPr>
              <w:t>推荐使用</w:t>
            </w:r>
            <w:r>
              <w:rPr>
                <w:rFonts w:ascii="宋体" w:hAnsi="宋体"/>
                <w:sz w:val="18"/>
              </w:rPr>
              <w:t>新能源车行驶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continue"/>
            <w:noWrap/>
            <w:vAlign w:val="center"/>
          </w:tcPr>
          <w:p>
            <w:pPr>
              <w:jc w:val="left"/>
              <w:rPr>
                <w:rFonts w:ascii="宋体"/>
                <w:sz w:val="18"/>
              </w:rPr>
            </w:pPr>
          </w:p>
        </w:tc>
        <w:tc>
          <w:tcPr>
            <w:tcW w:w="1984" w:type="dxa"/>
            <w:noWrap/>
            <w:vAlign w:val="center"/>
          </w:tcPr>
          <w:p>
            <w:pPr>
              <w:jc w:val="center"/>
              <w:rPr>
                <w:rFonts w:ascii="宋体" w:hAnsi="宋体"/>
                <w:bCs/>
                <w:kern w:val="44"/>
                <w:sz w:val="18"/>
                <w:szCs w:val="44"/>
              </w:rPr>
            </w:pPr>
            <w:r>
              <w:rPr>
                <w:rFonts w:ascii="宋体" w:hAnsi="宋体"/>
                <w:bCs/>
                <w:sz w:val="18"/>
              </w:rPr>
              <w:t>拼车出行</w:t>
            </w:r>
          </w:p>
        </w:tc>
        <w:tc>
          <w:tcPr>
            <w:tcW w:w="5918" w:type="dxa"/>
            <w:noWrap/>
          </w:tcPr>
          <w:p>
            <w:pPr>
              <w:ind w:firstLine="180" w:firstLineChars="100"/>
              <w:jc w:val="left"/>
              <w:rPr>
                <w:rFonts w:ascii="宋体" w:hAnsi="宋体"/>
                <w:b/>
                <w:bCs/>
                <w:kern w:val="44"/>
                <w:sz w:val="18"/>
                <w:szCs w:val="44"/>
              </w:rPr>
            </w:pPr>
            <w:r>
              <w:rPr>
                <w:rFonts w:ascii="宋体" w:hAnsi="宋体"/>
                <w:sz w:val="18"/>
              </w:rPr>
              <w:t>合理规划路线，</w:t>
            </w:r>
            <w:r>
              <w:rPr>
                <w:rFonts w:hint="eastAsia" w:ascii="宋体" w:hAnsi="宋体"/>
                <w:sz w:val="18"/>
              </w:rPr>
              <w:t>鼓励拼车出行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continue"/>
            <w:noWrap/>
            <w:vAlign w:val="center"/>
          </w:tcPr>
          <w:p>
            <w:pPr>
              <w:jc w:val="left"/>
              <w:rPr>
                <w:rFonts w:ascii="宋体"/>
                <w:sz w:val="18"/>
              </w:rPr>
            </w:pPr>
          </w:p>
        </w:tc>
        <w:tc>
          <w:tcPr>
            <w:tcW w:w="1984" w:type="dxa"/>
            <w:noWrap/>
            <w:vAlign w:val="center"/>
          </w:tcPr>
          <w:p>
            <w:pPr>
              <w:jc w:val="center"/>
              <w:rPr>
                <w:rFonts w:ascii="宋体" w:hAnsi="宋体"/>
                <w:bCs/>
                <w:kern w:val="44"/>
                <w:sz w:val="18"/>
                <w:szCs w:val="44"/>
              </w:rPr>
            </w:pPr>
            <w:r>
              <w:rPr>
                <w:rFonts w:ascii="宋体" w:hAnsi="宋体"/>
                <w:bCs/>
                <w:sz w:val="18"/>
              </w:rPr>
              <w:t>不停车缴费</w:t>
            </w:r>
          </w:p>
        </w:tc>
        <w:tc>
          <w:tcPr>
            <w:tcW w:w="5918" w:type="dxa"/>
            <w:noWrap/>
          </w:tcPr>
          <w:p>
            <w:pPr>
              <w:ind w:firstLine="180" w:firstLineChars="100"/>
              <w:jc w:val="left"/>
              <w:rPr>
                <w:rFonts w:ascii="宋体" w:hAnsi="宋体"/>
                <w:b/>
                <w:bCs/>
                <w:kern w:val="44"/>
                <w:sz w:val="18"/>
                <w:szCs w:val="44"/>
              </w:rPr>
            </w:pPr>
            <w:r>
              <w:rPr>
                <w:rFonts w:hint="eastAsia" w:ascii="宋体" w:hAnsi="宋体"/>
                <w:sz w:val="18"/>
              </w:rPr>
              <w:t>使用</w:t>
            </w:r>
            <w:r>
              <w:rPr>
                <w:rFonts w:ascii="宋体"/>
                <w:sz w:val="18"/>
              </w:rPr>
              <w:t>ETC</w:t>
            </w:r>
            <w:r>
              <w:rPr>
                <w:rFonts w:ascii="宋体" w:hAnsi="宋体"/>
                <w:sz w:val="18"/>
              </w:rPr>
              <w:t xml:space="preserve"> 缴费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restart"/>
            <w:noWrap/>
            <w:vAlign w:val="center"/>
          </w:tcPr>
          <w:p>
            <w:pPr>
              <w:jc w:val="left"/>
              <w:rPr>
                <w:rFonts w:ascii="宋体" w:hAnsi="宋体"/>
                <w:bCs/>
                <w:kern w:val="44"/>
                <w:sz w:val="18"/>
                <w:szCs w:val="44"/>
              </w:rPr>
            </w:pPr>
            <w:r>
              <w:rPr>
                <w:rFonts w:hint="eastAsia" w:ascii="宋体" w:hAnsi="宋体"/>
                <w:bCs/>
                <w:kern w:val="44"/>
                <w:sz w:val="18"/>
                <w:szCs w:val="44"/>
              </w:rPr>
              <w:t>绿色会务</w:t>
            </w:r>
          </w:p>
        </w:tc>
        <w:tc>
          <w:tcPr>
            <w:tcW w:w="1984" w:type="dxa"/>
            <w:noWrap/>
            <w:vAlign w:val="center"/>
          </w:tcPr>
          <w:p>
            <w:pPr>
              <w:jc w:val="center"/>
              <w:rPr>
                <w:rFonts w:ascii="宋体" w:hAnsi="宋体"/>
                <w:bCs/>
                <w:kern w:val="44"/>
                <w:sz w:val="18"/>
                <w:szCs w:val="44"/>
              </w:rPr>
            </w:pPr>
            <w:r>
              <w:rPr>
                <w:rFonts w:hint="eastAsia" w:ascii="宋体" w:hAnsi="宋体"/>
                <w:bCs/>
                <w:kern w:val="44"/>
                <w:sz w:val="18"/>
                <w:szCs w:val="44"/>
              </w:rPr>
              <w:t>在线会议</w:t>
            </w:r>
          </w:p>
        </w:tc>
        <w:tc>
          <w:tcPr>
            <w:tcW w:w="5918" w:type="dxa"/>
            <w:noWrap/>
          </w:tcPr>
          <w:p>
            <w:pPr>
              <w:ind w:firstLine="180" w:firstLineChars="100"/>
              <w:jc w:val="left"/>
              <w:rPr>
                <w:rFonts w:ascii="宋体" w:hAnsi="宋体"/>
                <w:b/>
                <w:bCs/>
                <w:kern w:val="44"/>
                <w:sz w:val="18"/>
                <w:szCs w:val="44"/>
              </w:rPr>
            </w:pPr>
            <w:r>
              <w:rPr>
                <w:rFonts w:ascii="宋体" w:hAnsi="宋体"/>
                <w:sz w:val="18"/>
              </w:rPr>
              <w:t>利用互联网实现不同地点多个用户的数据共享，通过在线会议来实现在线销售、远程客户支持、</w:t>
            </w:r>
            <w:r>
              <w:rPr>
                <w:rFonts w:ascii="宋体"/>
                <w:sz w:val="18"/>
              </w:rPr>
              <w:t>IT</w:t>
            </w:r>
            <w:r>
              <w:rPr>
                <w:rFonts w:ascii="宋体" w:hAnsi="宋体"/>
                <w:sz w:val="18"/>
              </w:rPr>
              <w:t>技术支持、远程培训、在线市场活动等多项用途。</w:t>
            </w:r>
            <w:r>
              <w:rPr>
                <w:rFonts w:hint="eastAsia" w:ascii="宋体" w:hAnsi="宋体"/>
                <w:sz w:val="18"/>
              </w:rPr>
              <w:t>实现</w:t>
            </w:r>
            <w:r>
              <w:rPr>
                <w:rFonts w:ascii="宋体" w:hAnsi="宋体"/>
                <w:sz w:val="18"/>
              </w:rPr>
              <w:t>交通替代、纸张替代，减少资源消耗及废弃物处理过程中的碳排放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continue"/>
            <w:noWrap/>
            <w:vAlign w:val="center"/>
          </w:tcPr>
          <w:p>
            <w:pPr>
              <w:jc w:val="left"/>
              <w:rPr>
                <w:rFonts w:ascii="宋体"/>
                <w:sz w:val="18"/>
              </w:rPr>
            </w:pPr>
          </w:p>
        </w:tc>
        <w:tc>
          <w:tcPr>
            <w:tcW w:w="1984" w:type="dxa"/>
            <w:noWrap/>
            <w:vAlign w:val="center"/>
          </w:tcPr>
          <w:p>
            <w:pPr>
              <w:jc w:val="center"/>
              <w:rPr>
                <w:rFonts w:ascii="宋体" w:hAnsi="宋体"/>
                <w:bCs/>
                <w:kern w:val="44"/>
                <w:sz w:val="18"/>
                <w:szCs w:val="44"/>
              </w:rPr>
            </w:pPr>
            <w:r>
              <w:rPr>
                <w:rFonts w:hint="eastAsia" w:ascii="宋体" w:hAnsi="宋体"/>
                <w:bCs/>
                <w:kern w:val="44"/>
                <w:sz w:val="18"/>
                <w:szCs w:val="44"/>
              </w:rPr>
              <w:t>无纸化或</w:t>
            </w:r>
          </w:p>
          <w:p>
            <w:pPr>
              <w:jc w:val="center"/>
              <w:rPr>
                <w:rFonts w:ascii="宋体" w:hAnsi="宋体"/>
                <w:bCs/>
                <w:kern w:val="44"/>
                <w:sz w:val="18"/>
                <w:szCs w:val="44"/>
              </w:rPr>
            </w:pPr>
            <w:r>
              <w:rPr>
                <w:rFonts w:hint="eastAsia" w:ascii="宋体" w:hAnsi="宋体"/>
                <w:bCs/>
                <w:kern w:val="44"/>
                <w:sz w:val="18"/>
                <w:szCs w:val="44"/>
              </w:rPr>
              <w:t>可循环再生化</w:t>
            </w:r>
          </w:p>
        </w:tc>
        <w:tc>
          <w:tcPr>
            <w:tcW w:w="5918" w:type="dxa"/>
            <w:noWrap/>
          </w:tcPr>
          <w:p>
            <w:pPr>
              <w:ind w:firstLine="180" w:firstLineChars="100"/>
              <w:jc w:val="left"/>
              <w:rPr>
                <w:rFonts w:ascii="宋体" w:hAnsi="宋体"/>
                <w:b/>
                <w:bCs/>
                <w:kern w:val="44"/>
                <w:sz w:val="18"/>
                <w:szCs w:val="44"/>
              </w:rPr>
            </w:pPr>
            <w:r>
              <w:rPr>
                <w:rFonts w:hint="eastAsia" w:ascii="宋体" w:hAnsi="宋体"/>
                <w:sz w:val="18"/>
              </w:rPr>
              <w:t>非涉密会议材料采用电子版发放，涉密文件及必要的会议材料选用循环可再生材料纸张印制；会议现场的横幅鼓励采用电子屏显示，座签采用可循环再生纸打印等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continue"/>
            <w:noWrap/>
            <w:vAlign w:val="center"/>
          </w:tcPr>
          <w:p>
            <w:pPr>
              <w:jc w:val="left"/>
              <w:rPr>
                <w:rFonts w:ascii="宋体"/>
                <w:sz w:val="18"/>
              </w:rPr>
            </w:pPr>
          </w:p>
        </w:tc>
        <w:tc>
          <w:tcPr>
            <w:tcW w:w="1984" w:type="dxa"/>
            <w:noWrap/>
            <w:vAlign w:val="center"/>
          </w:tcPr>
          <w:p>
            <w:pPr>
              <w:jc w:val="center"/>
              <w:rPr>
                <w:rFonts w:ascii="宋体" w:hAnsi="宋体"/>
                <w:bCs/>
                <w:kern w:val="44"/>
                <w:sz w:val="18"/>
                <w:szCs w:val="44"/>
              </w:rPr>
            </w:pPr>
            <w:r>
              <w:rPr>
                <w:rFonts w:hint="eastAsia" w:ascii="宋体" w:hAnsi="宋体"/>
                <w:bCs/>
                <w:kern w:val="44"/>
                <w:sz w:val="18"/>
                <w:szCs w:val="44"/>
              </w:rPr>
              <w:t>循环化</w:t>
            </w:r>
          </w:p>
        </w:tc>
        <w:tc>
          <w:tcPr>
            <w:tcW w:w="5918" w:type="dxa"/>
            <w:noWrap/>
          </w:tcPr>
          <w:p>
            <w:pPr>
              <w:ind w:firstLine="180" w:firstLineChars="100"/>
              <w:jc w:val="left"/>
              <w:rPr>
                <w:rFonts w:ascii="宋体" w:hAnsi="宋体"/>
                <w:b/>
                <w:bCs/>
                <w:kern w:val="44"/>
                <w:sz w:val="18"/>
                <w:szCs w:val="44"/>
              </w:rPr>
            </w:pPr>
            <w:r>
              <w:rPr>
                <w:rFonts w:hint="eastAsia" w:ascii="宋体" w:hAnsi="宋体"/>
                <w:sz w:val="18"/>
              </w:rPr>
              <w:t>会务产生的垃圾严格垃圾分类，对于可循环利用的进行回收资源化利用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continue"/>
            <w:noWrap/>
            <w:vAlign w:val="center"/>
          </w:tcPr>
          <w:p>
            <w:pPr>
              <w:jc w:val="left"/>
              <w:rPr>
                <w:rFonts w:ascii="宋体"/>
                <w:sz w:val="18"/>
              </w:rPr>
            </w:pPr>
          </w:p>
        </w:tc>
        <w:tc>
          <w:tcPr>
            <w:tcW w:w="1984" w:type="dxa"/>
            <w:noWrap/>
            <w:vAlign w:val="center"/>
          </w:tcPr>
          <w:p>
            <w:pPr>
              <w:jc w:val="center"/>
              <w:rPr>
                <w:rFonts w:ascii="宋体" w:hAnsi="宋体"/>
                <w:bCs/>
                <w:kern w:val="44"/>
                <w:sz w:val="18"/>
                <w:szCs w:val="44"/>
              </w:rPr>
            </w:pPr>
            <w:r>
              <w:rPr>
                <w:rFonts w:hint="eastAsia" w:ascii="宋体" w:hAnsi="宋体"/>
                <w:bCs/>
                <w:kern w:val="44"/>
                <w:sz w:val="18"/>
                <w:szCs w:val="44"/>
              </w:rPr>
              <w:t>减少一次性用品使用</w:t>
            </w:r>
          </w:p>
        </w:tc>
        <w:tc>
          <w:tcPr>
            <w:tcW w:w="5918" w:type="dxa"/>
            <w:noWrap/>
          </w:tcPr>
          <w:p>
            <w:pPr>
              <w:ind w:firstLine="180" w:firstLineChars="100"/>
              <w:jc w:val="left"/>
              <w:rPr>
                <w:rFonts w:ascii="宋体" w:hAnsi="宋体"/>
                <w:b/>
                <w:bCs/>
                <w:kern w:val="44"/>
                <w:sz w:val="18"/>
                <w:szCs w:val="44"/>
              </w:rPr>
            </w:pPr>
            <w:r>
              <w:rPr>
                <w:rFonts w:hint="eastAsia" w:ascii="宋体" w:hAnsi="宋体"/>
                <w:kern w:val="44"/>
                <w:sz w:val="18"/>
                <w:szCs w:val="44"/>
              </w:rPr>
              <w:t>鼓励自带水杯、鼓励入住酒店自带洗漱用品、连续入住酒店不更换床单被罩。</w:t>
            </w:r>
            <w:r>
              <w:rPr>
                <w:rFonts w:ascii="宋体" w:hAnsi="宋体"/>
                <w:sz w:val="18"/>
              </w:rPr>
              <w:t>减少住宿一次性用品使用</w:t>
            </w:r>
            <w:r>
              <w:rPr>
                <w:rFonts w:hint="eastAsia" w:ascii="宋体" w:hAnsi="宋体"/>
                <w:sz w:val="18"/>
              </w:rPr>
              <w:t>，</w:t>
            </w:r>
            <w:r>
              <w:rPr>
                <w:rFonts w:ascii="宋体" w:hAnsi="宋体"/>
                <w:sz w:val="18"/>
              </w:rPr>
              <w:t>如一次性牙刷、一次性牙膏、一次性香皂、一次性浴液、一次性拖鞋、一次性梳子</w:t>
            </w:r>
            <w:r>
              <w:rPr>
                <w:rFonts w:hint="eastAsia" w:ascii="宋体" w:hAnsi="宋体"/>
                <w:sz w:val="18"/>
              </w:rPr>
              <w:t>、一次性纸杯</w:t>
            </w:r>
            <w:r>
              <w:rPr>
                <w:rFonts w:ascii="宋体" w:hAnsi="宋体"/>
                <w:sz w:val="18"/>
              </w:rPr>
              <w:t>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continue"/>
            <w:noWrap/>
            <w:vAlign w:val="center"/>
          </w:tcPr>
          <w:p>
            <w:pPr>
              <w:jc w:val="left"/>
              <w:rPr>
                <w:rFonts w:ascii="宋体"/>
                <w:sz w:val="18"/>
              </w:rPr>
            </w:pPr>
          </w:p>
        </w:tc>
        <w:tc>
          <w:tcPr>
            <w:tcW w:w="1984" w:type="dxa"/>
            <w:noWrap/>
            <w:vAlign w:val="center"/>
          </w:tcPr>
          <w:p>
            <w:pPr>
              <w:jc w:val="center"/>
              <w:rPr>
                <w:rFonts w:ascii="宋体" w:hAnsi="宋体"/>
                <w:bCs/>
                <w:kern w:val="44"/>
                <w:sz w:val="18"/>
                <w:szCs w:val="44"/>
              </w:rPr>
            </w:pPr>
            <w:r>
              <w:rPr>
                <w:rFonts w:hint="eastAsia" w:ascii="宋体" w:hAnsi="宋体"/>
                <w:bCs/>
                <w:kern w:val="44"/>
                <w:sz w:val="18"/>
                <w:szCs w:val="44"/>
              </w:rPr>
              <w:t>减少餐食浪费</w:t>
            </w:r>
          </w:p>
        </w:tc>
        <w:tc>
          <w:tcPr>
            <w:tcW w:w="5918" w:type="dxa"/>
            <w:noWrap/>
          </w:tcPr>
          <w:p>
            <w:pPr>
              <w:ind w:firstLine="180" w:firstLineChars="100"/>
              <w:jc w:val="left"/>
              <w:rPr>
                <w:rFonts w:ascii="宋体" w:hAnsi="宋体"/>
                <w:kern w:val="44"/>
                <w:sz w:val="18"/>
                <w:szCs w:val="44"/>
              </w:rPr>
            </w:pPr>
            <w:r>
              <w:rPr>
                <w:rFonts w:hint="eastAsia" w:ascii="宋体" w:hAnsi="宋体"/>
                <w:kern w:val="44"/>
                <w:sz w:val="18"/>
                <w:szCs w:val="44"/>
              </w:rPr>
              <w:t>鼓励会务用餐尽可能采购本地食材，减少碳排放；鼓励适度点餐、剩菜打包、光盘行动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restart"/>
            <w:noWrap/>
            <w:vAlign w:val="center"/>
          </w:tcPr>
          <w:p>
            <w:pPr>
              <w:jc w:val="left"/>
              <w:rPr>
                <w:rFonts w:ascii="宋体" w:hAnsi="宋体"/>
                <w:bCs/>
                <w:kern w:val="44"/>
                <w:sz w:val="18"/>
                <w:szCs w:val="44"/>
              </w:rPr>
            </w:pPr>
            <w:r>
              <w:rPr>
                <w:rFonts w:hint="eastAsia" w:ascii="宋体" w:hAnsi="宋体"/>
                <w:bCs/>
                <w:kern w:val="44"/>
                <w:sz w:val="18"/>
                <w:szCs w:val="44"/>
              </w:rPr>
              <w:t>建筑节能</w:t>
            </w:r>
          </w:p>
        </w:tc>
        <w:tc>
          <w:tcPr>
            <w:tcW w:w="1984" w:type="dxa"/>
            <w:noWrap/>
            <w:vAlign w:val="center"/>
          </w:tcPr>
          <w:p>
            <w:pPr>
              <w:jc w:val="center"/>
              <w:rPr>
                <w:rFonts w:ascii="宋体" w:hAnsi="宋体"/>
                <w:bCs/>
                <w:kern w:val="44"/>
                <w:sz w:val="18"/>
                <w:szCs w:val="44"/>
              </w:rPr>
            </w:pPr>
            <w:r>
              <w:rPr>
                <w:rFonts w:hint="eastAsia" w:ascii="宋体" w:hAnsi="宋体"/>
                <w:bCs/>
                <w:kern w:val="44"/>
                <w:sz w:val="18"/>
                <w:szCs w:val="44"/>
              </w:rPr>
              <w:t>使用节能产品</w:t>
            </w:r>
          </w:p>
        </w:tc>
        <w:tc>
          <w:tcPr>
            <w:tcW w:w="5918" w:type="dxa"/>
            <w:noWrap/>
          </w:tcPr>
          <w:p>
            <w:pPr>
              <w:ind w:firstLine="180" w:firstLineChars="100"/>
              <w:jc w:val="left"/>
              <w:rPr>
                <w:rFonts w:ascii="宋体" w:hAnsi="宋体"/>
                <w:b/>
                <w:bCs/>
                <w:kern w:val="44"/>
                <w:sz w:val="18"/>
                <w:szCs w:val="44"/>
              </w:rPr>
            </w:pPr>
            <w:r>
              <w:rPr>
                <w:rFonts w:ascii="宋体" w:hAnsi="宋体"/>
                <w:sz w:val="18"/>
              </w:rPr>
              <w:t>使用绿色节能产品，如使用节能、节电等具有能效标识的电器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continue"/>
            <w:tcBorders>
              <w:bottom w:val="single" w:color="auto" w:sz="4" w:space="0"/>
            </w:tcBorders>
            <w:noWrap/>
            <w:vAlign w:val="center"/>
          </w:tcPr>
          <w:p>
            <w:pPr>
              <w:jc w:val="left"/>
              <w:rPr>
                <w:rFonts w:ascii="宋体"/>
                <w:sz w:val="18"/>
              </w:rPr>
            </w:pPr>
          </w:p>
        </w:tc>
        <w:tc>
          <w:tcPr>
            <w:tcW w:w="1984" w:type="dxa"/>
            <w:tcBorders>
              <w:bottom w:val="single" w:color="auto" w:sz="4" w:space="0"/>
            </w:tcBorders>
            <w:noWrap/>
            <w:vAlign w:val="center"/>
          </w:tcPr>
          <w:p>
            <w:pPr>
              <w:jc w:val="center"/>
              <w:rPr>
                <w:rFonts w:ascii="宋体" w:hAnsi="宋体"/>
                <w:bCs/>
                <w:kern w:val="44"/>
                <w:sz w:val="18"/>
                <w:szCs w:val="44"/>
              </w:rPr>
            </w:pPr>
            <w:r>
              <w:rPr>
                <w:rFonts w:ascii="宋体" w:hAnsi="宋体"/>
                <w:bCs/>
                <w:kern w:val="44"/>
                <w:sz w:val="18"/>
                <w:szCs w:val="44"/>
              </w:rPr>
              <w:t>使用清洁能源</w:t>
            </w:r>
          </w:p>
        </w:tc>
        <w:tc>
          <w:tcPr>
            <w:tcW w:w="5918" w:type="dxa"/>
            <w:tcBorders>
              <w:bottom w:val="single" w:color="auto" w:sz="4" w:space="0"/>
            </w:tcBorders>
            <w:noWrap/>
          </w:tcPr>
          <w:p>
            <w:pPr>
              <w:ind w:firstLine="180" w:firstLineChars="100"/>
              <w:jc w:val="left"/>
              <w:rPr>
                <w:rFonts w:ascii="宋体" w:hAnsi="宋体"/>
                <w:b/>
                <w:bCs/>
                <w:kern w:val="44"/>
                <w:sz w:val="18"/>
                <w:szCs w:val="44"/>
              </w:rPr>
            </w:pPr>
            <w:r>
              <w:rPr>
                <w:rFonts w:ascii="宋体" w:hAnsi="宋体"/>
                <w:sz w:val="18"/>
              </w:rPr>
              <w:t>使用光伏、风能、地热等清洁能源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restart"/>
            <w:tcBorders>
              <w:top w:val="single" w:color="auto" w:sz="4" w:space="0"/>
            </w:tcBorders>
            <w:noWrap/>
            <w:vAlign w:val="center"/>
          </w:tcPr>
          <w:p>
            <w:pPr>
              <w:jc w:val="left"/>
              <w:rPr>
                <w:rFonts w:ascii="宋体" w:hAnsi="宋体"/>
                <w:bCs/>
                <w:kern w:val="44"/>
                <w:sz w:val="18"/>
                <w:szCs w:val="44"/>
              </w:rPr>
            </w:pPr>
            <w:r>
              <w:rPr>
                <w:rFonts w:hint="eastAsia" w:ascii="宋体" w:hAnsi="宋体"/>
                <w:bCs/>
                <w:kern w:val="44"/>
                <w:sz w:val="18"/>
                <w:szCs w:val="44"/>
              </w:rPr>
              <w:t>其他绿色低碳行为</w:t>
            </w:r>
          </w:p>
        </w:tc>
        <w:tc>
          <w:tcPr>
            <w:tcW w:w="1984" w:type="dxa"/>
            <w:tcBorders>
              <w:top w:val="single" w:color="auto" w:sz="4" w:space="0"/>
              <w:bottom w:val="single" w:color="auto" w:sz="4" w:space="0"/>
            </w:tcBorders>
            <w:noWrap/>
            <w:vAlign w:val="center"/>
          </w:tcPr>
          <w:p>
            <w:pPr>
              <w:jc w:val="center"/>
              <w:rPr>
                <w:rFonts w:ascii="宋体" w:hAnsi="宋体"/>
                <w:bCs/>
                <w:kern w:val="44"/>
                <w:sz w:val="18"/>
                <w:szCs w:val="44"/>
              </w:rPr>
            </w:pPr>
            <w:r>
              <w:rPr>
                <w:rFonts w:ascii="宋体" w:hAnsi="宋体"/>
                <w:bCs/>
                <w:sz w:val="18"/>
              </w:rPr>
              <w:t>电子支付</w:t>
            </w:r>
          </w:p>
        </w:tc>
        <w:tc>
          <w:tcPr>
            <w:tcW w:w="5918" w:type="dxa"/>
            <w:tcBorders>
              <w:top w:val="single" w:color="auto" w:sz="4" w:space="0"/>
              <w:bottom w:val="single" w:color="auto" w:sz="4" w:space="0"/>
            </w:tcBorders>
            <w:noWrap/>
          </w:tcPr>
          <w:p>
            <w:pPr>
              <w:ind w:firstLine="180" w:firstLineChars="100"/>
              <w:jc w:val="left"/>
              <w:rPr>
                <w:rFonts w:ascii="宋体" w:hAnsi="宋体"/>
                <w:b/>
                <w:bCs/>
                <w:kern w:val="44"/>
                <w:sz w:val="18"/>
                <w:szCs w:val="44"/>
              </w:rPr>
            </w:pPr>
            <w:r>
              <w:rPr>
                <w:rFonts w:hint="eastAsia" w:ascii="宋体" w:hAnsi="宋体"/>
                <w:sz w:val="18"/>
              </w:rPr>
              <w:t>鼓励</w:t>
            </w:r>
            <w:r>
              <w:rPr>
                <w:rFonts w:ascii="宋体" w:hAnsi="宋体"/>
                <w:sz w:val="18"/>
              </w:rPr>
              <w:t>使用</w:t>
            </w:r>
            <w:r>
              <w:rPr>
                <w:rFonts w:hint="eastAsia" w:ascii="宋体" w:hAnsi="宋体"/>
                <w:sz w:val="18"/>
              </w:rPr>
              <w:t>电子支付进行消费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continue"/>
            <w:noWrap/>
          </w:tcPr>
          <w:p>
            <w:pPr>
              <w:rPr>
                <w:rFonts w:ascii="宋体"/>
                <w:sz w:val="18"/>
              </w:rPr>
            </w:pPr>
          </w:p>
        </w:tc>
        <w:tc>
          <w:tcPr>
            <w:tcW w:w="1984" w:type="dxa"/>
            <w:tcBorders>
              <w:top w:val="single" w:color="auto" w:sz="4" w:space="0"/>
              <w:bottom w:val="single" w:color="auto" w:sz="4" w:space="0"/>
            </w:tcBorders>
            <w:noWrap/>
            <w:vAlign w:val="center"/>
          </w:tcPr>
          <w:p>
            <w:pPr>
              <w:jc w:val="center"/>
              <w:rPr>
                <w:rFonts w:ascii="宋体" w:hAnsi="宋体"/>
                <w:bCs/>
                <w:kern w:val="44"/>
                <w:sz w:val="18"/>
                <w:szCs w:val="44"/>
              </w:rPr>
            </w:pPr>
            <w:r>
              <w:rPr>
                <w:rFonts w:hint="eastAsia" w:ascii="宋体" w:hAnsi="宋体"/>
                <w:bCs/>
                <w:kern w:val="44"/>
                <w:sz w:val="18"/>
                <w:szCs w:val="44"/>
              </w:rPr>
              <w:t>电子票据</w:t>
            </w:r>
          </w:p>
        </w:tc>
        <w:tc>
          <w:tcPr>
            <w:tcW w:w="5918" w:type="dxa"/>
            <w:tcBorders>
              <w:top w:val="single" w:color="auto" w:sz="4" w:space="0"/>
              <w:bottom w:val="single" w:color="auto" w:sz="4" w:space="0"/>
            </w:tcBorders>
            <w:noWrap/>
          </w:tcPr>
          <w:p>
            <w:pPr>
              <w:ind w:firstLine="180" w:firstLineChars="100"/>
              <w:jc w:val="left"/>
              <w:rPr>
                <w:rFonts w:ascii="宋体" w:hAnsi="宋体"/>
                <w:b/>
                <w:bCs/>
                <w:kern w:val="44"/>
                <w:sz w:val="18"/>
                <w:szCs w:val="44"/>
              </w:rPr>
            </w:pPr>
            <w:r>
              <w:rPr>
                <w:rFonts w:hint="eastAsia" w:ascii="宋体" w:hAnsi="宋体"/>
                <w:sz w:val="18"/>
              </w:rPr>
              <w:t>鼓励</w:t>
            </w:r>
            <w:r>
              <w:rPr>
                <w:rFonts w:ascii="宋体" w:hAnsi="宋体"/>
                <w:sz w:val="18"/>
              </w:rPr>
              <w:t>使用电子化票据代替纸质票据，如电子发票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8" w:type="dxa"/>
            <w:vMerge w:val="continue"/>
            <w:tcBorders>
              <w:bottom w:val="single" w:color="auto" w:sz="8" w:space="0"/>
            </w:tcBorders>
            <w:noWrap/>
          </w:tcPr>
          <w:p>
            <w:pPr>
              <w:rPr>
                <w:rFonts w:ascii="宋体"/>
                <w:sz w:val="18"/>
              </w:rPr>
            </w:pPr>
          </w:p>
        </w:tc>
        <w:tc>
          <w:tcPr>
            <w:tcW w:w="1984" w:type="dxa"/>
            <w:tcBorders>
              <w:top w:val="single" w:color="auto" w:sz="4" w:space="0"/>
              <w:bottom w:val="single" w:color="auto" w:sz="8" w:space="0"/>
            </w:tcBorders>
            <w:noWrap/>
            <w:vAlign w:val="center"/>
          </w:tcPr>
          <w:p>
            <w:pPr>
              <w:jc w:val="center"/>
              <w:rPr>
                <w:rFonts w:ascii="宋体" w:hAnsi="宋体"/>
                <w:bCs/>
                <w:kern w:val="44"/>
                <w:sz w:val="18"/>
                <w:szCs w:val="44"/>
              </w:rPr>
            </w:pPr>
            <w:r>
              <w:rPr>
                <w:rFonts w:ascii="宋体" w:hAnsi="宋体"/>
                <w:bCs/>
                <w:sz w:val="18"/>
              </w:rPr>
              <w:t>垃圾分类</w:t>
            </w:r>
          </w:p>
        </w:tc>
        <w:tc>
          <w:tcPr>
            <w:tcW w:w="5918" w:type="dxa"/>
            <w:tcBorders>
              <w:top w:val="single" w:color="auto" w:sz="4" w:space="0"/>
              <w:bottom w:val="single" w:color="auto" w:sz="8" w:space="0"/>
            </w:tcBorders>
            <w:noWrap/>
          </w:tcPr>
          <w:p>
            <w:pPr>
              <w:ind w:firstLine="180" w:firstLineChars="100"/>
              <w:jc w:val="left"/>
              <w:rPr>
                <w:rFonts w:ascii="宋体" w:hAnsi="宋体"/>
                <w:b/>
                <w:bCs/>
                <w:kern w:val="44"/>
                <w:sz w:val="18"/>
                <w:szCs w:val="44"/>
              </w:rPr>
            </w:pPr>
            <w:r>
              <w:rPr>
                <w:rFonts w:hint="eastAsia" w:ascii="宋体" w:hAnsi="宋体"/>
                <w:sz w:val="18"/>
              </w:rPr>
              <w:t>对</w:t>
            </w:r>
            <w:r>
              <w:rPr>
                <w:rFonts w:ascii="宋体" w:hAnsi="宋体"/>
                <w:sz w:val="18"/>
              </w:rPr>
              <w:t>可回收的生活垃圾（如饮料瓶、包装纸、金属等）分类回收</w:t>
            </w:r>
          </w:p>
        </w:tc>
      </w:tr>
    </w:tbl>
    <w:p/>
    <w:p>
      <w:pPr>
        <w:pStyle w:val="94"/>
      </w:pPr>
    </w:p>
    <w:p>
      <w:pPr>
        <w:pStyle w:val="82"/>
      </w:pPr>
    </w:p>
    <w:p>
      <w:pPr>
        <w:pStyle w:val="80"/>
      </w:pPr>
      <w:bookmarkStart w:id="129" w:name="_Toc19104"/>
      <w:bookmarkStart w:id="130" w:name="_Toc835"/>
      <w:bookmarkStart w:id="131" w:name="_Toc25964"/>
      <w:bookmarkStart w:id="132" w:name="_Toc13821"/>
      <w:bookmarkStart w:id="133" w:name="_Toc32205"/>
      <w:bookmarkStart w:id="134" w:name="_Toc30631"/>
      <w:bookmarkStart w:id="135" w:name="_Toc30470"/>
      <w:r>
        <w:br w:type="textWrapping"/>
      </w:r>
      <w:r>
        <w:rPr>
          <w:rFonts w:hint="eastAsia"/>
        </w:rPr>
        <w:t>（资料性）</w:t>
      </w:r>
      <w:r>
        <w:rPr>
          <w:rFonts w:hint="eastAsia"/>
        </w:rPr>
        <w:br w:type="textWrapping"/>
      </w:r>
      <w:r>
        <w:rPr>
          <w:rFonts w:hint="eastAsia"/>
        </w:rPr>
        <w:t>机关事业单位日常运营碳排放核算</w:t>
      </w:r>
      <w:bookmarkEnd w:id="129"/>
      <w:bookmarkEnd w:id="130"/>
      <w:bookmarkEnd w:id="131"/>
    </w:p>
    <w:bookmarkEnd w:id="132"/>
    <w:bookmarkEnd w:id="133"/>
    <w:bookmarkEnd w:id="134"/>
    <w:bookmarkEnd w:id="135"/>
    <w:p>
      <w:pPr>
        <w:pStyle w:val="20"/>
      </w:pPr>
      <w:r>
        <w:t>表</w:t>
      </w:r>
      <w:r>
        <w:rPr>
          <w:rFonts w:hint="eastAsia"/>
        </w:rPr>
        <w:t>B</w:t>
      </w:r>
      <w:r>
        <w:t>.1中</w:t>
      </w:r>
      <w:r>
        <w:rPr>
          <w:rFonts w:hint="eastAsia"/>
        </w:rPr>
        <w:t>给出</w:t>
      </w:r>
      <w:r>
        <w:t>了</w:t>
      </w:r>
      <w:r>
        <w:rPr>
          <w:rFonts w:hint="eastAsia"/>
        </w:rPr>
        <w:t>机关</w:t>
      </w:r>
      <w:r>
        <w:t>事业单位</w:t>
      </w:r>
      <w:r>
        <w:rPr>
          <w:rFonts w:hint="eastAsia"/>
        </w:rPr>
        <w:t>日常运营碳</w:t>
      </w:r>
      <w:r>
        <w:t>排放</w:t>
      </w:r>
      <w:r>
        <w:rPr>
          <w:rFonts w:hint="eastAsia"/>
        </w:rPr>
        <w:t>核算方法</w:t>
      </w:r>
      <w:r>
        <w:t>、核算边界</w:t>
      </w:r>
      <w:r>
        <w:rPr>
          <w:rFonts w:hint="eastAsia"/>
        </w:rPr>
        <w:t>、排放源识别</w:t>
      </w:r>
      <w:r>
        <w:t>、活动水平数据获取方式和排放因子选取方式。</w:t>
      </w:r>
    </w:p>
    <w:p>
      <w:pPr>
        <w:pStyle w:val="83"/>
        <w:spacing w:before="156" w:after="156"/>
      </w:pPr>
      <w:bookmarkStart w:id="136" w:name="_Toc131511338"/>
      <w:r>
        <w:rPr>
          <w:rFonts w:hint="eastAsia"/>
        </w:rPr>
        <w:t>机关事业单位日常运营</w:t>
      </w:r>
      <w:bookmarkEnd w:id="136"/>
      <w:r>
        <w:rPr>
          <w:rFonts w:hint="eastAsia"/>
          <w:lang w:val="en-US" w:eastAsia="zh-CN"/>
        </w:rPr>
        <w:t>碳排放</w:t>
      </w:r>
      <w:r>
        <w:rPr>
          <w:rFonts w:hint="eastAsia"/>
        </w:rPr>
        <w:t>核算边界及数据等选取方式</w:t>
      </w:r>
    </w:p>
    <w:tbl>
      <w:tblPr>
        <w:tblStyle w:val="2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04"/>
        <w:gridCol w:w="75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04" w:type="dxa"/>
            <w:tcBorders>
              <w:bottom w:val="single" w:color="auto" w:sz="8" w:space="0"/>
              <w:tl2br w:val="nil"/>
              <w:tr2bl w:val="nil"/>
            </w:tcBorders>
          </w:tcPr>
          <w:p>
            <w:pPr>
              <w:jc w:val="center"/>
              <w:rPr>
                <w:rFonts w:ascii="宋体"/>
                <w:sz w:val="18"/>
                <w:szCs w:val="18"/>
              </w:rPr>
            </w:pPr>
            <w:r>
              <w:rPr>
                <w:rFonts w:hint="eastAsia" w:ascii="宋体"/>
                <w:sz w:val="18"/>
                <w:szCs w:val="18"/>
              </w:rPr>
              <w:t>类型</w:t>
            </w:r>
          </w:p>
        </w:tc>
        <w:tc>
          <w:tcPr>
            <w:tcW w:w="7566" w:type="dxa"/>
            <w:tcBorders>
              <w:bottom w:val="single" w:color="auto" w:sz="8" w:space="0"/>
              <w:tl2br w:val="nil"/>
              <w:tr2bl w:val="nil"/>
            </w:tcBorders>
          </w:tcPr>
          <w:p>
            <w:pPr>
              <w:jc w:val="center"/>
              <w:rPr>
                <w:rFonts w:ascii="宋体"/>
                <w:sz w:val="18"/>
                <w:szCs w:val="18"/>
              </w:rPr>
            </w:pPr>
            <w:r>
              <w:rPr>
                <w:rFonts w:hint="eastAsia" w:ascii="宋体"/>
                <w:sz w:val="18"/>
                <w:szCs w:val="18"/>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04" w:type="dxa"/>
            <w:tcBorders>
              <w:top w:val="single" w:color="auto" w:sz="8" w:space="0"/>
              <w:tl2br w:val="nil"/>
              <w:tr2bl w:val="nil"/>
            </w:tcBorders>
            <w:vAlign w:val="center"/>
          </w:tcPr>
          <w:p>
            <w:pPr>
              <w:jc w:val="center"/>
              <w:rPr>
                <w:rFonts w:ascii="宋体"/>
                <w:sz w:val="18"/>
                <w:szCs w:val="18"/>
              </w:rPr>
            </w:pPr>
            <w:r>
              <w:rPr>
                <w:rFonts w:hint="eastAsia" w:ascii="宋体"/>
                <w:sz w:val="18"/>
                <w:szCs w:val="18"/>
              </w:rPr>
              <w:t>核算方法</w:t>
            </w:r>
          </w:p>
        </w:tc>
        <w:tc>
          <w:tcPr>
            <w:tcW w:w="7566" w:type="dxa"/>
            <w:tcBorders>
              <w:top w:val="single" w:color="auto" w:sz="8" w:space="0"/>
              <w:tl2br w:val="nil"/>
              <w:tr2bl w:val="nil"/>
            </w:tcBorders>
          </w:tcPr>
          <w:p>
            <w:pPr>
              <w:ind w:firstLine="180" w:firstLineChars="100"/>
              <w:rPr>
                <w:rFonts w:ascii="宋体"/>
                <w:sz w:val="18"/>
                <w:szCs w:val="18"/>
              </w:rPr>
            </w:pPr>
            <w:r>
              <w:rPr>
                <w:rFonts w:hint="eastAsia" w:ascii="宋体"/>
                <w:sz w:val="18"/>
                <w:szCs w:val="18"/>
              </w:rPr>
              <w:t>基于排放因子的计算方法</w:t>
            </w:r>
            <w:r>
              <w:rPr>
                <w:rFonts w:hint="eastAsia" w:ascii="宋体"/>
                <w:sz w:val="18"/>
                <w:szCs w:val="18"/>
                <w:lang w:eastAsia="zh-CN"/>
              </w:rPr>
              <w:t>：</w:t>
            </w:r>
            <w:r>
              <w:rPr>
                <w:rFonts w:hint="eastAsia" w:ascii="宋体"/>
                <w:sz w:val="18"/>
                <w:szCs w:val="18"/>
              </w:rPr>
              <w:t>温室气体（GHG）排放=活动数据（AD）×排放因子（EF），确定核算边界，识别核算边界内的碳排放源，选择和收集碳排放相关活动水平数据，确定和选择排放因子数据，计算和汇总机关</w:t>
            </w:r>
            <w:r>
              <w:rPr>
                <w:rFonts w:ascii="宋体"/>
                <w:sz w:val="18"/>
                <w:szCs w:val="18"/>
              </w:rPr>
              <w:t>事业单位</w:t>
            </w:r>
            <w:r>
              <w:rPr>
                <w:rFonts w:hint="eastAsia" w:ascii="宋体"/>
                <w:sz w:val="18"/>
                <w:szCs w:val="18"/>
              </w:rPr>
              <w:t>日常运营</w:t>
            </w:r>
            <w:r>
              <w:rPr>
                <w:rFonts w:hint="eastAsia" w:ascii="宋体"/>
                <w:sz w:val="18"/>
                <w:szCs w:val="18"/>
                <w:lang w:val="en-US" w:eastAsia="zh-CN"/>
              </w:rPr>
              <w:t>碳</w:t>
            </w:r>
            <w:r>
              <w:rPr>
                <w:rFonts w:ascii="宋体"/>
                <w:sz w:val="18"/>
                <w:szCs w:val="18"/>
              </w:rPr>
              <w:t>排放</w:t>
            </w:r>
            <w:r>
              <w:rPr>
                <w:rFonts w:hint="eastAsia" w:ascii="宋体"/>
                <w:sz w:val="18"/>
                <w:szCs w:val="18"/>
              </w:rPr>
              <w:t>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04" w:type="dxa"/>
            <w:tcBorders>
              <w:tl2br w:val="nil"/>
              <w:tr2bl w:val="nil"/>
            </w:tcBorders>
            <w:vAlign w:val="center"/>
          </w:tcPr>
          <w:p>
            <w:pPr>
              <w:jc w:val="center"/>
              <w:rPr>
                <w:rFonts w:ascii="宋体"/>
                <w:sz w:val="18"/>
                <w:szCs w:val="18"/>
              </w:rPr>
            </w:pPr>
            <w:r>
              <w:rPr>
                <w:rFonts w:hint="eastAsia" w:ascii="宋体"/>
                <w:sz w:val="18"/>
                <w:szCs w:val="18"/>
              </w:rPr>
              <w:t>核算边界</w:t>
            </w:r>
          </w:p>
        </w:tc>
        <w:tc>
          <w:tcPr>
            <w:tcW w:w="7566" w:type="dxa"/>
            <w:tcBorders>
              <w:tl2br w:val="nil"/>
              <w:tr2bl w:val="nil"/>
            </w:tcBorders>
          </w:tcPr>
          <w:p>
            <w:pPr>
              <w:rPr>
                <w:rFonts w:ascii="宋体"/>
                <w:sz w:val="18"/>
                <w:szCs w:val="18"/>
              </w:rPr>
            </w:pPr>
            <w:r>
              <w:rPr>
                <w:rFonts w:hint="eastAsia" w:ascii="宋体"/>
                <w:sz w:val="18"/>
                <w:szCs w:val="18"/>
              </w:rPr>
              <w:t>核算边界可按照</w:t>
            </w:r>
            <w:r>
              <w:rPr>
                <w:rFonts w:hint="eastAsia" w:ascii="宋体"/>
                <w:kern w:val="0"/>
                <w:sz w:val="18"/>
                <w:szCs w:val="18"/>
              </w:rPr>
              <w:t>运营控制法、财务控制法、股权比例法三种方式来确定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04" w:type="dxa"/>
            <w:vMerge w:val="restart"/>
            <w:tcBorders>
              <w:tl2br w:val="nil"/>
              <w:tr2bl w:val="nil"/>
            </w:tcBorders>
            <w:vAlign w:val="center"/>
          </w:tcPr>
          <w:p>
            <w:pPr>
              <w:jc w:val="center"/>
              <w:rPr>
                <w:rFonts w:ascii="宋体"/>
                <w:sz w:val="18"/>
                <w:szCs w:val="18"/>
              </w:rPr>
            </w:pPr>
            <w:r>
              <w:rPr>
                <w:rFonts w:hint="eastAsia" w:ascii="宋体"/>
                <w:sz w:val="18"/>
                <w:szCs w:val="18"/>
              </w:rPr>
              <w:t>排放源识别</w:t>
            </w:r>
          </w:p>
        </w:tc>
        <w:tc>
          <w:tcPr>
            <w:tcW w:w="7566" w:type="dxa"/>
            <w:tcBorders>
              <w:tl2br w:val="nil"/>
              <w:tr2bl w:val="nil"/>
            </w:tcBorders>
          </w:tcPr>
          <w:p>
            <w:pPr>
              <w:pStyle w:val="44"/>
              <w:numPr>
                <w:ilvl w:val="0"/>
                <w:numId w:val="0"/>
              </w:numPr>
              <w:ind w:firstLine="180" w:firstLineChars="100"/>
              <w:rPr>
                <w:sz w:val="18"/>
                <w:szCs w:val="18"/>
              </w:rPr>
            </w:pPr>
            <w:r>
              <w:rPr>
                <w:rFonts w:hint="eastAsia"/>
                <w:sz w:val="18"/>
                <w:szCs w:val="18"/>
              </w:rPr>
              <w:t>化石燃料（</w:t>
            </w:r>
            <w:r>
              <w:rPr>
                <w:sz w:val="18"/>
                <w:szCs w:val="18"/>
              </w:rPr>
              <w:t>固定源</w:t>
            </w:r>
            <w:r>
              <w:rPr>
                <w:rFonts w:hint="eastAsia"/>
                <w:sz w:val="18"/>
                <w:szCs w:val="18"/>
              </w:rPr>
              <w:t>）来源：</w:t>
            </w:r>
          </w:p>
          <w:p>
            <w:pPr>
              <w:pStyle w:val="44"/>
              <w:ind w:left="834"/>
              <w:rPr>
                <w:sz w:val="18"/>
                <w:szCs w:val="18"/>
              </w:rPr>
            </w:pPr>
            <w:r>
              <w:rPr>
                <w:rFonts w:hint="eastAsia"/>
                <w:sz w:val="18"/>
                <w:szCs w:val="18"/>
              </w:rPr>
              <w:t>食堂炉灶使用的天然气或液化石油气</w:t>
            </w:r>
          </w:p>
          <w:p>
            <w:pPr>
              <w:pStyle w:val="44"/>
              <w:ind w:left="834"/>
              <w:rPr>
                <w:sz w:val="18"/>
                <w:szCs w:val="18"/>
              </w:rPr>
            </w:pPr>
            <w:r>
              <w:rPr>
                <w:rFonts w:hint="eastAsia"/>
                <w:sz w:val="18"/>
                <w:szCs w:val="18"/>
              </w:rPr>
              <w:t>应急发电机使用的柴油</w:t>
            </w:r>
          </w:p>
          <w:p>
            <w:pPr>
              <w:pStyle w:val="44"/>
              <w:ind w:left="834"/>
              <w:rPr>
                <w:sz w:val="18"/>
                <w:szCs w:val="18"/>
              </w:rPr>
            </w:pPr>
            <w:r>
              <w:rPr>
                <w:rFonts w:hint="eastAsia"/>
                <w:sz w:val="18"/>
                <w:szCs w:val="18"/>
              </w:rPr>
              <w:t>燃煤或燃气锅炉使用的煤炭或天然气</w:t>
            </w:r>
          </w:p>
          <w:p>
            <w:pPr>
              <w:pStyle w:val="44"/>
              <w:ind w:left="834"/>
              <w:rPr>
                <w:sz w:val="18"/>
                <w:szCs w:val="18"/>
              </w:rPr>
            </w:pPr>
            <w:r>
              <w:rPr>
                <w:rFonts w:hint="eastAsia"/>
                <w:sz w:val="18"/>
                <w:szCs w:val="18"/>
              </w:rPr>
              <w:t>其他固定燃烧源使用化石燃料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04" w:type="dxa"/>
            <w:vMerge w:val="continue"/>
            <w:tcBorders>
              <w:tl2br w:val="nil"/>
              <w:tr2bl w:val="nil"/>
            </w:tcBorders>
          </w:tcPr>
          <w:p>
            <w:pPr>
              <w:rPr>
                <w:rFonts w:ascii="宋体"/>
                <w:sz w:val="18"/>
                <w:szCs w:val="18"/>
              </w:rPr>
            </w:pPr>
          </w:p>
        </w:tc>
        <w:tc>
          <w:tcPr>
            <w:tcW w:w="7566" w:type="dxa"/>
            <w:tcBorders>
              <w:tl2br w:val="nil"/>
              <w:tr2bl w:val="nil"/>
            </w:tcBorders>
          </w:tcPr>
          <w:p>
            <w:pPr>
              <w:pStyle w:val="44"/>
              <w:numPr>
                <w:ilvl w:val="0"/>
                <w:numId w:val="0"/>
              </w:numPr>
              <w:ind w:firstLine="180" w:firstLineChars="100"/>
              <w:rPr>
                <w:sz w:val="18"/>
                <w:szCs w:val="18"/>
              </w:rPr>
            </w:pPr>
            <w:r>
              <w:rPr>
                <w:rFonts w:hint="eastAsia"/>
                <w:sz w:val="18"/>
                <w:szCs w:val="18"/>
              </w:rPr>
              <w:t>化石燃料（移动</w:t>
            </w:r>
            <w:r>
              <w:rPr>
                <w:sz w:val="18"/>
                <w:szCs w:val="18"/>
              </w:rPr>
              <w:t>源</w:t>
            </w:r>
            <w:r>
              <w:rPr>
                <w:rFonts w:hint="eastAsia"/>
                <w:sz w:val="18"/>
                <w:szCs w:val="18"/>
              </w:rPr>
              <w:t>）来源：</w:t>
            </w:r>
          </w:p>
          <w:p>
            <w:pPr>
              <w:pStyle w:val="44"/>
              <w:ind w:left="834"/>
              <w:rPr>
                <w:sz w:val="18"/>
                <w:szCs w:val="18"/>
              </w:rPr>
            </w:pPr>
            <w:r>
              <w:rPr>
                <w:rFonts w:hint="eastAsia"/>
                <w:sz w:val="18"/>
                <w:szCs w:val="18"/>
              </w:rPr>
              <w:t>公务用车消耗的汽油</w:t>
            </w:r>
          </w:p>
          <w:p>
            <w:pPr>
              <w:pStyle w:val="44"/>
              <w:ind w:left="834"/>
              <w:rPr>
                <w:sz w:val="18"/>
                <w:szCs w:val="18"/>
              </w:rPr>
            </w:pPr>
            <w:r>
              <w:rPr>
                <w:rFonts w:hint="eastAsia"/>
                <w:sz w:val="18"/>
                <w:szCs w:val="18"/>
              </w:rPr>
              <w:t>公务用车消耗的柴油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04" w:type="dxa"/>
            <w:vMerge w:val="continue"/>
            <w:tcBorders>
              <w:tl2br w:val="nil"/>
              <w:tr2bl w:val="nil"/>
            </w:tcBorders>
          </w:tcPr>
          <w:p>
            <w:pPr>
              <w:rPr>
                <w:rFonts w:ascii="宋体"/>
                <w:sz w:val="18"/>
                <w:szCs w:val="18"/>
              </w:rPr>
            </w:pPr>
          </w:p>
        </w:tc>
        <w:tc>
          <w:tcPr>
            <w:tcW w:w="7566" w:type="dxa"/>
            <w:tcBorders>
              <w:tl2br w:val="nil"/>
              <w:tr2bl w:val="nil"/>
            </w:tcBorders>
          </w:tcPr>
          <w:p>
            <w:pPr>
              <w:pStyle w:val="55"/>
              <w:numPr>
                <w:ilvl w:val="0"/>
                <w:numId w:val="0"/>
              </w:numPr>
              <w:rPr>
                <w:sz w:val="18"/>
                <w:szCs w:val="18"/>
              </w:rPr>
            </w:pPr>
            <w:r>
              <w:rPr>
                <w:rFonts w:hAnsi="宋体"/>
                <w:bCs/>
                <w:sz w:val="18"/>
                <w:szCs w:val="18"/>
              </w:rPr>
              <w:t>净购入电力</w:t>
            </w:r>
            <w:r>
              <w:rPr>
                <w:rFonts w:hint="eastAsia"/>
                <w:sz w:val="18"/>
                <w:szCs w:val="18"/>
              </w:rPr>
              <w:t>来源</w:t>
            </w:r>
            <w:r>
              <w:rPr>
                <w:rFonts w:hint="eastAsia" w:hAnsi="宋体"/>
                <w:bCs/>
                <w:sz w:val="18"/>
                <w:szCs w:val="18"/>
              </w:rPr>
              <w:t>：</w:t>
            </w:r>
            <w:r>
              <w:rPr>
                <w:rFonts w:hint="eastAsia"/>
                <w:sz w:val="18"/>
                <w:szCs w:val="18"/>
              </w:rPr>
              <w:t>照明、办公设备、电梯、空调、公务用车等消耗的电量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04" w:type="dxa"/>
            <w:vMerge w:val="continue"/>
            <w:tcBorders>
              <w:tl2br w:val="nil"/>
              <w:tr2bl w:val="nil"/>
            </w:tcBorders>
          </w:tcPr>
          <w:p>
            <w:pPr>
              <w:rPr>
                <w:rFonts w:ascii="宋体"/>
                <w:sz w:val="18"/>
                <w:szCs w:val="18"/>
              </w:rPr>
            </w:pPr>
          </w:p>
        </w:tc>
        <w:tc>
          <w:tcPr>
            <w:tcW w:w="7566" w:type="dxa"/>
            <w:tcBorders>
              <w:tl2br w:val="nil"/>
              <w:tr2bl w:val="nil"/>
            </w:tcBorders>
          </w:tcPr>
          <w:p>
            <w:pPr>
              <w:pStyle w:val="55"/>
              <w:numPr>
                <w:ilvl w:val="0"/>
                <w:numId w:val="0"/>
              </w:numPr>
              <w:rPr>
                <w:sz w:val="18"/>
                <w:szCs w:val="18"/>
              </w:rPr>
            </w:pPr>
            <w:r>
              <w:rPr>
                <w:rFonts w:hAnsi="宋体"/>
                <w:bCs/>
                <w:sz w:val="18"/>
                <w:szCs w:val="18"/>
              </w:rPr>
              <w:t>净购入热力</w:t>
            </w:r>
            <w:r>
              <w:rPr>
                <w:rFonts w:hint="eastAsia"/>
                <w:sz w:val="18"/>
                <w:szCs w:val="18"/>
              </w:rPr>
              <w:t>来源</w:t>
            </w:r>
            <w:r>
              <w:rPr>
                <w:rFonts w:hint="eastAsia" w:hAnsi="宋体"/>
                <w:bCs/>
                <w:sz w:val="18"/>
                <w:szCs w:val="18"/>
              </w:rPr>
              <w:t>：</w:t>
            </w:r>
            <w:r>
              <w:rPr>
                <w:rFonts w:hint="eastAsia"/>
                <w:sz w:val="18"/>
                <w:szCs w:val="18"/>
              </w:rPr>
              <w:t>冬季供暖</w:t>
            </w:r>
            <w:r>
              <w:rPr>
                <w:rFonts w:hint="eastAsia"/>
                <w:sz w:val="18"/>
                <w:szCs w:val="18"/>
                <w:lang w:eastAsia="zh-CN"/>
              </w:rPr>
              <w:t>、</w:t>
            </w:r>
            <w:r>
              <w:rPr>
                <w:rFonts w:hint="eastAsia"/>
                <w:sz w:val="18"/>
                <w:szCs w:val="18"/>
                <w:lang w:val="en-US" w:eastAsia="zh-CN"/>
              </w:rPr>
              <w:t>购热水或蒸汽</w:t>
            </w:r>
            <w:r>
              <w:rPr>
                <w:rFonts w:hint="eastAsia"/>
                <w:sz w:val="18"/>
                <w:szCs w:val="18"/>
              </w:rPr>
              <w:t>所使用的热量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04" w:type="dxa"/>
            <w:vMerge w:val="restart"/>
            <w:tcBorders>
              <w:tl2br w:val="nil"/>
              <w:tr2bl w:val="nil"/>
            </w:tcBorders>
            <w:vAlign w:val="center"/>
          </w:tcPr>
          <w:p>
            <w:pPr>
              <w:pStyle w:val="20"/>
              <w:ind w:firstLine="0" w:firstLineChars="0"/>
              <w:jc w:val="center"/>
              <w:rPr>
                <w:sz w:val="18"/>
                <w:szCs w:val="18"/>
              </w:rPr>
            </w:pPr>
            <w:r>
              <w:rPr>
                <w:rFonts w:hint="eastAsia"/>
                <w:sz w:val="18"/>
                <w:szCs w:val="18"/>
              </w:rPr>
              <w:t>活动水平数据获取</w:t>
            </w:r>
          </w:p>
        </w:tc>
        <w:tc>
          <w:tcPr>
            <w:tcW w:w="7566" w:type="dxa"/>
            <w:tcBorders>
              <w:tl2br w:val="nil"/>
              <w:tr2bl w:val="nil"/>
            </w:tcBorders>
          </w:tcPr>
          <w:p>
            <w:pPr>
              <w:ind w:firstLine="180" w:firstLineChars="100"/>
              <w:rPr>
                <w:rFonts w:ascii="宋体"/>
                <w:sz w:val="18"/>
                <w:szCs w:val="18"/>
              </w:rPr>
            </w:pPr>
            <w:r>
              <w:rPr>
                <w:rFonts w:hint="eastAsia" w:ascii="宋体"/>
                <w:sz w:val="18"/>
                <w:szCs w:val="18"/>
              </w:rPr>
              <w:t>化石燃料（</w:t>
            </w:r>
            <w:r>
              <w:rPr>
                <w:rFonts w:ascii="宋体"/>
                <w:sz w:val="18"/>
                <w:szCs w:val="18"/>
              </w:rPr>
              <w:t>固定源</w:t>
            </w:r>
            <w:r>
              <w:rPr>
                <w:rFonts w:hint="eastAsia" w:ascii="宋体"/>
                <w:sz w:val="18"/>
                <w:szCs w:val="18"/>
              </w:rPr>
              <w:t>）活动水平数据获取：采用出入库领用统计数据、购买结算单/结算发票、财务统计数据等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04" w:type="dxa"/>
            <w:vMerge w:val="continue"/>
            <w:tcBorders>
              <w:tl2br w:val="nil"/>
              <w:tr2bl w:val="nil"/>
            </w:tcBorders>
            <w:vAlign w:val="center"/>
          </w:tcPr>
          <w:p>
            <w:pPr>
              <w:pStyle w:val="20"/>
              <w:ind w:firstLine="0" w:firstLineChars="0"/>
              <w:jc w:val="center"/>
              <w:rPr>
                <w:sz w:val="18"/>
                <w:szCs w:val="18"/>
              </w:rPr>
            </w:pPr>
          </w:p>
        </w:tc>
        <w:tc>
          <w:tcPr>
            <w:tcW w:w="7566" w:type="dxa"/>
            <w:tcBorders>
              <w:tl2br w:val="nil"/>
              <w:tr2bl w:val="nil"/>
            </w:tcBorders>
          </w:tcPr>
          <w:p>
            <w:pPr>
              <w:rPr>
                <w:rFonts w:ascii="宋体"/>
                <w:sz w:val="18"/>
                <w:szCs w:val="18"/>
              </w:rPr>
            </w:pPr>
            <w:r>
              <w:rPr>
                <w:rFonts w:hint="eastAsia" w:ascii="宋体"/>
                <w:sz w:val="18"/>
                <w:szCs w:val="18"/>
              </w:rPr>
              <w:t>化石燃料（移动</w:t>
            </w:r>
            <w:r>
              <w:rPr>
                <w:rFonts w:ascii="宋体"/>
                <w:sz w:val="18"/>
                <w:szCs w:val="18"/>
              </w:rPr>
              <w:t>源</w:t>
            </w:r>
            <w:r>
              <w:rPr>
                <w:rFonts w:hint="eastAsia" w:ascii="宋体"/>
                <w:sz w:val="18"/>
                <w:szCs w:val="18"/>
              </w:rPr>
              <w:t>）活动水平数据获取：采用出入库领用统计数据、使用记录数据等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04" w:type="dxa"/>
            <w:vMerge w:val="continue"/>
            <w:tcBorders>
              <w:tl2br w:val="nil"/>
              <w:tr2bl w:val="nil"/>
            </w:tcBorders>
            <w:vAlign w:val="center"/>
          </w:tcPr>
          <w:p>
            <w:pPr>
              <w:pStyle w:val="20"/>
              <w:ind w:firstLine="0" w:firstLineChars="0"/>
              <w:jc w:val="center"/>
              <w:rPr>
                <w:sz w:val="18"/>
                <w:szCs w:val="18"/>
              </w:rPr>
            </w:pPr>
          </w:p>
        </w:tc>
        <w:tc>
          <w:tcPr>
            <w:tcW w:w="7566" w:type="dxa"/>
            <w:tcBorders>
              <w:tl2br w:val="nil"/>
              <w:tr2bl w:val="nil"/>
            </w:tcBorders>
          </w:tcPr>
          <w:p>
            <w:pPr>
              <w:rPr>
                <w:rFonts w:ascii="宋体"/>
                <w:sz w:val="18"/>
                <w:szCs w:val="18"/>
              </w:rPr>
            </w:pPr>
            <w:r>
              <w:rPr>
                <w:rFonts w:ascii="宋体" w:hAnsi="宋体"/>
                <w:bCs/>
                <w:sz w:val="18"/>
                <w:szCs w:val="18"/>
              </w:rPr>
              <w:t>净购入电力</w:t>
            </w:r>
            <w:r>
              <w:rPr>
                <w:rFonts w:hint="eastAsia" w:ascii="宋体"/>
                <w:sz w:val="18"/>
                <w:szCs w:val="18"/>
              </w:rPr>
              <w:t>活动水平数据获取：采用供电局电力结算单或电力发票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04" w:type="dxa"/>
            <w:vMerge w:val="continue"/>
            <w:tcBorders>
              <w:tl2br w:val="nil"/>
              <w:tr2bl w:val="nil"/>
            </w:tcBorders>
            <w:vAlign w:val="center"/>
          </w:tcPr>
          <w:p>
            <w:pPr>
              <w:pStyle w:val="20"/>
              <w:ind w:firstLine="0" w:firstLineChars="0"/>
              <w:jc w:val="center"/>
              <w:rPr>
                <w:sz w:val="18"/>
                <w:szCs w:val="18"/>
              </w:rPr>
            </w:pPr>
          </w:p>
        </w:tc>
        <w:tc>
          <w:tcPr>
            <w:tcW w:w="7566" w:type="dxa"/>
            <w:tcBorders>
              <w:tl2br w:val="nil"/>
              <w:tr2bl w:val="nil"/>
            </w:tcBorders>
          </w:tcPr>
          <w:p>
            <w:pPr>
              <w:rPr>
                <w:rFonts w:ascii="宋体"/>
                <w:sz w:val="18"/>
                <w:szCs w:val="18"/>
              </w:rPr>
            </w:pPr>
            <w:r>
              <w:rPr>
                <w:rFonts w:hint="eastAsia" w:ascii="宋体"/>
                <w:sz w:val="18"/>
                <w:szCs w:val="18"/>
              </w:rPr>
              <w:t>净购入热力活动水平数据获取：采用热力公司出具的结算单或供暖费发票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04" w:type="dxa"/>
            <w:tcBorders>
              <w:bottom w:val="single" w:color="auto" w:sz="8" w:space="0"/>
              <w:tl2br w:val="nil"/>
              <w:tr2bl w:val="nil"/>
            </w:tcBorders>
            <w:vAlign w:val="center"/>
          </w:tcPr>
          <w:p>
            <w:pPr>
              <w:jc w:val="center"/>
              <w:rPr>
                <w:rFonts w:ascii="宋体"/>
                <w:sz w:val="18"/>
                <w:szCs w:val="18"/>
              </w:rPr>
            </w:pPr>
            <w:r>
              <w:rPr>
                <w:rFonts w:hint="eastAsia" w:ascii="宋体"/>
                <w:sz w:val="18"/>
                <w:szCs w:val="18"/>
              </w:rPr>
              <w:t>排放因子选取</w:t>
            </w:r>
          </w:p>
        </w:tc>
        <w:tc>
          <w:tcPr>
            <w:tcW w:w="7566" w:type="dxa"/>
            <w:tcBorders>
              <w:bottom w:val="single" w:color="auto" w:sz="8" w:space="0"/>
              <w:tl2br w:val="nil"/>
              <w:tr2bl w:val="nil"/>
            </w:tcBorders>
          </w:tcPr>
          <w:p>
            <w:pPr>
              <w:ind w:firstLine="180" w:firstLineChars="100"/>
              <w:rPr>
                <w:rFonts w:ascii="宋体"/>
                <w:sz w:val="18"/>
                <w:szCs w:val="18"/>
              </w:rPr>
            </w:pPr>
            <w:r>
              <w:rPr>
                <w:rFonts w:hint="eastAsia" w:ascii="宋体"/>
                <w:sz w:val="18"/>
                <w:szCs w:val="18"/>
              </w:rPr>
              <w:t>燃煤、天然气、液化石油气、柴油、汽油等排放因子</w:t>
            </w:r>
            <w:r>
              <w:rPr>
                <w:rFonts w:ascii="宋体"/>
                <w:sz w:val="18"/>
                <w:szCs w:val="18"/>
              </w:rPr>
              <w:t>按照</w:t>
            </w:r>
            <w:r>
              <w:rPr>
                <w:rFonts w:hint="eastAsia" w:ascii="宋体"/>
                <w:sz w:val="18"/>
                <w:szCs w:val="18"/>
              </w:rPr>
              <w:t>《公共建筑运营企业</w:t>
            </w:r>
            <w:r>
              <w:rPr>
                <w:rFonts w:ascii="宋体"/>
                <w:sz w:val="18"/>
                <w:szCs w:val="18"/>
              </w:rPr>
              <w:t>温室气体排放核算方法与报告指南</w:t>
            </w:r>
            <w:r>
              <w:rPr>
                <w:rFonts w:hint="eastAsia" w:ascii="宋体"/>
                <w:sz w:val="18"/>
                <w:szCs w:val="18"/>
              </w:rPr>
              <w:t>（试行）》</w:t>
            </w:r>
            <w:r>
              <w:rPr>
                <w:rFonts w:ascii="宋体"/>
                <w:sz w:val="18"/>
                <w:szCs w:val="18"/>
              </w:rPr>
              <w:t>要求选择相应的缺省值</w:t>
            </w:r>
            <w:r>
              <w:rPr>
                <w:rFonts w:hint="eastAsia" w:ascii="宋体"/>
                <w:sz w:val="18"/>
                <w:szCs w:val="18"/>
              </w:rPr>
              <w:t>，见</w:t>
            </w:r>
            <w:r>
              <w:rPr>
                <w:rFonts w:ascii="宋体"/>
                <w:sz w:val="18"/>
                <w:szCs w:val="18"/>
              </w:rPr>
              <w:t>表B.</w:t>
            </w:r>
            <w:r>
              <w:rPr>
                <w:rFonts w:hint="eastAsia" w:ascii="宋体"/>
                <w:sz w:val="18"/>
                <w:szCs w:val="18"/>
              </w:rPr>
              <w:t>4。外购电力排放因子和外购热力排放因子见</w:t>
            </w:r>
            <w:r>
              <w:rPr>
                <w:rFonts w:ascii="宋体"/>
                <w:sz w:val="18"/>
                <w:szCs w:val="18"/>
              </w:rPr>
              <w:t>表B.</w:t>
            </w:r>
            <w:r>
              <w:rPr>
                <w:rFonts w:hint="eastAsia" w:ascii="宋体"/>
                <w:sz w:val="18"/>
                <w:szCs w:val="18"/>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9570" w:type="dxa"/>
            <w:gridSpan w:val="2"/>
            <w:tcBorders>
              <w:top w:val="single" w:color="auto" w:sz="8" w:space="0"/>
              <w:tl2br w:val="nil"/>
              <w:tr2bl w:val="nil"/>
            </w:tcBorders>
          </w:tcPr>
          <w:p>
            <w:pPr>
              <w:pStyle w:val="54"/>
            </w:pPr>
            <w:r>
              <w:rPr>
                <w:rFonts w:hint="eastAsia"/>
              </w:rPr>
              <w:t>外包产生的能源消耗不计算在内（比如食堂用天然气、液化石油气和车辆用汽油柴油等只计算</w:t>
            </w:r>
            <w:r>
              <w:rPr>
                <w:rFonts w:hint="eastAsia"/>
                <w:lang w:val="en-US" w:eastAsia="zh-CN"/>
              </w:rPr>
              <w:t>机关事业单位</w:t>
            </w:r>
            <w:r>
              <w:rPr>
                <w:rFonts w:hint="eastAsia"/>
              </w:rPr>
              <w:t>自承担</w:t>
            </w:r>
            <w:r>
              <w:rPr>
                <w:rFonts w:hint="eastAsia"/>
                <w:lang w:val="en-US" w:eastAsia="zh-CN"/>
              </w:rPr>
              <w:t>所</w:t>
            </w:r>
            <w:r>
              <w:rPr>
                <w:rFonts w:hint="eastAsia"/>
              </w:rPr>
              <w:t>消耗的量）。</w:t>
            </w:r>
          </w:p>
          <w:p>
            <w:pPr>
              <w:pStyle w:val="54"/>
            </w:pPr>
            <w:r>
              <w:rPr>
                <w:rFonts w:hint="eastAsia"/>
              </w:rPr>
              <w:t>绿电直供电量不计算在净购入电力活动数据。</w:t>
            </w:r>
          </w:p>
        </w:tc>
      </w:tr>
    </w:tbl>
    <w:p/>
    <w:p>
      <w:pPr>
        <w:ind w:firstLine="420"/>
        <w:rPr>
          <w:szCs w:val="21"/>
        </w:rPr>
      </w:pPr>
    </w:p>
    <w:p>
      <w:pPr>
        <w:ind w:firstLine="420"/>
        <w:rPr>
          <w:szCs w:val="21"/>
        </w:rPr>
      </w:pPr>
    </w:p>
    <w:p>
      <w:pPr>
        <w:ind w:firstLine="420"/>
        <w:rPr>
          <w:szCs w:val="21"/>
        </w:rPr>
      </w:pPr>
    </w:p>
    <w:p>
      <w:pPr>
        <w:ind w:firstLine="420"/>
        <w:rPr>
          <w:szCs w:val="21"/>
        </w:rPr>
      </w:pPr>
    </w:p>
    <w:p>
      <w:pPr>
        <w:rPr>
          <w:szCs w:val="21"/>
        </w:rPr>
      </w:pPr>
    </w:p>
    <w:p>
      <w:pPr>
        <w:ind w:firstLine="420"/>
        <w:rPr>
          <w:rFonts w:ascii="宋体" w:hAnsi="宋体"/>
          <w:b/>
          <w:bCs/>
          <w:kern w:val="44"/>
          <w:szCs w:val="21"/>
        </w:rPr>
      </w:pPr>
      <w:r>
        <w:rPr>
          <w:szCs w:val="21"/>
        </w:rPr>
        <w:t>表B</w:t>
      </w:r>
      <w:r>
        <w:rPr>
          <w:rFonts w:ascii="宋体" w:hAnsi="宋体"/>
          <w:szCs w:val="21"/>
        </w:rPr>
        <w:t>.</w:t>
      </w:r>
      <w:r>
        <w:rPr>
          <w:rFonts w:hint="eastAsia"/>
          <w:szCs w:val="21"/>
        </w:rPr>
        <w:t>2</w:t>
      </w:r>
      <w:r>
        <w:rPr>
          <w:rFonts w:ascii="宋体" w:hAnsi="宋体"/>
          <w:szCs w:val="21"/>
        </w:rPr>
        <w:t>中</w:t>
      </w:r>
      <w:r>
        <w:rPr>
          <w:rFonts w:hint="eastAsia" w:ascii="宋体" w:hAnsi="宋体"/>
          <w:szCs w:val="21"/>
        </w:rPr>
        <w:t>给出</w:t>
      </w:r>
      <w:r>
        <w:rPr>
          <w:rFonts w:ascii="宋体" w:hAnsi="宋体"/>
          <w:szCs w:val="21"/>
        </w:rPr>
        <w:t>了</w:t>
      </w:r>
      <w:r>
        <w:rPr>
          <w:rFonts w:hint="eastAsia" w:ascii="宋体" w:hAnsi="宋体"/>
          <w:szCs w:val="21"/>
        </w:rPr>
        <w:t>机关事业单位温室气体排放核算方法</w:t>
      </w:r>
      <w:r>
        <w:rPr>
          <w:rFonts w:hint="eastAsia" w:ascii="宋体" w:hAnsi="宋体"/>
          <w:b/>
          <w:bCs/>
          <w:kern w:val="44"/>
          <w:szCs w:val="21"/>
        </w:rPr>
        <w:t>。</w:t>
      </w:r>
    </w:p>
    <w:p>
      <w:pPr>
        <w:pStyle w:val="83"/>
        <w:spacing w:before="156" w:after="156"/>
      </w:pPr>
      <w:r>
        <w:rPr>
          <w:rFonts w:hint="eastAsia"/>
        </w:rPr>
        <w:t>机关事业单位日常运营温室气体排放核算方法</w:t>
      </w:r>
    </w:p>
    <w:tbl>
      <w:tblPr>
        <w:tblStyle w:val="2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64"/>
        <w:gridCol w:w="75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64" w:type="dxa"/>
            <w:tcBorders>
              <w:bottom w:val="single" w:color="auto" w:sz="8" w:space="0"/>
              <w:tl2br w:val="nil"/>
              <w:tr2bl w:val="nil"/>
            </w:tcBorders>
            <w:vAlign w:val="center"/>
          </w:tcPr>
          <w:p>
            <w:pPr>
              <w:snapToGrid w:val="0"/>
              <w:jc w:val="center"/>
              <w:rPr>
                <w:rFonts w:ascii="宋体"/>
              </w:rPr>
            </w:pPr>
            <w:r>
              <w:rPr>
                <w:rFonts w:ascii="宋体" w:hAnsi="宋体"/>
                <w:bCs/>
                <w:szCs w:val="18"/>
              </w:rPr>
              <w:t>排放类别</w:t>
            </w:r>
          </w:p>
        </w:tc>
        <w:tc>
          <w:tcPr>
            <w:tcW w:w="7506" w:type="dxa"/>
            <w:tcBorders>
              <w:bottom w:val="single" w:color="auto" w:sz="8" w:space="0"/>
              <w:tl2br w:val="nil"/>
              <w:tr2bl w:val="nil"/>
            </w:tcBorders>
            <w:vAlign w:val="center"/>
          </w:tcPr>
          <w:p>
            <w:pPr>
              <w:jc w:val="center"/>
              <w:rPr>
                <w:rFonts w:ascii="宋体"/>
                <w:szCs w:val="18"/>
              </w:rPr>
            </w:pPr>
            <w:r>
              <w:rPr>
                <w:rFonts w:ascii="宋体" w:hAnsi="宋体"/>
                <w:szCs w:val="18"/>
              </w:rPr>
              <w:t>计算公式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64" w:type="dxa"/>
            <w:tcBorders>
              <w:top w:val="single" w:color="auto" w:sz="8" w:space="0"/>
              <w:tl2br w:val="nil"/>
              <w:tr2bl w:val="nil"/>
            </w:tcBorders>
            <w:vAlign w:val="center"/>
          </w:tcPr>
          <w:p>
            <w:pPr>
              <w:pStyle w:val="20"/>
              <w:ind w:firstLine="360"/>
              <w:jc w:val="center"/>
              <w:rPr>
                <w:szCs w:val="18"/>
              </w:rPr>
            </w:pPr>
            <w:r>
              <w:rPr>
                <w:rFonts w:hint="eastAsia" w:hAnsi="宋体"/>
                <w:bCs/>
                <w:sz w:val="18"/>
                <w:szCs w:val="18"/>
              </w:rPr>
              <w:t>碳</w:t>
            </w:r>
            <w:r>
              <w:rPr>
                <w:rFonts w:hAnsi="宋体"/>
                <w:bCs/>
                <w:sz w:val="18"/>
                <w:szCs w:val="18"/>
              </w:rPr>
              <w:t>排放总量</w:t>
            </w:r>
          </w:p>
        </w:tc>
        <w:tc>
          <w:tcPr>
            <w:tcW w:w="7506" w:type="dxa"/>
            <w:tcBorders>
              <w:top w:val="single" w:color="auto" w:sz="8" w:space="0"/>
              <w:tl2br w:val="nil"/>
              <w:tr2bl w:val="nil"/>
            </w:tcBorders>
          </w:tcPr>
          <w:p>
            <w:pPr>
              <w:pStyle w:val="20"/>
              <w:tabs>
                <w:tab w:val="left" w:pos="1050"/>
                <w:tab w:val="left" w:pos="2730"/>
                <w:tab w:val="left" w:pos="3780"/>
                <w:tab w:val="right" w:leader="middleDot" w:pos="4200"/>
                <w:tab w:val="left" w:pos="4830"/>
                <w:tab w:val="left" w:pos="5460"/>
                <w:tab w:val="clear" w:pos="4201"/>
              </w:tabs>
              <w:ind w:firstLine="0" w:firstLineChars="0"/>
              <w:jc w:val="right"/>
              <w:rPr>
                <w:rFonts w:hAnsi="宋体"/>
                <w:sz w:val="18"/>
                <w:szCs w:val="18"/>
                <w:vertAlign w:val="subscript"/>
              </w:rPr>
            </w:pPr>
            <w:r>
              <w:rPr>
                <w:rFonts w:hint="eastAsia"/>
                <w:sz w:val="18"/>
                <w:szCs w:val="18"/>
              </w:rPr>
              <w:t xml:space="preserve">                               E</w:t>
            </w:r>
            <w:r>
              <w:rPr>
                <w:rFonts w:hint="eastAsia"/>
                <w:sz w:val="18"/>
                <w:szCs w:val="18"/>
                <w:vertAlign w:val="subscript"/>
              </w:rPr>
              <w:t>总</w:t>
            </w:r>
            <w:r>
              <w:rPr>
                <w:rFonts w:hint="eastAsia"/>
                <w:sz w:val="18"/>
                <w:szCs w:val="18"/>
              </w:rPr>
              <w:t>=E</w:t>
            </w:r>
            <w:r>
              <w:rPr>
                <w:rFonts w:hint="eastAsia"/>
                <w:sz w:val="18"/>
                <w:szCs w:val="18"/>
                <w:vertAlign w:val="subscript"/>
              </w:rPr>
              <w:t>燃料</w:t>
            </w:r>
            <w:r>
              <w:rPr>
                <w:rFonts w:hint="eastAsia"/>
                <w:sz w:val="18"/>
                <w:szCs w:val="18"/>
              </w:rPr>
              <w:t>+E</w:t>
            </w:r>
            <w:r>
              <w:rPr>
                <w:rFonts w:hint="eastAsia"/>
                <w:sz w:val="18"/>
                <w:szCs w:val="18"/>
                <w:vertAlign w:val="subscript"/>
              </w:rPr>
              <w:t>电力</w:t>
            </w:r>
            <w:r>
              <w:rPr>
                <w:rFonts w:hint="eastAsia"/>
                <w:sz w:val="18"/>
                <w:szCs w:val="18"/>
              </w:rPr>
              <w:t>+E</w:t>
            </w:r>
            <w:r>
              <w:rPr>
                <w:rFonts w:hint="eastAsia"/>
                <w:sz w:val="18"/>
                <w:szCs w:val="18"/>
                <w:vertAlign w:val="subscript"/>
              </w:rPr>
              <w:t>热力</w:t>
            </w:r>
            <w:r>
              <w:rPr>
                <w:rFonts w:hint="eastAsia" w:hAnsi="宋体" w:cs="宋体"/>
                <w:sz w:val="18"/>
                <w:szCs w:val="18"/>
              </w:rPr>
              <w:t>…………………………</w:t>
            </w:r>
            <w:r>
              <w:rPr>
                <w:rFonts w:hAnsi="宋体" w:cs="宋体"/>
                <w:sz w:val="18"/>
                <w:szCs w:val="18"/>
              </w:rPr>
              <w:t>…………</w:t>
            </w:r>
            <w:r>
              <w:rPr>
                <w:rFonts w:hint="eastAsia" w:hAnsi="宋体" w:cs="宋体"/>
                <w:sz w:val="18"/>
                <w:szCs w:val="18"/>
              </w:rPr>
              <w:t>（1）</w:t>
            </w:r>
          </w:p>
          <w:p>
            <w:pPr>
              <w:jc w:val="left"/>
              <w:rPr>
                <w:rFonts w:ascii="宋体"/>
                <w:szCs w:val="18"/>
              </w:rPr>
            </w:pPr>
            <w:r>
              <w:rPr>
                <w:rFonts w:hint="eastAsia" w:ascii="宋体"/>
              </w:rPr>
              <w:t>式中：</w:t>
            </w:r>
          </w:p>
          <w:p>
            <w:pPr>
              <w:pStyle w:val="20"/>
              <w:ind w:firstLine="0" w:firstLineChars="0"/>
              <w:rPr>
                <w:rFonts w:hAnsi="宋体"/>
                <w:sz w:val="18"/>
                <w:szCs w:val="18"/>
              </w:rPr>
            </w:pPr>
            <w:r>
              <w:rPr>
                <w:sz w:val="18"/>
                <w:szCs w:val="18"/>
              </w:rPr>
              <w:t>E</w:t>
            </w:r>
            <w:r>
              <w:rPr>
                <w:rFonts w:hint="eastAsia" w:hAnsi="宋体"/>
                <w:sz w:val="18"/>
                <w:szCs w:val="18"/>
                <w:vertAlign w:val="subscript"/>
              </w:rPr>
              <w:t>总</w:t>
            </w:r>
            <w:r>
              <w:rPr>
                <w:rFonts w:hint="eastAsia" w:hAnsi="宋体"/>
                <w:sz w:val="18"/>
                <w:szCs w:val="18"/>
              </w:rPr>
              <w:t xml:space="preserve">   </w:t>
            </w:r>
            <w:r>
              <w:rPr>
                <w:rFonts w:ascii="Times New Roman"/>
                <w:sz w:val="18"/>
                <w:szCs w:val="18"/>
              </w:rPr>
              <w:t>——</w:t>
            </w:r>
            <w:r>
              <w:rPr>
                <w:rFonts w:hAnsi="宋体"/>
                <w:sz w:val="18"/>
                <w:szCs w:val="18"/>
              </w:rPr>
              <w:t>报告主体</w:t>
            </w:r>
            <w:r>
              <w:rPr>
                <w:rFonts w:hint="eastAsia" w:hAnsi="宋体"/>
                <w:sz w:val="18"/>
                <w:szCs w:val="18"/>
              </w:rPr>
              <w:t>运营过程中的温室气体</w:t>
            </w:r>
            <w:r>
              <w:rPr>
                <w:rFonts w:hAnsi="宋体"/>
                <w:sz w:val="18"/>
                <w:szCs w:val="18"/>
              </w:rPr>
              <w:t>排放总量</w:t>
            </w:r>
            <w:r>
              <w:rPr>
                <w:rFonts w:hint="eastAsia" w:hAnsi="宋体"/>
                <w:sz w:val="18"/>
                <w:szCs w:val="18"/>
              </w:rPr>
              <w:t>，单位用</w:t>
            </w:r>
            <w:r>
              <w:rPr>
                <w:sz w:val="18"/>
                <w:szCs w:val="18"/>
              </w:rPr>
              <w:t>tCO</w:t>
            </w:r>
            <w:r>
              <w:rPr>
                <w:sz w:val="18"/>
                <w:szCs w:val="18"/>
                <w:vertAlign w:val="subscript"/>
              </w:rPr>
              <w:t>2</w:t>
            </w:r>
            <w:r>
              <w:rPr>
                <w:rFonts w:hint="eastAsia" w:hAnsi="宋体"/>
                <w:sz w:val="18"/>
                <w:szCs w:val="18"/>
              </w:rPr>
              <w:t>表示；</w:t>
            </w:r>
          </w:p>
          <w:p>
            <w:pPr>
              <w:pStyle w:val="20"/>
              <w:tabs>
                <w:tab w:val="clear" w:pos="4201"/>
              </w:tabs>
              <w:ind w:firstLine="0" w:firstLineChars="0"/>
              <w:rPr>
                <w:sz w:val="18"/>
                <w:szCs w:val="18"/>
              </w:rPr>
            </w:pPr>
            <w:r>
              <w:rPr>
                <w:sz w:val="18"/>
                <w:szCs w:val="18"/>
              </w:rPr>
              <w:t>E</w:t>
            </w:r>
            <w:r>
              <w:rPr>
                <w:rFonts w:hint="eastAsia" w:hAnsi="宋体"/>
                <w:sz w:val="18"/>
                <w:szCs w:val="18"/>
                <w:vertAlign w:val="subscript"/>
              </w:rPr>
              <w:t>燃料</w:t>
            </w:r>
            <w:r>
              <w:rPr>
                <w:rFonts w:hint="eastAsia" w:hAnsi="宋体"/>
                <w:sz w:val="18"/>
                <w:szCs w:val="18"/>
              </w:rPr>
              <w:t xml:space="preserve">  </w:t>
            </w:r>
            <w:r>
              <w:rPr>
                <w:rFonts w:ascii="Times New Roman"/>
                <w:sz w:val="18"/>
                <w:szCs w:val="18"/>
              </w:rPr>
              <w:t>——</w:t>
            </w:r>
            <w:r>
              <w:rPr>
                <w:rFonts w:hAnsi="宋体"/>
                <w:sz w:val="18"/>
                <w:szCs w:val="18"/>
              </w:rPr>
              <w:t>化石燃料燃烧</w:t>
            </w:r>
            <w:r>
              <w:rPr>
                <w:rFonts w:hint="eastAsia" w:hAnsi="宋体"/>
                <w:sz w:val="18"/>
                <w:szCs w:val="18"/>
              </w:rPr>
              <w:t>产生</w:t>
            </w:r>
            <w:r>
              <w:rPr>
                <w:rFonts w:hAnsi="宋体"/>
                <w:sz w:val="18"/>
                <w:szCs w:val="18"/>
              </w:rPr>
              <w:t>的</w:t>
            </w:r>
            <w:r>
              <w:rPr>
                <w:sz w:val="18"/>
                <w:szCs w:val="18"/>
              </w:rPr>
              <w:t>CO</w:t>
            </w:r>
            <w:r>
              <w:rPr>
                <w:sz w:val="18"/>
                <w:szCs w:val="18"/>
                <w:vertAlign w:val="subscript"/>
              </w:rPr>
              <w:t>2</w:t>
            </w:r>
            <w:r>
              <w:rPr>
                <w:rFonts w:hAnsi="宋体"/>
                <w:sz w:val="18"/>
                <w:szCs w:val="18"/>
              </w:rPr>
              <w:t>排放量</w:t>
            </w:r>
            <w:r>
              <w:rPr>
                <w:rFonts w:hint="eastAsia" w:hAnsi="宋体"/>
                <w:sz w:val="18"/>
                <w:szCs w:val="18"/>
              </w:rPr>
              <w:t>,单位用</w:t>
            </w:r>
            <w:r>
              <w:rPr>
                <w:sz w:val="18"/>
                <w:szCs w:val="18"/>
              </w:rPr>
              <w:t>tCO</w:t>
            </w:r>
            <w:r>
              <w:rPr>
                <w:sz w:val="18"/>
                <w:szCs w:val="18"/>
                <w:vertAlign w:val="subscript"/>
              </w:rPr>
              <w:t>2</w:t>
            </w:r>
            <w:r>
              <w:rPr>
                <w:rFonts w:hint="eastAsia"/>
                <w:sz w:val="18"/>
                <w:szCs w:val="18"/>
              </w:rPr>
              <w:t>表示；</w:t>
            </w:r>
          </w:p>
          <w:p>
            <w:pPr>
              <w:pStyle w:val="20"/>
              <w:ind w:firstLine="0" w:firstLineChars="0"/>
              <w:rPr>
                <w:sz w:val="18"/>
                <w:szCs w:val="18"/>
              </w:rPr>
            </w:pPr>
            <w:r>
              <w:rPr>
                <w:sz w:val="18"/>
                <w:szCs w:val="18"/>
              </w:rPr>
              <w:t>E</w:t>
            </w:r>
            <w:r>
              <w:rPr>
                <w:rFonts w:hAnsi="宋体"/>
                <w:sz w:val="18"/>
                <w:szCs w:val="18"/>
                <w:vertAlign w:val="subscript"/>
              </w:rPr>
              <w:t>电</w:t>
            </w:r>
            <w:r>
              <w:rPr>
                <w:rFonts w:hint="eastAsia" w:hAnsi="宋体"/>
                <w:sz w:val="18"/>
                <w:szCs w:val="18"/>
                <w:vertAlign w:val="subscript"/>
              </w:rPr>
              <w:t>力</w:t>
            </w:r>
            <w:r>
              <w:rPr>
                <w:rFonts w:hint="eastAsia" w:hAnsi="宋体"/>
                <w:sz w:val="18"/>
                <w:szCs w:val="18"/>
              </w:rPr>
              <w:t xml:space="preserve">  </w:t>
            </w:r>
            <w:r>
              <w:rPr>
                <w:rFonts w:ascii="Times New Roman"/>
                <w:sz w:val="18"/>
                <w:szCs w:val="18"/>
              </w:rPr>
              <w:t>——</w:t>
            </w:r>
            <w:r>
              <w:rPr>
                <w:rFonts w:hAnsi="宋体"/>
                <w:sz w:val="18"/>
                <w:szCs w:val="18"/>
              </w:rPr>
              <w:t>净购入电力产生的</w:t>
            </w:r>
            <w:r>
              <w:rPr>
                <w:sz w:val="18"/>
                <w:szCs w:val="18"/>
              </w:rPr>
              <w:t>CO</w:t>
            </w:r>
            <w:r>
              <w:rPr>
                <w:sz w:val="18"/>
                <w:szCs w:val="18"/>
                <w:vertAlign w:val="subscript"/>
              </w:rPr>
              <w:t>2</w:t>
            </w:r>
            <w:r>
              <w:rPr>
                <w:rFonts w:hAnsi="宋体"/>
                <w:sz w:val="18"/>
                <w:szCs w:val="18"/>
              </w:rPr>
              <w:t>排放量</w:t>
            </w:r>
            <w:r>
              <w:rPr>
                <w:rFonts w:hint="eastAsia" w:hAnsi="宋体"/>
                <w:sz w:val="18"/>
                <w:szCs w:val="18"/>
              </w:rPr>
              <w:t>,单位用</w:t>
            </w:r>
            <w:r>
              <w:rPr>
                <w:sz w:val="18"/>
                <w:szCs w:val="18"/>
              </w:rPr>
              <w:t>tCO</w:t>
            </w:r>
            <w:r>
              <w:rPr>
                <w:sz w:val="18"/>
                <w:szCs w:val="18"/>
                <w:vertAlign w:val="subscript"/>
              </w:rPr>
              <w:t>2</w:t>
            </w:r>
            <w:r>
              <w:rPr>
                <w:rFonts w:hint="eastAsia"/>
                <w:sz w:val="18"/>
                <w:szCs w:val="18"/>
              </w:rPr>
              <w:t>表示；</w:t>
            </w:r>
          </w:p>
          <w:p>
            <w:pPr>
              <w:pStyle w:val="20"/>
              <w:ind w:firstLine="0" w:firstLineChars="0"/>
              <w:rPr>
                <w:sz w:val="18"/>
                <w:szCs w:val="18"/>
              </w:rPr>
            </w:pPr>
            <w:r>
              <w:rPr>
                <w:sz w:val="18"/>
                <w:szCs w:val="18"/>
              </w:rPr>
              <w:t>E</w:t>
            </w:r>
            <w:r>
              <w:rPr>
                <w:rFonts w:hAnsi="宋体"/>
                <w:sz w:val="18"/>
                <w:szCs w:val="18"/>
                <w:vertAlign w:val="subscript"/>
              </w:rPr>
              <w:t>热</w:t>
            </w:r>
            <w:r>
              <w:rPr>
                <w:rFonts w:hint="eastAsia" w:hAnsi="宋体"/>
                <w:sz w:val="18"/>
                <w:szCs w:val="18"/>
                <w:vertAlign w:val="subscript"/>
              </w:rPr>
              <w:t>力</w:t>
            </w:r>
            <w:r>
              <w:rPr>
                <w:rFonts w:hint="eastAsia" w:hAnsi="宋体"/>
                <w:sz w:val="18"/>
                <w:szCs w:val="18"/>
              </w:rPr>
              <w:t xml:space="preserve">  </w:t>
            </w:r>
            <w:r>
              <w:rPr>
                <w:rFonts w:ascii="Times New Roman"/>
                <w:sz w:val="18"/>
                <w:szCs w:val="18"/>
              </w:rPr>
              <w:t>——</w:t>
            </w:r>
            <w:r>
              <w:rPr>
                <w:rFonts w:hint="eastAsia" w:hAnsi="宋体" w:cs="宋体"/>
                <w:spacing w:val="8"/>
                <w:sz w:val="18"/>
                <w:szCs w:val="18"/>
              </w:rPr>
              <w:t>购入热力（蒸汽、热水等）所对应的</w:t>
            </w:r>
            <w:r>
              <w:rPr>
                <w:sz w:val="18"/>
                <w:szCs w:val="18"/>
              </w:rPr>
              <w:t>CO</w:t>
            </w:r>
            <w:r>
              <w:rPr>
                <w:sz w:val="18"/>
                <w:szCs w:val="18"/>
                <w:vertAlign w:val="subscript"/>
              </w:rPr>
              <w:t>2</w:t>
            </w:r>
            <w:r>
              <w:rPr>
                <w:rFonts w:hAnsi="宋体"/>
                <w:sz w:val="18"/>
                <w:szCs w:val="18"/>
              </w:rPr>
              <w:t xml:space="preserve"> 排放量</w:t>
            </w:r>
            <w:r>
              <w:rPr>
                <w:rFonts w:hint="eastAsia" w:hAnsi="宋体"/>
                <w:sz w:val="18"/>
                <w:szCs w:val="18"/>
              </w:rPr>
              <w:t>，单位用</w:t>
            </w:r>
            <w:r>
              <w:rPr>
                <w:sz w:val="18"/>
                <w:szCs w:val="18"/>
              </w:rPr>
              <w:t>tCO</w:t>
            </w:r>
            <w:r>
              <w:rPr>
                <w:sz w:val="18"/>
                <w:szCs w:val="18"/>
                <w:vertAlign w:val="subscript"/>
              </w:rPr>
              <w:t>2</w:t>
            </w:r>
            <w:r>
              <w:rPr>
                <w:rFonts w:hint="eastAsia"/>
                <w:sz w:val="18"/>
                <w:szCs w:val="18"/>
              </w:rPr>
              <w:t>表示；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64" w:type="dxa"/>
            <w:tcBorders>
              <w:tl2br w:val="nil"/>
              <w:tr2bl w:val="nil"/>
            </w:tcBorders>
            <w:vAlign w:val="center"/>
          </w:tcPr>
          <w:p>
            <w:pPr>
              <w:pStyle w:val="20"/>
              <w:tabs>
                <w:tab w:val="clear" w:pos="4201"/>
              </w:tabs>
              <w:ind w:firstLine="0" w:firstLineChars="0"/>
              <w:jc w:val="center"/>
              <w:rPr>
                <w:rFonts w:hAnsi="宋体"/>
                <w:bCs/>
                <w:sz w:val="18"/>
                <w:szCs w:val="18"/>
              </w:rPr>
            </w:pPr>
            <w:r>
              <w:rPr>
                <w:rFonts w:hAnsi="宋体"/>
                <w:bCs/>
                <w:sz w:val="18"/>
                <w:szCs w:val="18"/>
              </w:rPr>
              <w:t>化石燃料燃烧产生的</w:t>
            </w:r>
          </w:p>
          <w:p>
            <w:pPr>
              <w:pStyle w:val="20"/>
              <w:tabs>
                <w:tab w:val="clear" w:pos="4201"/>
              </w:tabs>
              <w:ind w:firstLine="0" w:firstLineChars="0"/>
              <w:jc w:val="center"/>
              <w:rPr>
                <w:szCs w:val="18"/>
              </w:rPr>
            </w:pPr>
            <w:r>
              <w:rPr>
                <w:rFonts w:hint="eastAsia" w:hAnsi="宋体"/>
                <w:bCs/>
                <w:sz w:val="18"/>
                <w:szCs w:val="18"/>
              </w:rPr>
              <w:t>碳</w:t>
            </w:r>
            <w:r>
              <w:rPr>
                <w:rFonts w:hAnsi="宋体"/>
                <w:bCs/>
                <w:sz w:val="18"/>
                <w:szCs w:val="18"/>
              </w:rPr>
              <w:t>排放</w:t>
            </w:r>
            <w:r>
              <w:rPr>
                <w:rFonts w:hint="eastAsia" w:hAnsi="宋体"/>
                <w:bCs/>
                <w:sz w:val="18"/>
                <w:szCs w:val="18"/>
              </w:rPr>
              <w:t>量</w:t>
            </w:r>
          </w:p>
        </w:tc>
        <w:tc>
          <w:tcPr>
            <w:tcW w:w="7506" w:type="dxa"/>
            <w:tcBorders>
              <w:tl2br w:val="nil"/>
              <w:tr2bl w:val="nil"/>
            </w:tcBorders>
          </w:tcPr>
          <w:p>
            <w:pPr>
              <w:pStyle w:val="20"/>
              <w:tabs>
                <w:tab w:val="right" w:leader="middleDot" w:pos="4200"/>
                <w:tab w:val="clear" w:pos="4201"/>
              </w:tabs>
              <w:ind w:firstLine="2700" w:firstLineChars="1500"/>
              <w:jc w:val="right"/>
              <w:rPr>
                <w:rFonts w:hAnsi="宋体"/>
                <w:sz w:val="18"/>
                <w:szCs w:val="18"/>
              </w:rPr>
            </w:pPr>
            <w:r>
              <w:rPr>
                <w:sz w:val="18"/>
                <w:szCs w:val="18"/>
              </w:rPr>
              <w:t>E</w:t>
            </w:r>
            <w:r>
              <w:rPr>
                <w:rFonts w:hint="eastAsia" w:hAnsi="宋体"/>
                <w:sz w:val="18"/>
                <w:szCs w:val="18"/>
                <w:vertAlign w:val="subscript"/>
              </w:rPr>
              <w:t>燃料</w:t>
            </w:r>
            <w:r>
              <w:rPr>
                <w:rFonts w:hAnsi="宋体"/>
                <w:sz w:val="18"/>
                <w:szCs w:val="18"/>
              </w:rPr>
              <w:t>= ∑</w:t>
            </w:r>
            <w:r>
              <w:rPr>
                <w:sz w:val="18"/>
                <w:szCs w:val="18"/>
                <w:vertAlign w:val="subscript"/>
              </w:rPr>
              <w:t>i</w:t>
            </w:r>
            <w:r>
              <w:rPr>
                <w:rFonts w:hAnsi="宋体"/>
                <w:sz w:val="18"/>
                <w:szCs w:val="18"/>
              </w:rPr>
              <w:t>（</w:t>
            </w:r>
            <w:r>
              <w:rPr>
                <w:sz w:val="18"/>
                <w:szCs w:val="18"/>
              </w:rPr>
              <w:t>AD</w:t>
            </w:r>
            <w:r>
              <w:rPr>
                <w:sz w:val="18"/>
                <w:szCs w:val="18"/>
                <w:vertAlign w:val="subscript"/>
              </w:rPr>
              <w:t>i</w:t>
            </w:r>
            <w:r>
              <w:rPr>
                <w:rFonts w:hAnsi="宋体"/>
                <w:sz w:val="18"/>
                <w:szCs w:val="18"/>
              </w:rPr>
              <w:t>×</w:t>
            </w:r>
            <w:r>
              <w:rPr>
                <w:sz w:val="18"/>
                <w:szCs w:val="18"/>
              </w:rPr>
              <w:t>EF</w:t>
            </w:r>
            <w:r>
              <w:rPr>
                <w:sz w:val="18"/>
                <w:szCs w:val="18"/>
                <w:vertAlign w:val="subscript"/>
              </w:rPr>
              <w:t>i</w:t>
            </w:r>
            <w:r>
              <w:rPr>
                <w:rFonts w:hAnsi="宋体"/>
                <w:sz w:val="18"/>
                <w:szCs w:val="18"/>
              </w:rPr>
              <w:t>）………</w:t>
            </w:r>
            <w:r>
              <w:rPr>
                <w:rFonts w:hint="eastAsia" w:hAnsi="宋体" w:cs="宋体"/>
                <w:sz w:val="18"/>
                <w:szCs w:val="18"/>
              </w:rPr>
              <w:t>………………………（2）</w:t>
            </w:r>
          </w:p>
          <w:p>
            <w:pPr>
              <w:jc w:val="left"/>
              <w:rPr>
                <w:rFonts w:ascii="宋体" w:hAnsi="宋体"/>
                <w:szCs w:val="18"/>
              </w:rPr>
            </w:pPr>
            <w:r>
              <w:rPr>
                <w:rFonts w:hint="eastAsia" w:ascii="宋体"/>
              </w:rPr>
              <w:t>式中：</w:t>
            </w:r>
          </w:p>
          <w:p>
            <w:pPr>
              <w:pStyle w:val="20"/>
              <w:tabs>
                <w:tab w:val="left" w:pos="4200"/>
                <w:tab w:val="clear" w:pos="4201"/>
              </w:tabs>
              <w:ind w:firstLine="0" w:firstLineChars="0"/>
              <w:rPr>
                <w:sz w:val="18"/>
                <w:szCs w:val="18"/>
              </w:rPr>
            </w:pPr>
            <w:r>
              <w:rPr>
                <w:sz w:val="18"/>
                <w:szCs w:val="18"/>
              </w:rPr>
              <w:t>E</w:t>
            </w:r>
            <w:r>
              <w:rPr>
                <w:rFonts w:hint="eastAsia" w:hAnsi="宋体"/>
                <w:sz w:val="18"/>
                <w:szCs w:val="18"/>
                <w:vertAlign w:val="subscript"/>
              </w:rPr>
              <w:t>燃料</w:t>
            </w:r>
            <w:r>
              <w:rPr>
                <w:rFonts w:hint="eastAsia" w:hAnsi="宋体"/>
                <w:sz w:val="18"/>
                <w:szCs w:val="18"/>
              </w:rPr>
              <w:t xml:space="preserve">  </w:t>
            </w:r>
            <w:r>
              <w:rPr>
                <w:rFonts w:ascii="Times New Roman"/>
                <w:sz w:val="18"/>
                <w:szCs w:val="18"/>
              </w:rPr>
              <w:t>——</w:t>
            </w:r>
            <w:r>
              <w:rPr>
                <w:rFonts w:hAnsi="宋体"/>
                <w:sz w:val="18"/>
                <w:szCs w:val="18"/>
              </w:rPr>
              <w:t>化石燃料燃烧</w:t>
            </w:r>
            <w:r>
              <w:rPr>
                <w:rFonts w:hint="eastAsia" w:hAnsi="宋体"/>
                <w:sz w:val="18"/>
                <w:szCs w:val="18"/>
              </w:rPr>
              <w:t>产生</w:t>
            </w:r>
            <w:r>
              <w:rPr>
                <w:rFonts w:hAnsi="宋体"/>
                <w:sz w:val="18"/>
                <w:szCs w:val="18"/>
              </w:rPr>
              <w:t>的</w:t>
            </w:r>
            <w:r>
              <w:rPr>
                <w:sz w:val="18"/>
                <w:szCs w:val="18"/>
              </w:rPr>
              <w:t>CO</w:t>
            </w:r>
            <w:r>
              <w:rPr>
                <w:sz w:val="18"/>
                <w:szCs w:val="18"/>
                <w:vertAlign w:val="subscript"/>
              </w:rPr>
              <w:t>2</w:t>
            </w:r>
            <w:r>
              <w:rPr>
                <w:rFonts w:hAnsi="宋体"/>
                <w:sz w:val="18"/>
                <w:szCs w:val="18"/>
              </w:rPr>
              <w:t>排放量</w:t>
            </w:r>
            <w:r>
              <w:rPr>
                <w:rFonts w:hint="eastAsia" w:hAnsi="宋体"/>
                <w:sz w:val="18"/>
                <w:szCs w:val="18"/>
              </w:rPr>
              <w:t>,单位用</w:t>
            </w:r>
            <w:r>
              <w:rPr>
                <w:sz w:val="18"/>
                <w:szCs w:val="18"/>
              </w:rPr>
              <w:t>tCO</w:t>
            </w:r>
            <w:r>
              <w:rPr>
                <w:sz w:val="18"/>
                <w:szCs w:val="18"/>
                <w:vertAlign w:val="subscript"/>
              </w:rPr>
              <w:t>2</w:t>
            </w:r>
            <w:r>
              <w:rPr>
                <w:rFonts w:hint="eastAsia"/>
                <w:sz w:val="18"/>
                <w:szCs w:val="18"/>
              </w:rPr>
              <w:t>表示；</w:t>
            </w:r>
          </w:p>
          <w:p>
            <w:pPr>
              <w:pStyle w:val="20"/>
              <w:ind w:firstLine="0" w:firstLineChars="0"/>
              <w:rPr>
                <w:rFonts w:hAnsi="宋体"/>
                <w:sz w:val="18"/>
                <w:szCs w:val="18"/>
              </w:rPr>
            </w:pPr>
            <w:r>
              <w:rPr>
                <w:sz w:val="18"/>
                <w:szCs w:val="18"/>
              </w:rPr>
              <w:t>AD</w:t>
            </w:r>
            <w:r>
              <w:rPr>
                <w:sz w:val="18"/>
                <w:szCs w:val="18"/>
                <w:vertAlign w:val="subscript"/>
              </w:rPr>
              <w:t>i</w:t>
            </w:r>
            <w:r>
              <w:rPr>
                <w:rFonts w:hint="eastAsia"/>
                <w:sz w:val="18"/>
                <w:szCs w:val="18"/>
                <w:vertAlign w:val="subscript"/>
              </w:rPr>
              <w:t xml:space="preserve"> </w:t>
            </w:r>
            <w:r>
              <w:rPr>
                <w:rFonts w:hint="eastAsia"/>
                <w:sz w:val="18"/>
                <w:szCs w:val="18"/>
              </w:rPr>
              <w:t xml:space="preserve">  </w:t>
            </w:r>
            <w:r>
              <w:rPr>
                <w:rFonts w:ascii="Times New Roman"/>
                <w:sz w:val="18"/>
                <w:szCs w:val="18"/>
              </w:rPr>
              <w:t>——</w:t>
            </w:r>
            <w:r>
              <w:rPr>
                <w:rFonts w:hint="eastAsia" w:hAnsi="宋体" w:cs="宋体"/>
                <w:spacing w:val="8"/>
                <w:sz w:val="18"/>
                <w:szCs w:val="18"/>
              </w:rPr>
              <w:t>第</w:t>
            </w:r>
            <w:r>
              <w:rPr>
                <w:rFonts w:hint="eastAsia" w:cs="宋体"/>
                <w:spacing w:val="8"/>
                <w:sz w:val="18"/>
                <w:szCs w:val="18"/>
              </w:rPr>
              <w:t>i</w:t>
            </w:r>
            <w:r>
              <w:rPr>
                <w:rFonts w:hint="eastAsia" w:hAnsi="宋体" w:cs="宋体"/>
                <w:spacing w:val="8"/>
                <w:sz w:val="18"/>
                <w:szCs w:val="18"/>
              </w:rPr>
              <w:t>种化石燃料的活动水平数据，单位用</w:t>
            </w:r>
            <w:r>
              <w:rPr>
                <w:sz w:val="18"/>
                <w:szCs w:val="18"/>
              </w:rPr>
              <w:t>GJ</w:t>
            </w:r>
            <w:r>
              <w:rPr>
                <w:rFonts w:hint="eastAsia"/>
                <w:sz w:val="18"/>
                <w:szCs w:val="18"/>
              </w:rPr>
              <w:t>表示；</w:t>
            </w:r>
          </w:p>
          <w:p>
            <w:pPr>
              <w:pStyle w:val="20"/>
              <w:ind w:firstLine="0" w:firstLineChars="0"/>
              <w:rPr>
                <w:rFonts w:hAnsi="宋体"/>
                <w:sz w:val="18"/>
                <w:szCs w:val="18"/>
              </w:rPr>
            </w:pPr>
            <w:r>
              <w:rPr>
                <w:sz w:val="18"/>
                <w:szCs w:val="18"/>
              </w:rPr>
              <w:t>EF</w:t>
            </w:r>
            <w:r>
              <w:rPr>
                <w:sz w:val="18"/>
                <w:szCs w:val="18"/>
                <w:vertAlign w:val="subscript"/>
              </w:rPr>
              <w:t>i</w:t>
            </w:r>
            <w:r>
              <w:rPr>
                <w:rFonts w:hint="eastAsia"/>
                <w:sz w:val="18"/>
                <w:szCs w:val="18"/>
                <w:vertAlign w:val="subscript"/>
              </w:rPr>
              <w:t xml:space="preserve"> </w:t>
            </w:r>
            <w:r>
              <w:rPr>
                <w:rFonts w:hint="eastAsia"/>
                <w:sz w:val="18"/>
                <w:szCs w:val="18"/>
              </w:rPr>
              <w:t xml:space="preserve">  </w:t>
            </w:r>
            <w:r>
              <w:rPr>
                <w:rFonts w:ascii="Times New Roman"/>
                <w:sz w:val="18"/>
                <w:szCs w:val="18"/>
              </w:rPr>
              <w:t>——</w:t>
            </w:r>
            <w:r>
              <w:rPr>
                <w:rFonts w:hint="eastAsia" w:hAnsi="宋体" w:cs="宋体"/>
                <w:spacing w:val="8"/>
                <w:sz w:val="18"/>
                <w:szCs w:val="18"/>
              </w:rPr>
              <w:t>第</w:t>
            </w:r>
            <w:r>
              <w:rPr>
                <w:rFonts w:hint="eastAsia" w:cs="宋体"/>
                <w:spacing w:val="8"/>
                <w:sz w:val="18"/>
                <w:szCs w:val="18"/>
              </w:rPr>
              <w:t>i</w:t>
            </w:r>
            <w:r>
              <w:rPr>
                <w:rFonts w:hint="eastAsia" w:hAnsi="宋体" w:cs="宋体"/>
                <w:spacing w:val="8"/>
                <w:sz w:val="18"/>
                <w:szCs w:val="18"/>
              </w:rPr>
              <w:t>种化石燃料的排放因子，单位用</w:t>
            </w:r>
            <w:r>
              <w:rPr>
                <w:sz w:val="18"/>
                <w:szCs w:val="18"/>
              </w:rPr>
              <w:t>tCO</w:t>
            </w:r>
            <w:r>
              <w:rPr>
                <w:sz w:val="18"/>
                <w:szCs w:val="18"/>
                <w:vertAlign w:val="subscript"/>
              </w:rPr>
              <w:t>2</w:t>
            </w:r>
            <w:r>
              <w:rPr>
                <w:rFonts w:hAnsi="宋体"/>
                <w:sz w:val="18"/>
                <w:szCs w:val="18"/>
              </w:rPr>
              <w:t>/</w:t>
            </w:r>
            <w:r>
              <w:rPr>
                <w:sz w:val="18"/>
                <w:szCs w:val="18"/>
              </w:rPr>
              <w:t>GJ</w:t>
            </w:r>
            <w:r>
              <w:rPr>
                <w:rFonts w:hint="eastAsia"/>
                <w:sz w:val="18"/>
                <w:szCs w:val="18"/>
              </w:rPr>
              <w:t>表示；</w:t>
            </w:r>
          </w:p>
          <w:p>
            <w:pPr>
              <w:pStyle w:val="20"/>
              <w:ind w:firstLine="0" w:firstLineChars="0"/>
              <w:rPr>
                <w:rFonts w:hAnsi="宋体" w:cs="宋体"/>
                <w:spacing w:val="8"/>
                <w:sz w:val="18"/>
                <w:szCs w:val="18"/>
              </w:rPr>
            </w:pPr>
            <w:r>
              <w:rPr>
                <w:rFonts w:hint="eastAsia" w:hAnsi="宋体" w:cs="宋体"/>
                <w:spacing w:val="8"/>
                <w:sz w:val="18"/>
                <w:szCs w:val="18"/>
              </w:rPr>
              <w:t xml:space="preserve">i   </w:t>
            </w:r>
            <w:r>
              <w:rPr>
                <w:rFonts w:ascii="Times New Roman"/>
                <w:sz w:val="18"/>
                <w:szCs w:val="18"/>
              </w:rPr>
              <w:t>——</w:t>
            </w:r>
            <w:r>
              <w:rPr>
                <w:rFonts w:hint="eastAsia" w:hAnsi="宋体" w:cs="宋体"/>
                <w:spacing w:val="8"/>
                <w:sz w:val="18"/>
                <w:szCs w:val="18"/>
              </w:rPr>
              <w:t>化石燃料类型代号。</w:t>
            </w:r>
          </w:p>
          <w:p>
            <w:pPr>
              <w:pStyle w:val="20"/>
              <w:tabs>
                <w:tab w:val="clear" w:pos="4201"/>
              </w:tabs>
              <w:ind w:firstLine="0" w:firstLineChars="0"/>
              <w:jc w:val="right"/>
              <w:rPr>
                <w:rFonts w:hAnsi="宋体" w:cs="宋体"/>
                <w:sz w:val="18"/>
                <w:szCs w:val="18"/>
              </w:rPr>
            </w:pPr>
            <w:r>
              <w:rPr>
                <w:sz w:val="18"/>
                <w:szCs w:val="18"/>
              </w:rPr>
              <w:t>AD</w:t>
            </w:r>
            <w:r>
              <w:rPr>
                <w:sz w:val="18"/>
                <w:szCs w:val="18"/>
                <w:vertAlign w:val="subscript"/>
              </w:rPr>
              <w:t>i</w:t>
            </w:r>
            <w:r>
              <w:rPr>
                <w:rFonts w:hAnsi="宋体"/>
                <w:sz w:val="18"/>
                <w:szCs w:val="18"/>
              </w:rPr>
              <w:t>=</w:t>
            </w:r>
            <w:r>
              <w:rPr>
                <w:sz w:val="18"/>
                <w:szCs w:val="18"/>
              </w:rPr>
              <w:t>RL</w:t>
            </w:r>
            <w:r>
              <w:rPr>
                <w:sz w:val="18"/>
                <w:szCs w:val="18"/>
                <w:vertAlign w:val="subscript"/>
              </w:rPr>
              <w:t>i</w:t>
            </w:r>
            <w:r>
              <w:rPr>
                <w:rFonts w:hAnsi="宋体"/>
                <w:sz w:val="18"/>
                <w:szCs w:val="18"/>
              </w:rPr>
              <w:t xml:space="preserve">× </w:t>
            </w:r>
            <w:r>
              <w:rPr>
                <w:sz w:val="18"/>
                <w:szCs w:val="18"/>
              </w:rPr>
              <w:t>RZ</w:t>
            </w:r>
            <w:r>
              <w:rPr>
                <w:sz w:val="18"/>
                <w:szCs w:val="18"/>
                <w:vertAlign w:val="subscript"/>
              </w:rPr>
              <w:t>i</w:t>
            </w:r>
            <w:r>
              <w:rPr>
                <w:rFonts w:hint="eastAsia" w:hAnsi="宋体" w:cs="宋体"/>
                <w:sz w:val="18"/>
                <w:szCs w:val="18"/>
              </w:rPr>
              <w:t>…………………</w:t>
            </w:r>
            <w:r>
              <w:rPr>
                <w:rFonts w:hAnsi="宋体" w:cs="宋体"/>
                <w:sz w:val="18"/>
                <w:szCs w:val="18"/>
              </w:rPr>
              <w:t>……………………</w:t>
            </w:r>
            <w:r>
              <w:rPr>
                <w:rFonts w:hint="eastAsia" w:hAnsi="宋体" w:cs="宋体"/>
                <w:sz w:val="18"/>
                <w:szCs w:val="18"/>
              </w:rPr>
              <w:t>.（3）</w:t>
            </w:r>
          </w:p>
          <w:p>
            <w:pPr>
              <w:jc w:val="left"/>
              <w:rPr>
                <w:rFonts w:ascii="宋体" w:hAnsi="宋体" w:cs="宋体"/>
                <w:szCs w:val="18"/>
              </w:rPr>
            </w:pPr>
            <w:r>
              <w:rPr>
                <w:rFonts w:hint="eastAsia" w:ascii="宋体"/>
              </w:rPr>
              <w:t>式中：</w:t>
            </w:r>
          </w:p>
          <w:p>
            <w:pPr>
              <w:pStyle w:val="20"/>
              <w:ind w:firstLine="0" w:firstLineChars="0"/>
              <w:rPr>
                <w:sz w:val="18"/>
                <w:szCs w:val="18"/>
                <w:vertAlign w:val="subscript"/>
              </w:rPr>
            </w:pPr>
            <w:r>
              <w:rPr>
                <w:sz w:val="18"/>
                <w:szCs w:val="18"/>
              </w:rPr>
              <w:t>AD</w:t>
            </w:r>
            <w:r>
              <w:rPr>
                <w:sz w:val="18"/>
                <w:szCs w:val="18"/>
                <w:vertAlign w:val="subscript"/>
              </w:rPr>
              <w:t>i</w:t>
            </w:r>
            <w:r>
              <w:rPr>
                <w:rFonts w:hint="eastAsia"/>
                <w:sz w:val="18"/>
                <w:szCs w:val="18"/>
              </w:rPr>
              <w:t xml:space="preserve">  </w:t>
            </w:r>
            <w:r>
              <w:rPr>
                <w:rFonts w:ascii="Times New Roman"/>
                <w:sz w:val="18"/>
                <w:szCs w:val="18"/>
              </w:rPr>
              <w:t>——</w:t>
            </w:r>
            <w:r>
              <w:rPr>
                <w:rFonts w:hint="eastAsia" w:hAnsi="宋体" w:cs="宋体"/>
                <w:spacing w:val="8"/>
                <w:sz w:val="18"/>
                <w:szCs w:val="18"/>
              </w:rPr>
              <w:t>第</w:t>
            </w:r>
            <w:r>
              <w:rPr>
                <w:rFonts w:hint="eastAsia" w:cs="宋体"/>
                <w:spacing w:val="8"/>
                <w:sz w:val="18"/>
                <w:szCs w:val="18"/>
              </w:rPr>
              <w:t>i</w:t>
            </w:r>
            <w:r>
              <w:rPr>
                <w:rFonts w:hint="eastAsia" w:hAnsi="宋体" w:cs="宋体"/>
                <w:spacing w:val="8"/>
                <w:sz w:val="18"/>
                <w:szCs w:val="18"/>
              </w:rPr>
              <w:t>种化石燃料的活动水平数据，单位用</w:t>
            </w:r>
            <w:r>
              <w:rPr>
                <w:sz w:val="18"/>
                <w:szCs w:val="18"/>
              </w:rPr>
              <w:t>GJ</w:t>
            </w:r>
            <w:r>
              <w:rPr>
                <w:rFonts w:hint="eastAsia"/>
                <w:sz w:val="18"/>
                <w:szCs w:val="18"/>
              </w:rPr>
              <w:t>表示；</w:t>
            </w:r>
          </w:p>
          <w:p>
            <w:pPr>
              <w:pStyle w:val="20"/>
              <w:tabs>
                <w:tab w:val="left" w:pos="2862"/>
              </w:tabs>
              <w:ind w:firstLine="0" w:firstLineChars="0"/>
              <w:jc w:val="left"/>
              <w:rPr>
                <w:rFonts w:hAnsi="宋体"/>
                <w:sz w:val="18"/>
                <w:szCs w:val="18"/>
              </w:rPr>
            </w:pPr>
            <w:r>
              <w:rPr>
                <w:sz w:val="18"/>
                <w:szCs w:val="18"/>
              </w:rPr>
              <w:t>RL</w:t>
            </w:r>
            <w:r>
              <w:rPr>
                <w:sz w:val="18"/>
                <w:szCs w:val="18"/>
                <w:vertAlign w:val="subscript"/>
              </w:rPr>
              <w:t>i</w:t>
            </w:r>
            <w:r>
              <w:rPr>
                <w:rFonts w:hint="eastAsia"/>
                <w:sz w:val="18"/>
                <w:szCs w:val="18"/>
              </w:rPr>
              <w:t xml:space="preserve">  </w:t>
            </w:r>
            <w:r>
              <w:rPr>
                <w:rFonts w:ascii="Times New Roman"/>
                <w:sz w:val="18"/>
                <w:szCs w:val="18"/>
              </w:rPr>
              <w:t>——</w:t>
            </w:r>
            <w:r>
              <w:rPr>
                <w:rFonts w:hint="eastAsia" w:hAnsi="宋体" w:cs="宋体"/>
                <w:spacing w:val="8"/>
                <w:sz w:val="18"/>
                <w:szCs w:val="18"/>
              </w:rPr>
              <w:t>核算和报告期第</w:t>
            </w:r>
            <w:r>
              <w:rPr>
                <w:rFonts w:hint="eastAsia" w:cs="宋体"/>
                <w:spacing w:val="8"/>
                <w:sz w:val="18"/>
                <w:szCs w:val="18"/>
              </w:rPr>
              <w:t>i</w:t>
            </w:r>
            <w:r>
              <w:rPr>
                <w:rFonts w:hint="eastAsia" w:hAnsi="宋体" w:cs="宋体"/>
                <w:spacing w:val="8"/>
                <w:sz w:val="18"/>
                <w:szCs w:val="18"/>
              </w:rPr>
              <w:t>种化石燃料的消耗量，单位用</w:t>
            </w:r>
            <w:r>
              <w:rPr>
                <w:sz w:val="18"/>
                <w:szCs w:val="18"/>
              </w:rPr>
              <w:t>t</w:t>
            </w:r>
            <w:r>
              <w:rPr>
                <w:rFonts w:hint="eastAsia" w:hAnsi="宋体"/>
                <w:sz w:val="18"/>
                <w:szCs w:val="18"/>
              </w:rPr>
              <w:t>或</w:t>
            </w:r>
            <w:r>
              <w:rPr>
                <w:rFonts w:hAnsi="宋体"/>
                <w:sz w:val="18"/>
                <w:szCs w:val="18"/>
              </w:rPr>
              <w:t>万</w:t>
            </w:r>
            <w:r>
              <w:rPr>
                <w:sz w:val="18"/>
                <w:szCs w:val="18"/>
              </w:rPr>
              <w:t>Nm</w:t>
            </w:r>
            <w:r>
              <w:rPr>
                <w:rFonts w:hAnsi="宋体"/>
                <w:sz w:val="18"/>
                <w:szCs w:val="18"/>
              </w:rPr>
              <w:t>³</w:t>
            </w:r>
            <w:r>
              <w:rPr>
                <w:rFonts w:hint="eastAsia" w:hAnsi="宋体"/>
                <w:sz w:val="18"/>
                <w:szCs w:val="18"/>
              </w:rPr>
              <w:t>表示；</w:t>
            </w:r>
          </w:p>
          <w:p>
            <w:pPr>
              <w:pStyle w:val="20"/>
              <w:tabs>
                <w:tab w:val="left" w:pos="2862"/>
              </w:tabs>
              <w:ind w:firstLine="0" w:firstLineChars="0"/>
              <w:jc w:val="left"/>
              <w:rPr>
                <w:rFonts w:hAnsi="宋体"/>
                <w:sz w:val="18"/>
                <w:szCs w:val="18"/>
              </w:rPr>
            </w:pPr>
            <w:r>
              <w:rPr>
                <w:sz w:val="18"/>
                <w:szCs w:val="18"/>
              </w:rPr>
              <w:t>RZ</w:t>
            </w:r>
            <w:r>
              <w:rPr>
                <w:sz w:val="18"/>
                <w:szCs w:val="18"/>
                <w:vertAlign w:val="subscript"/>
              </w:rPr>
              <w:t>i</w:t>
            </w:r>
            <w:r>
              <w:rPr>
                <w:rFonts w:hint="eastAsia"/>
                <w:sz w:val="18"/>
                <w:szCs w:val="18"/>
              </w:rPr>
              <w:t xml:space="preserve">  </w:t>
            </w:r>
            <w:r>
              <w:rPr>
                <w:rFonts w:ascii="Times New Roman"/>
                <w:sz w:val="18"/>
                <w:szCs w:val="18"/>
              </w:rPr>
              <w:t>——</w:t>
            </w:r>
            <w:r>
              <w:rPr>
                <w:rFonts w:hint="eastAsia" w:hAnsi="宋体" w:cs="宋体"/>
                <w:spacing w:val="8"/>
                <w:sz w:val="18"/>
                <w:szCs w:val="18"/>
              </w:rPr>
              <w:t>核算和报告期第</w:t>
            </w:r>
            <w:r>
              <w:rPr>
                <w:rFonts w:hint="eastAsia" w:cs="宋体"/>
                <w:spacing w:val="8"/>
                <w:sz w:val="18"/>
                <w:szCs w:val="18"/>
              </w:rPr>
              <w:t>i</w:t>
            </w:r>
            <w:r>
              <w:rPr>
                <w:rFonts w:hint="eastAsia" w:hAnsi="宋体" w:cs="宋体"/>
                <w:spacing w:val="8"/>
                <w:sz w:val="18"/>
                <w:szCs w:val="18"/>
              </w:rPr>
              <w:t>种化石燃料的平均低位发热量，单位用</w:t>
            </w:r>
            <w:r>
              <w:rPr>
                <w:sz w:val="18"/>
                <w:szCs w:val="18"/>
              </w:rPr>
              <w:t>GJ</w:t>
            </w:r>
            <w:r>
              <w:rPr>
                <w:rFonts w:hAnsi="宋体"/>
                <w:sz w:val="18"/>
                <w:szCs w:val="18"/>
              </w:rPr>
              <w:t>/</w:t>
            </w:r>
            <w:r>
              <w:rPr>
                <w:sz w:val="18"/>
                <w:szCs w:val="18"/>
              </w:rPr>
              <w:t>t</w:t>
            </w:r>
            <w:r>
              <w:rPr>
                <w:rFonts w:hint="eastAsia"/>
                <w:sz w:val="18"/>
                <w:szCs w:val="18"/>
              </w:rPr>
              <w:t>或</w:t>
            </w:r>
            <w:r>
              <w:rPr>
                <w:sz w:val="18"/>
                <w:szCs w:val="18"/>
              </w:rPr>
              <w:t>GJ</w:t>
            </w:r>
            <w:r>
              <w:rPr>
                <w:rFonts w:hAnsi="宋体"/>
                <w:sz w:val="18"/>
                <w:szCs w:val="18"/>
              </w:rPr>
              <w:t>/万</w:t>
            </w:r>
            <w:r>
              <w:rPr>
                <w:sz w:val="18"/>
                <w:szCs w:val="18"/>
              </w:rPr>
              <w:t>Nm</w:t>
            </w:r>
            <w:r>
              <w:rPr>
                <w:rFonts w:hAnsi="宋体"/>
                <w:sz w:val="18"/>
                <w:szCs w:val="18"/>
              </w:rPr>
              <w:t>³</w:t>
            </w:r>
            <w:r>
              <w:rPr>
                <w:rFonts w:hint="eastAsia" w:hAnsi="宋体"/>
                <w:sz w:val="18"/>
                <w:szCs w:val="18"/>
              </w:rPr>
              <w:t>表示。</w:t>
            </w:r>
          </w:p>
          <w:p>
            <w:pPr>
              <w:pStyle w:val="20"/>
              <w:tabs>
                <w:tab w:val="left" w:pos="2862"/>
              </w:tabs>
              <w:ind w:firstLine="0" w:firstLineChars="0"/>
              <w:jc w:val="right"/>
              <w:rPr>
                <w:rFonts w:hAnsi="宋体" w:cs="宋体"/>
                <w:sz w:val="18"/>
                <w:szCs w:val="18"/>
              </w:rPr>
            </w:pPr>
            <w:r>
              <w:rPr>
                <w:sz w:val="18"/>
                <w:szCs w:val="18"/>
              </w:rPr>
              <w:t>EF</w:t>
            </w:r>
            <w:r>
              <w:rPr>
                <w:sz w:val="18"/>
                <w:szCs w:val="18"/>
                <w:vertAlign w:val="subscript"/>
              </w:rPr>
              <w:t>i</w:t>
            </w:r>
            <w:r>
              <w:rPr>
                <w:rFonts w:hAnsi="宋体"/>
                <w:sz w:val="18"/>
                <w:szCs w:val="18"/>
              </w:rPr>
              <w:t xml:space="preserve"> = </w:t>
            </w:r>
            <w:r>
              <w:rPr>
                <w:sz w:val="18"/>
                <w:szCs w:val="18"/>
              </w:rPr>
              <w:t>CC</w:t>
            </w:r>
            <w:r>
              <w:rPr>
                <w:sz w:val="18"/>
                <w:szCs w:val="18"/>
                <w:vertAlign w:val="subscript"/>
              </w:rPr>
              <w:t>i</w:t>
            </w:r>
            <w:r>
              <w:rPr>
                <w:rFonts w:hAnsi="宋体"/>
                <w:sz w:val="18"/>
                <w:szCs w:val="18"/>
              </w:rPr>
              <w:t>×</w:t>
            </w:r>
            <w:r>
              <w:rPr>
                <w:rFonts w:hint="eastAsia" w:cs="宋体"/>
                <w:i/>
                <w:iCs/>
                <w:color w:val="4F4F4F"/>
                <w:spacing w:val="8"/>
                <w:sz w:val="18"/>
                <w:szCs w:val="18"/>
              </w:rPr>
              <w:t>α</w:t>
            </w:r>
            <w:r>
              <w:rPr>
                <w:sz w:val="18"/>
                <w:szCs w:val="18"/>
                <w:vertAlign w:val="subscript"/>
              </w:rPr>
              <w:t>i</w:t>
            </w:r>
            <w:r>
              <w:rPr>
                <w:rFonts w:hAnsi="宋体"/>
                <w:sz w:val="18"/>
                <w:szCs w:val="18"/>
              </w:rPr>
              <w:t>×</w:t>
            </w:r>
            <w:r>
              <w:rPr>
                <w:rFonts w:hint="eastAsia" w:cs="宋体"/>
                <w:i/>
                <w:iCs/>
                <w:color w:val="4F4F4F"/>
                <w:spacing w:val="8"/>
                <w:sz w:val="18"/>
                <w:szCs w:val="18"/>
              </w:rPr>
              <w:t>ρ</w:t>
            </w:r>
            <w:r>
              <w:rPr>
                <w:rFonts w:hint="eastAsia" w:hAnsi="宋体" w:cs="宋体"/>
                <w:sz w:val="18"/>
                <w:szCs w:val="18"/>
              </w:rPr>
              <w:t>…</w:t>
            </w:r>
            <w:r>
              <w:rPr>
                <w:rFonts w:hAnsi="宋体" w:cs="宋体"/>
                <w:sz w:val="18"/>
                <w:szCs w:val="18"/>
              </w:rPr>
              <w:t>……………</w:t>
            </w:r>
            <w:r>
              <w:rPr>
                <w:rFonts w:hint="eastAsia" w:hAnsi="宋体" w:cs="宋体"/>
                <w:sz w:val="18"/>
                <w:szCs w:val="18"/>
              </w:rPr>
              <w:t>………………（4）</w:t>
            </w:r>
          </w:p>
          <w:p>
            <w:pPr>
              <w:jc w:val="left"/>
              <w:rPr>
                <w:rFonts w:ascii="宋体" w:hAnsi="宋体" w:cs="宋体"/>
                <w:szCs w:val="18"/>
              </w:rPr>
            </w:pPr>
            <w:r>
              <w:rPr>
                <w:rFonts w:hint="eastAsia" w:ascii="宋体"/>
              </w:rPr>
              <w:t>式中：</w:t>
            </w:r>
          </w:p>
          <w:p>
            <w:pPr>
              <w:pStyle w:val="20"/>
              <w:ind w:firstLine="0" w:firstLineChars="0"/>
              <w:rPr>
                <w:sz w:val="18"/>
                <w:szCs w:val="18"/>
              </w:rPr>
            </w:pPr>
            <w:r>
              <w:rPr>
                <w:sz w:val="18"/>
                <w:szCs w:val="18"/>
              </w:rPr>
              <w:t>EF</w:t>
            </w:r>
            <w:r>
              <w:rPr>
                <w:sz w:val="18"/>
                <w:szCs w:val="18"/>
                <w:vertAlign w:val="subscript"/>
              </w:rPr>
              <w:t>i</w:t>
            </w:r>
            <w:r>
              <w:rPr>
                <w:rFonts w:hint="eastAsia"/>
                <w:sz w:val="18"/>
                <w:szCs w:val="18"/>
              </w:rPr>
              <w:t xml:space="preserve">  </w:t>
            </w:r>
            <w:r>
              <w:rPr>
                <w:rFonts w:ascii="Times New Roman"/>
                <w:sz w:val="18"/>
                <w:szCs w:val="18"/>
              </w:rPr>
              <w:t>——</w:t>
            </w:r>
            <w:r>
              <w:rPr>
                <w:rFonts w:hint="eastAsia" w:hAnsi="宋体" w:cs="宋体"/>
                <w:spacing w:val="8"/>
                <w:sz w:val="18"/>
                <w:szCs w:val="18"/>
              </w:rPr>
              <w:t>第</w:t>
            </w:r>
            <w:r>
              <w:rPr>
                <w:rFonts w:hint="eastAsia" w:cs="宋体"/>
                <w:spacing w:val="8"/>
                <w:sz w:val="18"/>
                <w:szCs w:val="18"/>
              </w:rPr>
              <w:t>i</w:t>
            </w:r>
            <w:r>
              <w:rPr>
                <w:rFonts w:hint="eastAsia" w:hAnsi="宋体" w:cs="宋体"/>
                <w:spacing w:val="8"/>
                <w:sz w:val="18"/>
                <w:szCs w:val="18"/>
              </w:rPr>
              <w:t>种化石燃料的排放因子，单位用</w:t>
            </w:r>
            <w:r>
              <w:rPr>
                <w:sz w:val="18"/>
                <w:szCs w:val="18"/>
              </w:rPr>
              <w:t>tCO</w:t>
            </w:r>
            <w:r>
              <w:rPr>
                <w:sz w:val="18"/>
                <w:szCs w:val="18"/>
                <w:vertAlign w:val="subscript"/>
              </w:rPr>
              <w:t>2</w:t>
            </w:r>
            <w:r>
              <w:rPr>
                <w:rFonts w:hAnsi="宋体"/>
                <w:sz w:val="18"/>
                <w:szCs w:val="18"/>
              </w:rPr>
              <w:t>/</w:t>
            </w:r>
            <w:r>
              <w:rPr>
                <w:sz w:val="18"/>
                <w:szCs w:val="18"/>
              </w:rPr>
              <w:t>GJ</w:t>
            </w:r>
            <w:r>
              <w:rPr>
                <w:rFonts w:hint="eastAsia"/>
                <w:sz w:val="18"/>
                <w:szCs w:val="18"/>
              </w:rPr>
              <w:t>表示；</w:t>
            </w:r>
          </w:p>
          <w:p>
            <w:pPr>
              <w:pStyle w:val="20"/>
              <w:tabs>
                <w:tab w:val="left" w:pos="2862"/>
              </w:tabs>
              <w:ind w:firstLine="0" w:firstLineChars="0"/>
              <w:jc w:val="left"/>
              <w:rPr>
                <w:rFonts w:hAnsi="宋体"/>
                <w:sz w:val="18"/>
                <w:szCs w:val="18"/>
              </w:rPr>
            </w:pPr>
            <w:r>
              <w:rPr>
                <w:sz w:val="18"/>
                <w:szCs w:val="18"/>
              </w:rPr>
              <w:t>CC</w:t>
            </w:r>
            <w:r>
              <w:rPr>
                <w:sz w:val="18"/>
                <w:szCs w:val="18"/>
                <w:vertAlign w:val="subscript"/>
              </w:rPr>
              <w:t>i</w:t>
            </w:r>
            <w:r>
              <w:rPr>
                <w:rFonts w:hint="eastAsia"/>
                <w:sz w:val="18"/>
                <w:szCs w:val="18"/>
              </w:rPr>
              <w:t xml:space="preserve">  </w:t>
            </w:r>
            <w:r>
              <w:rPr>
                <w:rFonts w:ascii="Times New Roman"/>
                <w:sz w:val="18"/>
                <w:szCs w:val="18"/>
              </w:rPr>
              <w:t>——</w:t>
            </w:r>
            <w:r>
              <w:rPr>
                <w:rFonts w:hint="eastAsia" w:hAnsi="宋体" w:cs="宋体"/>
                <w:spacing w:val="8"/>
                <w:sz w:val="18"/>
                <w:szCs w:val="18"/>
              </w:rPr>
              <w:t>燃料</w:t>
            </w:r>
            <w:r>
              <w:rPr>
                <w:rFonts w:hint="eastAsia" w:cs="宋体"/>
                <w:spacing w:val="8"/>
                <w:sz w:val="18"/>
                <w:szCs w:val="18"/>
              </w:rPr>
              <w:t>i</w:t>
            </w:r>
            <w:r>
              <w:rPr>
                <w:rFonts w:hint="eastAsia" w:hAnsi="宋体" w:cs="宋体"/>
                <w:spacing w:val="8"/>
                <w:sz w:val="18"/>
                <w:szCs w:val="18"/>
              </w:rPr>
              <w:t>的单位热值含碳量，单位用</w:t>
            </w:r>
            <w:r>
              <w:rPr>
                <w:sz w:val="18"/>
                <w:szCs w:val="18"/>
              </w:rPr>
              <w:t>tC</w:t>
            </w:r>
            <w:r>
              <w:rPr>
                <w:rFonts w:hAnsi="宋体"/>
                <w:sz w:val="18"/>
                <w:szCs w:val="18"/>
              </w:rPr>
              <w:t>/</w:t>
            </w:r>
            <w:r>
              <w:rPr>
                <w:sz w:val="18"/>
                <w:szCs w:val="18"/>
              </w:rPr>
              <w:t>GJ</w:t>
            </w:r>
            <w:r>
              <w:rPr>
                <w:rFonts w:hint="eastAsia"/>
                <w:sz w:val="18"/>
                <w:szCs w:val="18"/>
              </w:rPr>
              <w:t>表示；</w:t>
            </w:r>
          </w:p>
          <w:p>
            <w:pPr>
              <w:pStyle w:val="20"/>
              <w:tabs>
                <w:tab w:val="left" w:pos="2862"/>
              </w:tabs>
              <w:ind w:firstLine="0" w:firstLineChars="0"/>
              <w:jc w:val="left"/>
              <w:rPr>
                <w:rFonts w:hAnsi="宋体"/>
                <w:sz w:val="18"/>
                <w:szCs w:val="18"/>
              </w:rPr>
            </w:pPr>
            <w:r>
              <w:rPr>
                <w:rFonts w:hint="eastAsia" w:cs="宋体"/>
                <w:i/>
                <w:iCs/>
                <w:color w:val="4F4F4F"/>
                <w:spacing w:val="6"/>
                <w:sz w:val="18"/>
                <w:szCs w:val="18"/>
              </w:rPr>
              <w:t>a</w:t>
            </w:r>
            <w:r>
              <w:rPr>
                <w:rFonts w:hint="eastAsia" w:cs="宋体"/>
                <w:i/>
                <w:iCs/>
                <w:color w:val="4F4F4F"/>
                <w:spacing w:val="8"/>
                <w:sz w:val="18"/>
                <w:szCs w:val="18"/>
                <w:vertAlign w:val="subscript"/>
              </w:rPr>
              <w:t xml:space="preserve">i </w:t>
            </w:r>
            <w:r>
              <w:rPr>
                <w:rFonts w:hint="eastAsia" w:cs="宋体"/>
                <w:iCs/>
                <w:color w:val="4F4F4F"/>
                <w:spacing w:val="8"/>
                <w:sz w:val="18"/>
                <w:szCs w:val="18"/>
              </w:rPr>
              <w:t xml:space="preserve">  </w:t>
            </w:r>
            <w:r>
              <w:rPr>
                <w:rFonts w:ascii="Times New Roman"/>
                <w:sz w:val="18"/>
                <w:szCs w:val="18"/>
              </w:rPr>
              <w:t>——</w:t>
            </w:r>
            <w:r>
              <w:rPr>
                <w:rFonts w:hint="eastAsia" w:hAnsi="宋体" w:cs="宋体"/>
                <w:spacing w:val="8"/>
                <w:sz w:val="18"/>
                <w:szCs w:val="18"/>
              </w:rPr>
              <w:t>燃料</w:t>
            </w:r>
            <w:r>
              <w:rPr>
                <w:rFonts w:hint="eastAsia" w:cs="宋体"/>
                <w:spacing w:val="8"/>
                <w:sz w:val="18"/>
                <w:szCs w:val="18"/>
              </w:rPr>
              <w:t>i</w:t>
            </w:r>
            <w:r>
              <w:rPr>
                <w:rFonts w:hint="eastAsia" w:hAnsi="宋体" w:cs="宋体"/>
                <w:spacing w:val="8"/>
                <w:sz w:val="18"/>
                <w:szCs w:val="18"/>
              </w:rPr>
              <w:t>的碳氧化率，单位用</w:t>
            </w:r>
            <w:r>
              <w:rPr>
                <w:rFonts w:hAnsi="宋体"/>
                <w:sz w:val="18"/>
                <w:szCs w:val="18"/>
              </w:rPr>
              <w:t>%</w:t>
            </w:r>
            <w:r>
              <w:rPr>
                <w:rFonts w:hint="eastAsia" w:hAnsi="宋体"/>
                <w:sz w:val="18"/>
                <w:szCs w:val="18"/>
              </w:rPr>
              <w:t>表示；</w:t>
            </w:r>
          </w:p>
          <w:p>
            <w:pPr>
              <w:pStyle w:val="20"/>
              <w:tabs>
                <w:tab w:val="left" w:pos="2862"/>
              </w:tabs>
              <w:ind w:firstLine="0" w:firstLineChars="0"/>
              <w:jc w:val="left"/>
              <w:rPr>
                <w:rFonts w:hAnsi="宋体" w:cs="宋体"/>
                <w:spacing w:val="8"/>
                <w:sz w:val="18"/>
                <w:szCs w:val="18"/>
              </w:rPr>
            </w:pPr>
            <w:r>
              <w:rPr>
                <w:rFonts w:hint="eastAsia" w:cs="宋体"/>
                <w:i/>
                <w:iCs/>
                <w:color w:val="4F4F4F"/>
                <w:spacing w:val="8"/>
                <w:sz w:val="18"/>
                <w:szCs w:val="18"/>
              </w:rPr>
              <w:t>ρ</w:t>
            </w:r>
            <w:r>
              <w:rPr>
                <w:rFonts w:hint="eastAsia" w:cs="宋体"/>
                <w:iCs/>
                <w:color w:val="4F4F4F"/>
                <w:spacing w:val="8"/>
                <w:sz w:val="18"/>
                <w:szCs w:val="18"/>
              </w:rPr>
              <w:t xml:space="preserve">  </w:t>
            </w:r>
            <w:r>
              <w:rPr>
                <w:rFonts w:ascii="Times New Roman"/>
                <w:sz w:val="18"/>
                <w:szCs w:val="18"/>
              </w:rPr>
              <w:t>——</w:t>
            </w:r>
            <w:r>
              <w:rPr>
                <w:rFonts w:hAnsi="宋体"/>
                <w:sz w:val="18"/>
                <w:szCs w:val="18"/>
              </w:rPr>
              <w:t>二氧化碳与碳元素的化学分子量之比</w:t>
            </w:r>
            <w:r>
              <w:rPr>
                <w:rFonts w:hint="eastAsia" w:hAnsi="宋体"/>
                <w:sz w:val="18"/>
                <w:szCs w:val="18"/>
              </w:rPr>
              <w:t>,,值为</w:t>
            </w:r>
            <w:r>
              <w:rPr>
                <w:rFonts w:hint="eastAsia" w:cs="宋体"/>
                <w:spacing w:val="8"/>
                <w:sz w:val="18"/>
                <w:szCs w:val="18"/>
              </w:rPr>
              <w:t>44</w:t>
            </w:r>
            <w:r>
              <w:rPr>
                <w:rFonts w:hint="eastAsia" w:hAnsi="宋体" w:cs="宋体"/>
                <w:spacing w:val="8"/>
                <w:sz w:val="18"/>
                <w:szCs w:val="18"/>
              </w:rPr>
              <w:t>/</w:t>
            </w:r>
            <w:r>
              <w:rPr>
                <w:rFonts w:hint="eastAsia" w:cs="宋体"/>
                <w:spacing w:val="8"/>
                <w:sz w:val="18"/>
                <w:szCs w:val="18"/>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64" w:type="dxa"/>
            <w:tcBorders>
              <w:tl2br w:val="nil"/>
              <w:tr2bl w:val="nil"/>
            </w:tcBorders>
            <w:vAlign w:val="center"/>
          </w:tcPr>
          <w:p>
            <w:pPr>
              <w:pStyle w:val="20"/>
              <w:ind w:firstLine="0" w:firstLineChars="0"/>
              <w:jc w:val="center"/>
              <w:rPr>
                <w:szCs w:val="18"/>
              </w:rPr>
            </w:pPr>
            <w:r>
              <w:rPr>
                <w:rFonts w:hAnsi="宋体"/>
                <w:bCs/>
                <w:sz w:val="18"/>
                <w:szCs w:val="18"/>
              </w:rPr>
              <w:t>净购入使用电力产生的</w:t>
            </w:r>
            <w:r>
              <w:rPr>
                <w:rFonts w:hint="eastAsia" w:hAnsi="宋体"/>
                <w:bCs/>
                <w:sz w:val="18"/>
                <w:szCs w:val="18"/>
              </w:rPr>
              <w:t>碳</w:t>
            </w:r>
            <w:r>
              <w:rPr>
                <w:rFonts w:hAnsi="宋体"/>
                <w:bCs/>
                <w:sz w:val="18"/>
                <w:szCs w:val="18"/>
              </w:rPr>
              <w:t>排放</w:t>
            </w:r>
            <w:r>
              <w:rPr>
                <w:rFonts w:hint="eastAsia" w:hAnsi="宋体"/>
                <w:bCs/>
                <w:sz w:val="18"/>
                <w:szCs w:val="18"/>
              </w:rPr>
              <w:t>量</w:t>
            </w:r>
          </w:p>
        </w:tc>
        <w:tc>
          <w:tcPr>
            <w:tcW w:w="7506" w:type="dxa"/>
            <w:tcBorders>
              <w:tl2br w:val="nil"/>
              <w:tr2bl w:val="nil"/>
            </w:tcBorders>
          </w:tcPr>
          <w:p>
            <w:pPr>
              <w:pStyle w:val="20"/>
              <w:ind w:firstLine="0" w:firstLineChars="0"/>
              <w:jc w:val="right"/>
              <w:rPr>
                <w:rFonts w:hAnsi="宋体" w:cs="宋体"/>
                <w:sz w:val="18"/>
                <w:szCs w:val="18"/>
              </w:rPr>
            </w:pPr>
            <w:r>
              <w:rPr>
                <w:sz w:val="18"/>
                <w:szCs w:val="18"/>
              </w:rPr>
              <w:t>E</w:t>
            </w:r>
            <w:r>
              <w:rPr>
                <w:rFonts w:hAnsi="宋体"/>
                <w:sz w:val="18"/>
                <w:szCs w:val="18"/>
                <w:vertAlign w:val="subscript"/>
              </w:rPr>
              <w:t>电</w:t>
            </w:r>
            <w:r>
              <w:rPr>
                <w:rFonts w:hint="eastAsia" w:hAnsi="宋体"/>
                <w:sz w:val="18"/>
                <w:szCs w:val="18"/>
                <w:vertAlign w:val="subscript"/>
              </w:rPr>
              <w:t>力</w:t>
            </w:r>
            <w:r>
              <w:rPr>
                <w:rFonts w:hAnsi="宋体"/>
                <w:sz w:val="18"/>
                <w:szCs w:val="18"/>
              </w:rPr>
              <w:t xml:space="preserve">= </w:t>
            </w:r>
            <w:r>
              <w:rPr>
                <w:sz w:val="18"/>
                <w:szCs w:val="18"/>
              </w:rPr>
              <w:t>AD</w:t>
            </w:r>
            <w:r>
              <w:rPr>
                <w:rFonts w:hAnsi="宋体"/>
                <w:sz w:val="18"/>
                <w:szCs w:val="18"/>
                <w:vertAlign w:val="subscript"/>
              </w:rPr>
              <w:t>电</w:t>
            </w:r>
            <w:r>
              <w:rPr>
                <w:rFonts w:hAnsi="宋体"/>
                <w:sz w:val="18"/>
                <w:szCs w:val="18"/>
              </w:rPr>
              <w:t>×</w:t>
            </w:r>
            <w:r>
              <w:rPr>
                <w:sz w:val="18"/>
                <w:szCs w:val="18"/>
              </w:rPr>
              <w:t>EF</w:t>
            </w:r>
            <w:r>
              <w:rPr>
                <w:rFonts w:hAnsi="宋体"/>
                <w:sz w:val="18"/>
                <w:szCs w:val="18"/>
                <w:vertAlign w:val="subscript"/>
              </w:rPr>
              <w:t>电</w:t>
            </w:r>
            <w:r>
              <w:rPr>
                <w:rFonts w:hint="eastAsia" w:hAnsi="宋体" w:cs="宋体"/>
                <w:sz w:val="18"/>
                <w:szCs w:val="18"/>
              </w:rPr>
              <w:t>…………………</w:t>
            </w:r>
            <w:r>
              <w:rPr>
                <w:rFonts w:hAnsi="宋体" w:cs="宋体"/>
                <w:sz w:val="18"/>
                <w:szCs w:val="18"/>
              </w:rPr>
              <w:t>…………………</w:t>
            </w:r>
            <w:r>
              <w:rPr>
                <w:rFonts w:hint="eastAsia" w:hAnsi="宋体" w:cs="宋体"/>
                <w:sz w:val="18"/>
                <w:szCs w:val="18"/>
              </w:rPr>
              <w:t>（5）</w:t>
            </w:r>
          </w:p>
          <w:p>
            <w:pPr>
              <w:jc w:val="left"/>
              <w:rPr>
                <w:rFonts w:ascii="宋体" w:hAnsi="宋体" w:cs="宋体"/>
                <w:szCs w:val="18"/>
              </w:rPr>
            </w:pPr>
            <w:r>
              <w:rPr>
                <w:rFonts w:hint="eastAsia" w:ascii="宋体"/>
              </w:rPr>
              <w:t>式中：</w:t>
            </w:r>
          </w:p>
          <w:p>
            <w:pPr>
              <w:pStyle w:val="20"/>
              <w:ind w:firstLine="0" w:firstLineChars="0"/>
              <w:jc w:val="left"/>
              <w:rPr>
                <w:rFonts w:hAnsi="宋体"/>
                <w:sz w:val="18"/>
                <w:szCs w:val="18"/>
                <w:vertAlign w:val="subscript"/>
              </w:rPr>
            </w:pPr>
            <w:r>
              <w:rPr>
                <w:sz w:val="18"/>
                <w:szCs w:val="18"/>
              </w:rPr>
              <w:t>E</w:t>
            </w:r>
            <w:r>
              <w:rPr>
                <w:rFonts w:hAnsi="宋体"/>
                <w:sz w:val="18"/>
                <w:szCs w:val="18"/>
                <w:vertAlign w:val="subscript"/>
              </w:rPr>
              <w:t>电</w:t>
            </w:r>
            <w:r>
              <w:rPr>
                <w:rFonts w:hint="eastAsia" w:hAnsi="宋体"/>
                <w:sz w:val="18"/>
                <w:szCs w:val="18"/>
                <w:vertAlign w:val="subscript"/>
              </w:rPr>
              <w:t>力</w:t>
            </w:r>
            <w:r>
              <w:rPr>
                <w:rFonts w:hint="eastAsia" w:hAnsi="宋体"/>
                <w:sz w:val="18"/>
                <w:szCs w:val="18"/>
              </w:rPr>
              <w:t xml:space="preserve">   </w:t>
            </w:r>
            <w:r>
              <w:rPr>
                <w:rFonts w:ascii="Times New Roman"/>
                <w:sz w:val="18"/>
                <w:szCs w:val="18"/>
              </w:rPr>
              <w:t>——</w:t>
            </w:r>
            <w:r>
              <w:rPr>
                <w:rFonts w:hAnsi="宋体"/>
                <w:sz w:val="18"/>
                <w:szCs w:val="18"/>
              </w:rPr>
              <w:t>净购入电力产生的</w:t>
            </w:r>
            <w:r>
              <w:rPr>
                <w:sz w:val="18"/>
                <w:szCs w:val="18"/>
              </w:rPr>
              <w:t>CO</w:t>
            </w:r>
            <w:r>
              <w:rPr>
                <w:sz w:val="18"/>
                <w:szCs w:val="18"/>
                <w:vertAlign w:val="subscript"/>
              </w:rPr>
              <w:t>2</w:t>
            </w:r>
            <w:r>
              <w:rPr>
                <w:rFonts w:hAnsi="宋体"/>
                <w:sz w:val="18"/>
                <w:szCs w:val="18"/>
              </w:rPr>
              <w:t>排放量</w:t>
            </w:r>
            <w:r>
              <w:rPr>
                <w:rFonts w:hint="eastAsia" w:hAnsi="宋体"/>
                <w:sz w:val="18"/>
                <w:szCs w:val="18"/>
              </w:rPr>
              <w:t>,单位用</w:t>
            </w:r>
            <w:r>
              <w:rPr>
                <w:sz w:val="18"/>
                <w:szCs w:val="18"/>
              </w:rPr>
              <w:t>tCO</w:t>
            </w:r>
            <w:r>
              <w:rPr>
                <w:sz w:val="18"/>
                <w:szCs w:val="18"/>
                <w:vertAlign w:val="subscript"/>
              </w:rPr>
              <w:t>2</w:t>
            </w:r>
            <w:r>
              <w:rPr>
                <w:rFonts w:hint="eastAsia"/>
                <w:sz w:val="18"/>
                <w:szCs w:val="18"/>
              </w:rPr>
              <w:t>表示；</w:t>
            </w:r>
          </w:p>
          <w:p>
            <w:pPr>
              <w:pStyle w:val="20"/>
              <w:ind w:firstLine="0" w:firstLineChars="0"/>
              <w:rPr>
                <w:sz w:val="18"/>
                <w:szCs w:val="18"/>
              </w:rPr>
            </w:pPr>
            <w:r>
              <w:rPr>
                <w:sz w:val="18"/>
                <w:szCs w:val="18"/>
              </w:rPr>
              <w:t>AD</w:t>
            </w:r>
            <w:r>
              <w:rPr>
                <w:rFonts w:hAnsi="宋体"/>
                <w:sz w:val="18"/>
                <w:szCs w:val="18"/>
                <w:vertAlign w:val="subscript"/>
              </w:rPr>
              <w:t>电</w:t>
            </w:r>
            <w:r>
              <w:rPr>
                <w:rFonts w:hint="eastAsia" w:hAnsi="宋体"/>
                <w:sz w:val="18"/>
                <w:szCs w:val="18"/>
              </w:rPr>
              <w:t xml:space="preserve">   </w:t>
            </w:r>
            <w:r>
              <w:rPr>
                <w:rFonts w:ascii="Times New Roman"/>
                <w:sz w:val="18"/>
                <w:szCs w:val="18"/>
              </w:rPr>
              <w:t>——</w:t>
            </w:r>
            <w:r>
              <w:rPr>
                <w:rFonts w:hAnsi="宋体"/>
                <w:sz w:val="18"/>
                <w:szCs w:val="18"/>
              </w:rPr>
              <w:t>净购入的电量</w:t>
            </w:r>
            <w:r>
              <w:rPr>
                <w:rFonts w:hint="eastAsia" w:hAnsi="宋体"/>
                <w:sz w:val="18"/>
                <w:szCs w:val="18"/>
              </w:rPr>
              <w:t>，单位用</w:t>
            </w:r>
            <w:r>
              <w:rPr>
                <w:sz w:val="18"/>
                <w:szCs w:val="18"/>
              </w:rPr>
              <w:t>MWh</w:t>
            </w:r>
            <w:r>
              <w:rPr>
                <w:rFonts w:hint="eastAsia"/>
                <w:sz w:val="18"/>
                <w:szCs w:val="18"/>
              </w:rPr>
              <w:t>表示；</w:t>
            </w:r>
          </w:p>
          <w:p>
            <w:pPr>
              <w:pStyle w:val="20"/>
              <w:ind w:firstLine="0" w:firstLineChars="0"/>
              <w:rPr>
                <w:sz w:val="18"/>
                <w:szCs w:val="18"/>
              </w:rPr>
            </w:pPr>
            <w:r>
              <w:rPr>
                <w:sz w:val="18"/>
                <w:szCs w:val="18"/>
              </w:rPr>
              <w:t>EF</w:t>
            </w:r>
            <w:r>
              <w:rPr>
                <w:rFonts w:hAnsi="宋体"/>
                <w:sz w:val="18"/>
                <w:szCs w:val="18"/>
                <w:vertAlign w:val="subscript"/>
              </w:rPr>
              <w:t>电</w:t>
            </w:r>
            <w:r>
              <w:rPr>
                <w:rFonts w:hint="eastAsia" w:hAnsi="宋体"/>
                <w:sz w:val="18"/>
                <w:szCs w:val="18"/>
              </w:rPr>
              <w:t xml:space="preserve">   </w:t>
            </w:r>
            <w:r>
              <w:rPr>
                <w:rFonts w:ascii="Times New Roman"/>
                <w:sz w:val="18"/>
                <w:szCs w:val="18"/>
              </w:rPr>
              <w:t>——</w:t>
            </w:r>
            <w:r>
              <w:rPr>
                <w:rFonts w:hint="eastAsia" w:hAnsi="宋体" w:cs="宋体"/>
                <w:spacing w:val="8"/>
                <w:sz w:val="18"/>
                <w:szCs w:val="18"/>
              </w:rPr>
              <w:t>电力排放因子，单位用</w:t>
            </w:r>
            <w:r>
              <w:rPr>
                <w:sz w:val="18"/>
                <w:szCs w:val="18"/>
              </w:rPr>
              <w:t>tCO</w:t>
            </w:r>
            <w:r>
              <w:rPr>
                <w:sz w:val="18"/>
                <w:szCs w:val="18"/>
                <w:vertAlign w:val="subscript"/>
              </w:rPr>
              <w:t>2</w:t>
            </w:r>
            <w:r>
              <w:rPr>
                <w:rFonts w:hAnsi="宋体"/>
                <w:sz w:val="18"/>
                <w:szCs w:val="18"/>
              </w:rPr>
              <w:t>/</w:t>
            </w:r>
            <w:r>
              <w:rPr>
                <w:sz w:val="18"/>
                <w:szCs w:val="18"/>
              </w:rPr>
              <w:t>MWh</w:t>
            </w:r>
            <w:r>
              <w:rPr>
                <w:rFonts w:hint="eastAsia"/>
                <w:sz w:val="18"/>
                <w:szCs w:val="18"/>
              </w:rPr>
              <w:t>表示。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064" w:type="dxa"/>
            <w:tcBorders>
              <w:tl2br w:val="nil"/>
              <w:tr2bl w:val="nil"/>
            </w:tcBorders>
            <w:vAlign w:val="center"/>
          </w:tcPr>
          <w:p>
            <w:pPr>
              <w:pStyle w:val="20"/>
              <w:ind w:firstLine="0" w:firstLineChars="0"/>
              <w:jc w:val="center"/>
              <w:rPr>
                <w:szCs w:val="18"/>
              </w:rPr>
            </w:pPr>
            <w:r>
              <w:rPr>
                <w:rFonts w:hAnsi="宋体"/>
                <w:bCs/>
                <w:sz w:val="18"/>
                <w:szCs w:val="18"/>
              </w:rPr>
              <w:t>净购入使用热力产生的</w:t>
            </w:r>
            <w:r>
              <w:rPr>
                <w:rFonts w:hint="eastAsia" w:hAnsi="宋体"/>
                <w:bCs/>
                <w:sz w:val="18"/>
                <w:szCs w:val="18"/>
              </w:rPr>
              <w:t>碳</w:t>
            </w:r>
            <w:r>
              <w:rPr>
                <w:rFonts w:hAnsi="宋体"/>
                <w:bCs/>
                <w:sz w:val="18"/>
                <w:szCs w:val="18"/>
              </w:rPr>
              <w:t>排放</w:t>
            </w:r>
            <w:r>
              <w:rPr>
                <w:rFonts w:hint="eastAsia" w:hAnsi="宋体"/>
                <w:bCs/>
                <w:sz w:val="18"/>
                <w:szCs w:val="18"/>
              </w:rPr>
              <w:t>量</w:t>
            </w:r>
          </w:p>
        </w:tc>
        <w:tc>
          <w:tcPr>
            <w:tcW w:w="7506" w:type="dxa"/>
            <w:tcBorders>
              <w:bottom w:val="single" w:color="auto" w:sz="8" w:space="0"/>
              <w:tl2br w:val="nil"/>
              <w:tr2bl w:val="nil"/>
            </w:tcBorders>
          </w:tcPr>
          <w:p>
            <w:pPr>
              <w:pStyle w:val="20"/>
              <w:ind w:firstLine="0" w:firstLineChars="0"/>
              <w:jc w:val="right"/>
              <w:rPr>
                <w:rFonts w:hAnsi="宋体" w:cs="宋体"/>
                <w:sz w:val="18"/>
                <w:szCs w:val="18"/>
              </w:rPr>
            </w:pPr>
            <w:r>
              <w:rPr>
                <w:bCs/>
                <w:sz w:val="18"/>
                <w:szCs w:val="18"/>
              </w:rPr>
              <w:t>E</w:t>
            </w:r>
            <w:r>
              <w:rPr>
                <w:rFonts w:hAnsi="宋体"/>
                <w:bCs/>
                <w:sz w:val="18"/>
                <w:szCs w:val="18"/>
                <w:vertAlign w:val="subscript"/>
              </w:rPr>
              <w:t>热</w:t>
            </w:r>
            <w:r>
              <w:rPr>
                <w:rFonts w:hint="eastAsia" w:hAnsi="宋体"/>
                <w:bCs/>
                <w:sz w:val="18"/>
                <w:szCs w:val="18"/>
                <w:vertAlign w:val="subscript"/>
              </w:rPr>
              <w:t>力</w:t>
            </w:r>
            <w:r>
              <w:rPr>
                <w:rFonts w:hAnsi="宋体"/>
                <w:bCs/>
                <w:sz w:val="18"/>
                <w:szCs w:val="18"/>
              </w:rPr>
              <w:t xml:space="preserve">= </w:t>
            </w:r>
            <w:r>
              <w:rPr>
                <w:bCs/>
                <w:sz w:val="18"/>
                <w:szCs w:val="18"/>
              </w:rPr>
              <w:t>AD</w:t>
            </w:r>
            <w:r>
              <w:rPr>
                <w:rFonts w:hAnsi="宋体"/>
                <w:bCs/>
                <w:sz w:val="18"/>
                <w:szCs w:val="18"/>
                <w:vertAlign w:val="subscript"/>
              </w:rPr>
              <w:t>热力</w:t>
            </w:r>
            <w:r>
              <w:rPr>
                <w:rFonts w:hAnsi="宋体"/>
                <w:bCs/>
                <w:sz w:val="18"/>
                <w:szCs w:val="18"/>
              </w:rPr>
              <w:t>×</w:t>
            </w:r>
            <w:r>
              <w:rPr>
                <w:bCs/>
                <w:sz w:val="18"/>
                <w:szCs w:val="18"/>
              </w:rPr>
              <w:t>EF</w:t>
            </w:r>
            <w:r>
              <w:rPr>
                <w:rFonts w:hAnsi="宋体"/>
                <w:bCs/>
                <w:sz w:val="18"/>
                <w:szCs w:val="18"/>
                <w:vertAlign w:val="subscript"/>
              </w:rPr>
              <w:t>热力</w:t>
            </w:r>
            <w:r>
              <w:rPr>
                <w:rFonts w:hint="eastAsia" w:hAnsi="宋体" w:cs="宋体"/>
                <w:sz w:val="18"/>
                <w:szCs w:val="18"/>
              </w:rPr>
              <w:t>……………</w:t>
            </w:r>
            <w:r>
              <w:rPr>
                <w:rFonts w:hAnsi="宋体" w:cs="宋体"/>
                <w:sz w:val="18"/>
                <w:szCs w:val="18"/>
              </w:rPr>
              <w:t>……………………</w:t>
            </w:r>
            <w:r>
              <w:rPr>
                <w:rFonts w:hint="eastAsia" w:hAnsi="宋体" w:cs="宋体"/>
                <w:sz w:val="18"/>
                <w:szCs w:val="18"/>
              </w:rPr>
              <w:t>（6）</w:t>
            </w:r>
          </w:p>
          <w:p>
            <w:pPr>
              <w:jc w:val="left"/>
              <w:rPr>
                <w:rFonts w:ascii="宋体" w:hAnsi="宋体" w:cs="宋体"/>
                <w:szCs w:val="18"/>
              </w:rPr>
            </w:pPr>
            <w:r>
              <w:rPr>
                <w:rFonts w:hint="eastAsia" w:ascii="宋体"/>
              </w:rPr>
              <w:t>式中：</w:t>
            </w:r>
          </w:p>
          <w:p>
            <w:pPr>
              <w:pStyle w:val="20"/>
              <w:ind w:firstLine="0" w:firstLineChars="0"/>
              <w:rPr>
                <w:sz w:val="18"/>
                <w:szCs w:val="18"/>
              </w:rPr>
            </w:pPr>
            <w:r>
              <w:rPr>
                <w:sz w:val="18"/>
                <w:szCs w:val="18"/>
              </w:rPr>
              <w:t>E</w:t>
            </w:r>
            <w:r>
              <w:rPr>
                <w:rFonts w:hAnsi="宋体"/>
                <w:sz w:val="18"/>
                <w:szCs w:val="18"/>
                <w:vertAlign w:val="subscript"/>
              </w:rPr>
              <w:t>热</w:t>
            </w:r>
            <w:r>
              <w:rPr>
                <w:rFonts w:hint="eastAsia" w:hAnsi="宋体"/>
                <w:sz w:val="18"/>
                <w:szCs w:val="18"/>
                <w:vertAlign w:val="subscript"/>
              </w:rPr>
              <w:t>力</w:t>
            </w:r>
            <w:r>
              <w:rPr>
                <w:rFonts w:hint="eastAsia" w:hAnsi="宋体"/>
                <w:sz w:val="18"/>
                <w:szCs w:val="18"/>
              </w:rPr>
              <w:t xml:space="preserve">   </w:t>
            </w:r>
            <w:r>
              <w:rPr>
                <w:rFonts w:ascii="Times New Roman"/>
                <w:sz w:val="18"/>
                <w:szCs w:val="18"/>
              </w:rPr>
              <w:t>——</w:t>
            </w:r>
            <w:r>
              <w:rPr>
                <w:rFonts w:hint="eastAsia" w:hAnsi="宋体" w:cs="宋体"/>
                <w:spacing w:val="8"/>
                <w:sz w:val="18"/>
                <w:szCs w:val="18"/>
              </w:rPr>
              <w:t>购入热力（蒸汽、热水等）所对应的</w:t>
            </w:r>
            <w:r>
              <w:rPr>
                <w:sz w:val="18"/>
                <w:szCs w:val="18"/>
              </w:rPr>
              <w:t>CO</w:t>
            </w:r>
            <w:r>
              <w:rPr>
                <w:sz w:val="18"/>
                <w:szCs w:val="18"/>
                <w:vertAlign w:val="subscript"/>
              </w:rPr>
              <w:t>2</w:t>
            </w:r>
            <w:r>
              <w:rPr>
                <w:rFonts w:hAnsi="宋体"/>
                <w:sz w:val="18"/>
                <w:szCs w:val="18"/>
              </w:rPr>
              <w:t xml:space="preserve"> 排放量</w:t>
            </w:r>
            <w:r>
              <w:rPr>
                <w:rFonts w:hint="eastAsia" w:hAnsi="宋体"/>
                <w:sz w:val="18"/>
                <w:szCs w:val="18"/>
              </w:rPr>
              <w:t>，单位用</w:t>
            </w:r>
            <w:r>
              <w:rPr>
                <w:sz w:val="18"/>
                <w:szCs w:val="18"/>
              </w:rPr>
              <w:t>tCO</w:t>
            </w:r>
            <w:r>
              <w:rPr>
                <w:sz w:val="18"/>
                <w:szCs w:val="18"/>
                <w:vertAlign w:val="subscript"/>
              </w:rPr>
              <w:t>2</w:t>
            </w:r>
            <w:r>
              <w:rPr>
                <w:rFonts w:hint="eastAsia"/>
                <w:sz w:val="18"/>
                <w:szCs w:val="18"/>
              </w:rPr>
              <w:t>表示；</w:t>
            </w:r>
          </w:p>
          <w:p>
            <w:pPr>
              <w:pStyle w:val="20"/>
              <w:ind w:firstLine="0" w:firstLineChars="0"/>
              <w:rPr>
                <w:rFonts w:hAnsi="宋体"/>
                <w:bCs/>
                <w:sz w:val="18"/>
                <w:szCs w:val="18"/>
                <w:vertAlign w:val="subscript"/>
              </w:rPr>
            </w:pPr>
            <w:r>
              <w:rPr>
                <w:bCs/>
                <w:sz w:val="18"/>
                <w:szCs w:val="18"/>
              </w:rPr>
              <w:t>AD</w:t>
            </w:r>
            <w:r>
              <w:rPr>
                <w:rFonts w:hAnsi="宋体"/>
                <w:bCs/>
                <w:sz w:val="18"/>
                <w:szCs w:val="18"/>
                <w:vertAlign w:val="subscript"/>
              </w:rPr>
              <w:t>热力</w:t>
            </w:r>
            <w:r>
              <w:rPr>
                <w:rFonts w:hint="eastAsia" w:hAnsi="宋体"/>
                <w:bCs/>
                <w:sz w:val="18"/>
                <w:szCs w:val="18"/>
              </w:rPr>
              <w:t xml:space="preserve">  </w:t>
            </w:r>
            <w:r>
              <w:rPr>
                <w:rFonts w:ascii="Times New Roman"/>
                <w:sz w:val="18"/>
                <w:szCs w:val="18"/>
              </w:rPr>
              <w:t>——</w:t>
            </w:r>
            <w:r>
              <w:rPr>
                <w:rFonts w:hint="eastAsia" w:hAnsi="宋体" w:cs="宋体"/>
                <w:spacing w:val="8"/>
                <w:sz w:val="18"/>
                <w:szCs w:val="18"/>
              </w:rPr>
              <w:t>购入热力（蒸汽、热水等）的数量，单位用</w:t>
            </w:r>
            <w:r>
              <w:rPr>
                <w:sz w:val="18"/>
                <w:szCs w:val="18"/>
              </w:rPr>
              <w:t>GJ</w:t>
            </w:r>
            <w:r>
              <w:rPr>
                <w:rFonts w:hint="eastAsia"/>
                <w:sz w:val="18"/>
                <w:szCs w:val="18"/>
              </w:rPr>
              <w:t>表示；</w:t>
            </w:r>
          </w:p>
          <w:p>
            <w:pPr>
              <w:pStyle w:val="20"/>
              <w:ind w:firstLine="0" w:firstLineChars="0"/>
              <w:rPr>
                <w:rFonts w:hAnsi="宋体"/>
                <w:bCs/>
                <w:sz w:val="18"/>
                <w:szCs w:val="18"/>
                <w:vertAlign w:val="subscript"/>
              </w:rPr>
            </w:pPr>
            <w:r>
              <w:rPr>
                <w:bCs/>
                <w:sz w:val="18"/>
                <w:szCs w:val="18"/>
              </w:rPr>
              <w:t>EF</w:t>
            </w:r>
            <w:r>
              <w:rPr>
                <w:rFonts w:hAnsi="宋体"/>
                <w:bCs/>
                <w:sz w:val="18"/>
                <w:szCs w:val="18"/>
                <w:vertAlign w:val="subscript"/>
              </w:rPr>
              <w:t>热力</w:t>
            </w:r>
            <w:r>
              <w:rPr>
                <w:rFonts w:hint="eastAsia" w:hAnsi="宋体"/>
                <w:bCs/>
                <w:sz w:val="18"/>
                <w:szCs w:val="18"/>
              </w:rPr>
              <w:t xml:space="preserve">  </w:t>
            </w:r>
            <w:r>
              <w:rPr>
                <w:rFonts w:ascii="Times New Roman"/>
                <w:sz w:val="18"/>
                <w:szCs w:val="18"/>
              </w:rPr>
              <w:t>——</w:t>
            </w:r>
            <w:r>
              <w:rPr>
                <w:rFonts w:hint="eastAsia" w:hAnsi="宋体" w:cs="宋体"/>
                <w:spacing w:val="8"/>
                <w:sz w:val="18"/>
                <w:szCs w:val="18"/>
              </w:rPr>
              <w:t>购入蒸汽和热水的排放因子，单位用</w:t>
            </w:r>
            <w:r>
              <w:rPr>
                <w:sz w:val="18"/>
                <w:szCs w:val="18"/>
              </w:rPr>
              <w:t>tCO</w:t>
            </w:r>
            <w:r>
              <w:rPr>
                <w:sz w:val="18"/>
                <w:szCs w:val="18"/>
                <w:vertAlign w:val="subscript"/>
              </w:rPr>
              <w:t>2</w:t>
            </w:r>
            <w:r>
              <w:rPr>
                <w:rFonts w:hAnsi="宋体"/>
                <w:sz w:val="18"/>
                <w:szCs w:val="18"/>
              </w:rPr>
              <w:t>/</w:t>
            </w:r>
            <w:r>
              <w:rPr>
                <w:sz w:val="18"/>
                <w:szCs w:val="18"/>
              </w:rPr>
              <w:t>GJ</w:t>
            </w:r>
            <w:r>
              <w:rPr>
                <w:rFonts w:hint="eastAsia"/>
                <w:sz w:val="18"/>
                <w:szCs w:val="18"/>
              </w:rPr>
              <w:t>表示。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570" w:type="dxa"/>
            <w:gridSpan w:val="2"/>
            <w:tcBorders>
              <w:top w:val="single" w:color="auto" w:sz="8" w:space="0"/>
              <w:tl2br w:val="nil"/>
              <w:tr2bl w:val="nil"/>
            </w:tcBorders>
          </w:tcPr>
          <w:p>
            <w:pPr>
              <w:pStyle w:val="53"/>
              <w:bidi w:val="0"/>
            </w:pPr>
            <w:r>
              <w:rPr>
                <w:rFonts w:hint="eastAsia"/>
              </w:rPr>
              <w:t>购入热力（蒸汽、热水等）的数量按照GJ统计，如只有供暖面积应按照本文件</w:t>
            </w:r>
            <w:r>
              <w:t>表B.</w:t>
            </w:r>
            <w:r>
              <w:rPr>
                <w:rFonts w:hint="eastAsia"/>
              </w:rPr>
              <w:t>3进行核算。</w:t>
            </w:r>
          </w:p>
        </w:tc>
      </w:tr>
    </w:tbl>
    <w:p>
      <w:pPr>
        <w:pStyle w:val="20"/>
        <w:ind w:firstLine="0" w:firstLineChars="0"/>
      </w:pPr>
    </w:p>
    <w:p>
      <w:pPr>
        <w:pStyle w:val="20"/>
        <w:ind w:firstLine="0" w:firstLineChars="0"/>
      </w:pPr>
    </w:p>
    <w:p>
      <w:pPr>
        <w:pStyle w:val="20"/>
        <w:ind w:firstLine="0" w:firstLineChars="0"/>
      </w:pPr>
    </w:p>
    <w:p>
      <w:pPr>
        <w:ind w:firstLine="420"/>
        <w:rPr>
          <w:szCs w:val="21"/>
        </w:rPr>
      </w:pPr>
    </w:p>
    <w:p>
      <w:pPr>
        <w:rPr>
          <w:rFonts w:ascii="宋体" w:hAnsi="宋体"/>
          <w:szCs w:val="21"/>
        </w:rPr>
      </w:pPr>
      <w:r>
        <w:rPr>
          <w:szCs w:val="21"/>
        </w:rPr>
        <w:t>表B</w:t>
      </w:r>
      <w:r>
        <w:rPr>
          <w:rFonts w:ascii="宋体" w:hAnsi="宋体"/>
          <w:szCs w:val="21"/>
        </w:rPr>
        <w:t>.</w:t>
      </w:r>
      <w:r>
        <w:rPr>
          <w:rFonts w:hint="eastAsia"/>
          <w:szCs w:val="21"/>
        </w:rPr>
        <w:t>3</w:t>
      </w:r>
      <w:r>
        <w:rPr>
          <w:rFonts w:ascii="宋体" w:hAnsi="宋体"/>
          <w:szCs w:val="21"/>
        </w:rPr>
        <w:t>中</w:t>
      </w:r>
      <w:r>
        <w:rPr>
          <w:rFonts w:hint="eastAsia" w:ascii="宋体" w:hAnsi="宋体"/>
          <w:szCs w:val="21"/>
        </w:rPr>
        <w:t>给出</w:t>
      </w:r>
      <w:r>
        <w:rPr>
          <w:rFonts w:ascii="宋体" w:hAnsi="宋体"/>
          <w:szCs w:val="21"/>
        </w:rPr>
        <w:t>了</w:t>
      </w:r>
      <w:r>
        <w:rPr>
          <w:rFonts w:hint="eastAsia" w:ascii="宋体" w:hAnsi="宋体"/>
          <w:szCs w:val="21"/>
        </w:rPr>
        <w:t>机关事业单位根据集中供暖面积计算耗热量的方式。</w:t>
      </w:r>
    </w:p>
    <w:p>
      <w:pPr>
        <w:pStyle w:val="83"/>
        <w:spacing w:before="156" w:after="156"/>
      </w:pPr>
      <w:r>
        <w:rPr>
          <w:rFonts w:hint="eastAsia"/>
        </w:rPr>
        <w:t>集中供暖面积计算耗热量计算公式</w:t>
      </w:r>
    </w:p>
    <w:tbl>
      <w:tblPr>
        <w:tblStyle w:val="2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662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8" w:space="0"/>
              <w:bottom w:val="single" w:color="auto" w:sz="8" w:space="0"/>
            </w:tcBorders>
            <w:noWrap/>
          </w:tcPr>
          <w:p>
            <w:pPr>
              <w:jc w:val="center"/>
              <w:rPr>
                <w:rFonts w:ascii="宋体"/>
                <w:sz w:val="18"/>
              </w:rPr>
            </w:pPr>
            <w:r>
              <w:rPr>
                <w:rFonts w:hint="eastAsia" w:ascii="宋体"/>
                <w:sz w:val="18"/>
              </w:rPr>
              <w:t>项目</w:t>
            </w:r>
          </w:p>
        </w:tc>
        <w:tc>
          <w:tcPr>
            <w:tcW w:w="6627" w:type="dxa"/>
            <w:tcBorders>
              <w:top w:val="single" w:color="auto" w:sz="8" w:space="0"/>
              <w:bottom w:val="single" w:color="auto" w:sz="8" w:space="0"/>
            </w:tcBorders>
            <w:noWrap/>
          </w:tcPr>
          <w:p>
            <w:pPr>
              <w:jc w:val="center"/>
              <w:rPr>
                <w:rFonts w:ascii="宋体"/>
                <w:sz w:val="18"/>
              </w:rPr>
            </w:pPr>
            <w:r>
              <w:rPr>
                <w:rFonts w:hint="eastAsia" w:ascii="宋体"/>
                <w:sz w:val="18"/>
              </w:rPr>
              <w:t>计算公式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8" w:space="0"/>
            </w:tcBorders>
            <w:noWrap/>
            <w:vAlign w:val="center"/>
          </w:tcPr>
          <w:p>
            <w:pPr>
              <w:jc w:val="center"/>
              <w:rPr>
                <w:rFonts w:ascii="宋体"/>
                <w:sz w:val="18"/>
              </w:rPr>
            </w:pPr>
            <w:r>
              <w:rPr>
                <w:rFonts w:hint="eastAsia" w:ascii="宋体"/>
                <w:sz w:val="18"/>
              </w:rPr>
              <w:t>采暖全年耗热量</w:t>
            </w:r>
          </w:p>
        </w:tc>
        <w:tc>
          <w:tcPr>
            <w:tcW w:w="6627" w:type="dxa"/>
            <w:tcBorders>
              <w:top w:val="single" w:color="auto" w:sz="8" w:space="0"/>
            </w:tcBorders>
            <w:noWrap/>
          </w:tcPr>
          <w:p>
            <w:pPr>
              <w:jc w:val="right"/>
              <w:rPr>
                <w:rFonts w:ascii="宋体"/>
                <w:szCs w:val="21"/>
              </w:rPr>
            </w:pPr>
            <w:r>
              <w:rPr>
                <w:rFonts w:hint="eastAsia" w:ascii="宋体"/>
                <w:sz w:val="18"/>
                <w:szCs w:val="18"/>
              </w:rPr>
              <w:t>Q</w:t>
            </w:r>
            <w:r>
              <w:rPr>
                <w:rFonts w:hint="eastAsia" w:ascii="宋体"/>
                <w:sz w:val="18"/>
                <w:szCs w:val="18"/>
                <w:eastAsianLayout w:id="59" w:combine="1"/>
              </w:rPr>
              <w:t>a h</w:t>
            </w:r>
            <w:r>
              <w:rPr>
                <w:rFonts w:hint="eastAsia" w:ascii="宋体"/>
                <w:sz w:val="18"/>
                <w:szCs w:val="18"/>
              </w:rPr>
              <w:t>=0.0864×N×Q</w:t>
            </w:r>
            <w:r>
              <w:rPr>
                <w:rFonts w:hint="eastAsia" w:ascii="宋体"/>
                <w:sz w:val="18"/>
                <w:szCs w:val="18"/>
                <w:vertAlign w:val="subscript"/>
              </w:rPr>
              <w:t>h</w:t>
            </w:r>
            <w:r>
              <w:rPr>
                <w:rFonts w:hint="eastAsia" w:ascii="宋体"/>
                <w:sz w:val="18"/>
                <w:szCs w:val="18"/>
              </w:rPr>
              <w:t>×</w:t>
            </w:r>
            <w:r>
              <w:rPr>
                <w:rFonts w:hint="eastAsia" w:ascii="宋体"/>
                <w:position w:val="-24"/>
                <w:sz w:val="18"/>
                <w:szCs w:val="18"/>
              </w:rPr>
              <w:object>
                <v:shape id="_x0000_i1025" o:spt="75" type="#_x0000_t75" style="height:31pt;width:33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rPr>
                <w:rFonts w:hint="eastAsia" w:ascii="宋体" w:hAnsi="宋体" w:cs="宋体"/>
                <w:sz w:val="18"/>
                <w:szCs w:val="18"/>
              </w:rPr>
              <w:t>…………………</w:t>
            </w:r>
            <w:r>
              <w:rPr>
                <w:rFonts w:ascii="宋体" w:hAnsi="宋体" w:cs="宋体"/>
                <w:sz w:val="18"/>
                <w:szCs w:val="18"/>
              </w:rPr>
              <w:t>……</w:t>
            </w:r>
            <w:r>
              <w:rPr>
                <w:rFonts w:hint="eastAsia" w:ascii="宋体" w:hAnsi="宋体" w:cs="宋体"/>
                <w:sz w:val="18"/>
                <w:szCs w:val="18"/>
              </w:rPr>
              <w:t>（7）</w:t>
            </w:r>
          </w:p>
          <w:p>
            <w:pPr>
              <w:jc w:val="left"/>
              <w:rPr>
                <w:rFonts w:ascii="宋体"/>
                <w:sz w:val="18"/>
              </w:rPr>
            </w:pPr>
            <w:r>
              <w:rPr>
                <w:rFonts w:hint="eastAsia" w:ascii="宋体"/>
                <w:sz w:val="18"/>
              </w:rPr>
              <w:t>式中：</w:t>
            </w:r>
          </w:p>
          <w:p>
            <w:pPr>
              <w:jc w:val="left"/>
              <w:rPr>
                <w:rFonts w:ascii="宋体"/>
                <w:sz w:val="18"/>
              </w:rPr>
            </w:pPr>
            <w:r>
              <w:rPr>
                <w:rFonts w:hint="eastAsia" w:ascii="宋体"/>
                <w:sz w:val="18"/>
              </w:rPr>
              <w:t>Q</w:t>
            </w:r>
            <w:r>
              <w:rPr>
                <w:rFonts w:hint="eastAsia" w:ascii="宋体"/>
                <w:szCs w:val="21"/>
                <w:eastAsianLayout w:id="61" w:combine="1"/>
              </w:rPr>
              <w:t>a h</w:t>
            </w:r>
            <w:r>
              <w:rPr>
                <w:rFonts w:hint="eastAsia" w:ascii="宋体"/>
                <w:szCs w:val="21"/>
              </w:rPr>
              <w:t xml:space="preserve">  </w:t>
            </w:r>
            <w:r>
              <w:rPr>
                <w:sz w:val="18"/>
                <w:szCs w:val="18"/>
              </w:rPr>
              <w:t>——</w:t>
            </w:r>
            <w:r>
              <w:rPr>
                <w:rFonts w:hint="eastAsia" w:ascii="宋体"/>
                <w:sz w:val="18"/>
              </w:rPr>
              <w:t>采暖全年耗热量，单位用GJ表示；</w:t>
            </w:r>
          </w:p>
          <w:p>
            <w:pPr>
              <w:rPr>
                <w:rFonts w:ascii="宋体"/>
                <w:sz w:val="18"/>
              </w:rPr>
            </w:pPr>
            <w:r>
              <w:rPr>
                <w:rFonts w:hint="eastAsia" w:ascii="宋体"/>
                <w:sz w:val="18"/>
              </w:rPr>
              <w:t>N</w:t>
            </w:r>
            <w:r>
              <w:rPr>
                <w:rFonts w:hint="eastAsia" w:ascii="宋体"/>
                <w:sz w:val="18"/>
                <w:vertAlign w:val="subscript"/>
              </w:rPr>
              <w:t xml:space="preserve"> </w:t>
            </w:r>
            <w:r>
              <w:rPr>
                <w:rFonts w:hint="eastAsia" w:ascii="宋体"/>
                <w:sz w:val="18"/>
              </w:rPr>
              <w:t xml:space="preserve">   </w:t>
            </w:r>
            <w:r>
              <w:rPr>
                <w:sz w:val="18"/>
                <w:szCs w:val="18"/>
              </w:rPr>
              <w:t>——</w:t>
            </w:r>
            <w:r>
              <w:rPr>
                <w:rFonts w:hint="eastAsia" w:ascii="宋体"/>
                <w:sz w:val="18"/>
              </w:rPr>
              <w:t>采暖期天数，单位用d表示；</w:t>
            </w:r>
          </w:p>
          <w:p>
            <w:pPr>
              <w:jc w:val="left"/>
              <w:rPr>
                <w:rFonts w:ascii="宋体"/>
                <w:sz w:val="18"/>
              </w:rPr>
            </w:pPr>
            <w:r>
              <w:rPr>
                <w:rFonts w:hint="eastAsia" w:ascii="宋体"/>
                <w:sz w:val="18"/>
              </w:rPr>
              <w:t>Q</w:t>
            </w:r>
            <w:r>
              <w:rPr>
                <w:rFonts w:hint="eastAsia" w:ascii="宋体"/>
                <w:sz w:val="18"/>
                <w:vertAlign w:val="subscript"/>
              </w:rPr>
              <w:t>h</w:t>
            </w:r>
            <w:r>
              <w:rPr>
                <w:rFonts w:hint="eastAsia" w:ascii="宋体"/>
                <w:sz w:val="18"/>
              </w:rPr>
              <w:t xml:space="preserve">   </w:t>
            </w:r>
            <w:r>
              <w:rPr>
                <w:sz w:val="18"/>
                <w:szCs w:val="18"/>
              </w:rPr>
              <w:t>——</w:t>
            </w:r>
            <w:r>
              <w:rPr>
                <w:rFonts w:hint="eastAsia" w:ascii="宋体"/>
                <w:sz w:val="18"/>
              </w:rPr>
              <w:t>采暖设计热负荷，单位用kW表示；</w:t>
            </w:r>
          </w:p>
          <w:p>
            <w:pPr>
              <w:jc w:val="left"/>
              <w:rPr>
                <w:rFonts w:ascii="宋体"/>
                <w:sz w:val="18"/>
              </w:rPr>
            </w:pPr>
            <w:r>
              <w:rPr>
                <w:rFonts w:hint="eastAsia" w:ascii="宋体"/>
                <w:szCs w:val="21"/>
              </w:rPr>
              <w:t>t</w:t>
            </w:r>
            <w:r>
              <w:rPr>
                <w:rFonts w:hint="eastAsia" w:ascii="宋体"/>
                <w:szCs w:val="21"/>
                <w:vertAlign w:val="subscript"/>
              </w:rPr>
              <w:t xml:space="preserve">i </w:t>
            </w:r>
            <w:r>
              <w:rPr>
                <w:rFonts w:hint="eastAsia" w:ascii="宋体"/>
                <w:szCs w:val="21"/>
              </w:rPr>
              <w:t xml:space="preserve">  </w:t>
            </w:r>
            <w:r>
              <w:rPr>
                <w:sz w:val="18"/>
                <w:szCs w:val="18"/>
              </w:rPr>
              <w:t>——</w:t>
            </w:r>
            <w:r>
              <w:rPr>
                <w:rFonts w:hint="eastAsia" w:ascii="宋体"/>
                <w:sz w:val="18"/>
              </w:rPr>
              <w:t>室内计算温度，单位用℃表示；</w:t>
            </w:r>
          </w:p>
          <w:p>
            <w:pPr>
              <w:jc w:val="left"/>
              <w:rPr>
                <w:rFonts w:ascii="宋体"/>
                <w:sz w:val="18"/>
              </w:rPr>
            </w:pPr>
            <w:r>
              <w:rPr>
                <w:rFonts w:hint="eastAsia" w:ascii="宋体"/>
                <w:szCs w:val="21"/>
              </w:rPr>
              <w:t>t</w:t>
            </w:r>
            <w:r>
              <w:rPr>
                <w:rFonts w:hint="eastAsia" w:ascii="宋体"/>
                <w:szCs w:val="21"/>
                <w:vertAlign w:val="subscript"/>
              </w:rPr>
              <w:t xml:space="preserve">a </w:t>
            </w:r>
            <w:r>
              <w:rPr>
                <w:rFonts w:hint="eastAsia" w:ascii="宋体"/>
                <w:szCs w:val="21"/>
              </w:rPr>
              <w:t xml:space="preserve">  </w:t>
            </w:r>
            <w:r>
              <w:rPr>
                <w:sz w:val="18"/>
                <w:szCs w:val="18"/>
              </w:rPr>
              <w:t>——</w:t>
            </w:r>
            <w:r>
              <w:rPr>
                <w:rFonts w:hint="eastAsia" w:ascii="宋体"/>
                <w:sz w:val="18"/>
              </w:rPr>
              <w:t>采暖期室外平均温度，单位用℃表示；</w:t>
            </w:r>
          </w:p>
          <w:p>
            <w:pPr>
              <w:jc w:val="left"/>
              <w:rPr>
                <w:rFonts w:ascii="宋体"/>
                <w:sz w:val="18"/>
              </w:rPr>
            </w:pPr>
            <w:r>
              <w:rPr>
                <w:rFonts w:hint="eastAsia" w:ascii="宋体"/>
                <w:szCs w:val="21"/>
              </w:rPr>
              <w:t>t</w:t>
            </w:r>
            <w:r>
              <w:rPr>
                <w:rFonts w:hint="eastAsia" w:ascii="宋体"/>
                <w:szCs w:val="21"/>
                <w:vertAlign w:val="subscript"/>
              </w:rPr>
              <w:t xml:space="preserve">o.h </w:t>
            </w:r>
            <w:r>
              <w:rPr>
                <w:rFonts w:hint="eastAsia" w:ascii="宋体"/>
                <w:szCs w:val="21"/>
              </w:rPr>
              <w:t xml:space="preserve"> </w:t>
            </w:r>
            <w:r>
              <w:rPr>
                <w:sz w:val="18"/>
                <w:szCs w:val="18"/>
              </w:rPr>
              <w:t>——</w:t>
            </w:r>
            <w:r>
              <w:rPr>
                <w:rFonts w:hint="eastAsia" w:ascii="宋体"/>
                <w:sz w:val="18"/>
              </w:rPr>
              <w:t>采暖室外计算温度，单位用℃表示。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43" w:type="dxa"/>
            <w:noWrap/>
            <w:vAlign w:val="center"/>
          </w:tcPr>
          <w:p>
            <w:pPr>
              <w:jc w:val="center"/>
              <w:rPr>
                <w:rFonts w:ascii="宋体"/>
                <w:sz w:val="18"/>
              </w:rPr>
            </w:pPr>
            <w:r>
              <w:rPr>
                <w:rFonts w:hint="eastAsia" w:ascii="宋体"/>
                <w:sz w:val="18"/>
              </w:rPr>
              <w:t>采暖设计热负荷</w:t>
            </w:r>
          </w:p>
        </w:tc>
        <w:tc>
          <w:tcPr>
            <w:tcW w:w="6627" w:type="dxa"/>
            <w:noWrap/>
          </w:tcPr>
          <w:p>
            <w:pPr>
              <w:jc w:val="right"/>
              <w:rPr>
                <w:rFonts w:ascii="宋体" w:hAnsi="宋体" w:cs="宋体"/>
                <w:sz w:val="18"/>
                <w:szCs w:val="18"/>
              </w:rPr>
            </w:pPr>
            <w:r>
              <w:rPr>
                <w:rFonts w:hint="eastAsia" w:ascii="宋体"/>
                <w:sz w:val="18"/>
                <w:szCs w:val="18"/>
              </w:rPr>
              <w:t>Q</w:t>
            </w:r>
            <w:r>
              <w:rPr>
                <w:rFonts w:hint="eastAsia" w:ascii="宋体"/>
                <w:sz w:val="18"/>
                <w:szCs w:val="18"/>
                <w:vertAlign w:val="subscript"/>
              </w:rPr>
              <w:t>h</w:t>
            </w:r>
            <w:r>
              <w:rPr>
                <w:rFonts w:hint="eastAsia" w:ascii="宋体"/>
                <w:sz w:val="18"/>
                <w:szCs w:val="18"/>
              </w:rPr>
              <w:t>=q</w:t>
            </w:r>
            <w:r>
              <w:rPr>
                <w:rFonts w:hint="eastAsia" w:ascii="宋体"/>
                <w:sz w:val="18"/>
                <w:szCs w:val="18"/>
                <w:vertAlign w:val="subscript"/>
              </w:rPr>
              <w:t>h</w:t>
            </w:r>
            <w:r>
              <w:rPr>
                <w:rFonts w:hint="eastAsia" w:ascii="宋体"/>
                <w:sz w:val="18"/>
                <w:szCs w:val="18"/>
              </w:rPr>
              <w:t>×A</w:t>
            </w:r>
            <w:r>
              <w:rPr>
                <w:rFonts w:hint="eastAsia" w:ascii="宋体"/>
                <w:sz w:val="18"/>
                <w:szCs w:val="18"/>
                <w:vertAlign w:val="subscript"/>
              </w:rPr>
              <w:t>c</w:t>
            </w:r>
            <w:r>
              <w:rPr>
                <w:rFonts w:hint="eastAsia" w:ascii="宋体"/>
                <w:sz w:val="18"/>
                <w:szCs w:val="18"/>
              </w:rPr>
              <w:t>×10</w:t>
            </w:r>
            <w:r>
              <w:rPr>
                <w:rFonts w:hint="eastAsia" w:ascii="宋体"/>
                <w:sz w:val="18"/>
                <w:szCs w:val="18"/>
                <w:vertAlign w:val="superscript"/>
              </w:rPr>
              <w:t>-3</w:t>
            </w:r>
            <w:r>
              <w:rPr>
                <w:rFonts w:hint="eastAsia" w:ascii="宋体" w:hAnsi="宋体" w:cs="宋体"/>
                <w:sz w:val="18"/>
                <w:szCs w:val="18"/>
              </w:rPr>
              <w:t>………………</w:t>
            </w:r>
            <w:r>
              <w:rPr>
                <w:rFonts w:ascii="宋体" w:hAnsi="宋体" w:cs="宋体"/>
                <w:sz w:val="18"/>
                <w:szCs w:val="18"/>
              </w:rPr>
              <w:t>………………</w:t>
            </w:r>
            <w:r>
              <w:rPr>
                <w:rFonts w:hint="eastAsia" w:ascii="宋体" w:hAnsi="宋体" w:cs="宋体"/>
                <w:sz w:val="18"/>
                <w:szCs w:val="18"/>
              </w:rPr>
              <w:t>（8）</w:t>
            </w:r>
          </w:p>
          <w:p>
            <w:pPr>
              <w:jc w:val="left"/>
              <w:rPr>
                <w:rFonts w:ascii="宋体" w:hAnsi="宋体" w:cs="宋体"/>
                <w:sz w:val="18"/>
                <w:szCs w:val="18"/>
              </w:rPr>
            </w:pPr>
            <w:r>
              <w:rPr>
                <w:rFonts w:hint="eastAsia" w:ascii="宋体"/>
                <w:sz w:val="18"/>
              </w:rPr>
              <w:t>式中：</w:t>
            </w:r>
          </w:p>
          <w:p>
            <w:pPr>
              <w:jc w:val="left"/>
              <w:rPr>
                <w:rFonts w:ascii="宋体"/>
                <w:sz w:val="18"/>
              </w:rPr>
            </w:pPr>
            <w:r>
              <w:rPr>
                <w:rFonts w:hint="eastAsia" w:ascii="宋体"/>
                <w:sz w:val="18"/>
              </w:rPr>
              <w:t>q</w:t>
            </w:r>
            <w:r>
              <w:rPr>
                <w:rFonts w:hint="eastAsia" w:ascii="宋体"/>
                <w:sz w:val="18"/>
                <w:vertAlign w:val="subscript"/>
              </w:rPr>
              <w:t xml:space="preserve">h </w:t>
            </w:r>
            <w:r>
              <w:rPr>
                <w:rFonts w:hint="eastAsia" w:ascii="宋体"/>
                <w:sz w:val="18"/>
              </w:rPr>
              <w:t xml:space="preserve">   </w:t>
            </w:r>
            <w:r>
              <w:rPr>
                <w:sz w:val="18"/>
                <w:szCs w:val="18"/>
              </w:rPr>
              <w:t>——</w:t>
            </w:r>
            <w:r>
              <w:rPr>
                <w:rFonts w:hint="eastAsia" w:ascii="宋体"/>
                <w:sz w:val="18"/>
              </w:rPr>
              <w:t>采暖热指标，单位用W/m</w:t>
            </w:r>
            <w:r>
              <w:rPr>
                <w:rFonts w:hint="eastAsia" w:ascii="宋体"/>
                <w:sz w:val="18"/>
                <w:vertAlign w:val="superscript"/>
              </w:rPr>
              <w:t>2</w:t>
            </w:r>
            <w:r>
              <w:rPr>
                <w:rFonts w:hint="eastAsia" w:ascii="宋体"/>
                <w:sz w:val="18"/>
              </w:rPr>
              <w:t>表示；</w:t>
            </w:r>
          </w:p>
          <w:p>
            <w:pPr>
              <w:jc w:val="left"/>
              <w:rPr>
                <w:rFonts w:ascii="宋体"/>
                <w:sz w:val="18"/>
              </w:rPr>
            </w:pPr>
            <w:r>
              <w:rPr>
                <w:rFonts w:hint="eastAsia" w:ascii="宋体"/>
                <w:szCs w:val="21"/>
              </w:rPr>
              <w:t>A</w:t>
            </w:r>
            <w:r>
              <w:rPr>
                <w:rFonts w:hint="eastAsia" w:ascii="宋体"/>
                <w:szCs w:val="21"/>
                <w:vertAlign w:val="subscript"/>
              </w:rPr>
              <w:t xml:space="preserve">c </w:t>
            </w:r>
            <w:r>
              <w:rPr>
                <w:rFonts w:hint="eastAsia" w:ascii="宋体"/>
                <w:szCs w:val="21"/>
              </w:rPr>
              <w:t xml:space="preserve">  </w:t>
            </w:r>
            <w:r>
              <w:rPr>
                <w:sz w:val="18"/>
                <w:szCs w:val="18"/>
              </w:rPr>
              <w:t>——</w:t>
            </w:r>
            <w:r>
              <w:rPr>
                <w:rFonts w:hint="eastAsia" w:ascii="宋体"/>
                <w:sz w:val="18"/>
              </w:rPr>
              <w:t>采暖建筑物的建筑面积，单位用m</w:t>
            </w:r>
            <w:r>
              <w:rPr>
                <w:rFonts w:hint="eastAsia" w:ascii="宋体"/>
                <w:sz w:val="18"/>
                <w:vertAlign w:val="superscript"/>
              </w:rPr>
              <w:t>2</w:t>
            </w:r>
            <w:r>
              <w:rPr>
                <w:rFonts w:hint="eastAsia" w:ascii="宋体"/>
                <w:sz w:val="18"/>
              </w:rPr>
              <w:t>表示。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70" w:type="dxa"/>
            <w:gridSpan w:val="2"/>
            <w:tcBorders>
              <w:top w:val="single" w:color="auto" w:sz="8" w:space="0"/>
            </w:tcBorders>
            <w:noWrap/>
          </w:tcPr>
          <w:p>
            <w:pPr>
              <w:pStyle w:val="53"/>
              <w:bidi w:val="0"/>
            </w:pPr>
            <w:r>
              <w:t>t</w:t>
            </w:r>
            <w:r>
              <w:rPr>
                <w:sz w:val="18"/>
                <w:vertAlign w:val="subscript"/>
              </w:rPr>
              <w:t>i</w:t>
            </w:r>
            <w:r>
              <w:t>，t</w:t>
            </w:r>
            <w:r>
              <w:rPr>
                <w:sz w:val="18"/>
                <w:vertAlign w:val="subscript"/>
              </w:rPr>
              <w:t>a</w:t>
            </w:r>
            <w:r>
              <w:t>，t</w:t>
            </w:r>
            <w:r>
              <w:rPr>
                <w:rFonts w:hint="eastAsia"/>
                <w:sz w:val="18"/>
                <w:vertAlign w:val="subscript"/>
                <w:lang w:val="en-US" w:eastAsia="zh-CN"/>
              </w:rPr>
              <w:t>o</w:t>
            </w:r>
            <w:r>
              <w:rPr>
                <w:sz w:val="18"/>
                <w:vertAlign w:val="subscript"/>
              </w:rPr>
              <w:t>,h</w:t>
            </w:r>
            <w:r>
              <w:t>数据在《民用建筑供暖通风与空气调节设计规范》（GB50736-2012）中查找，</w:t>
            </w:r>
            <w:r>
              <w:rPr>
                <w:rFonts w:hint="eastAsia"/>
              </w:rPr>
              <w:t>采暖热指标q</w:t>
            </w:r>
            <w:r>
              <w:rPr>
                <w:rFonts w:hint="eastAsia"/>
                <w:sz w:val="18"/>
                <w:vertAlign w:val="subscript"/>
              </w:rPr>
              <w:t>h</w:t>
            </w:r>
            <w:r>
              <w:rPr>
                <w:rFonts w:hint="eastAsia"/>
              </w:rPr>
              <w:t>在《城镇供热管网设计标准》（CJJ/T34-2022）中查找。</w:t>
            </w:r>
          </w:p>
        </w:tc>
      </w:tr>
    </w:tbl>
    <w:p>
      <w:pPr>
        <w:pStyle w:val="20"/>
      </w:pPr>
    </w:p>
    <w:p>
      <w:pPr>
        <w:ind w:firstLine="420"/>
        <w:rPr>
          <w:szCs w:val="21"/>
        </w:rPr>
      </w:pPr>
    </w:p>
    <w:p>
      <w:pPr>
        <w:ind w:firstLine="420"/>
      </w:pPr>
      <w:r>
        <w:rPr>
          <w:szCs w:val="21"/>
        </w:rPr>
        <w:t>表B</w:t>
      </w:r>
      <w:r>
        <w:rPr>
          <w:rFonts w:ascii="宋体" w:hAnsi="宋体"/>
          <w:szCs w:val="21"/>
        </w:rPr>
        <w:t>.</w:t>
      </w:r>
      <w:r>
        <w:rPr>
          <w:rFonts w:hint="eastAsia"/>
          <w:szCs w:val="21"/>
        </w:rPr>
        <w:t>4</w:t>
      </w:r>
      <w:r>
        <w:rPr>
          <w:rFonts w:ascii="宋体" w:hAnsi="宋体"/>
          <w:szCs w:val="21"/>
        </w:rPr>
        <w:t>中</w:t>
      </w:r>
      <w:r>
        <w:rPr>
          <w:rFonts w:hint="eastAsia" w:ascii="宋体" w:hAnsi="宋体"/>
          <w:szCs w:val="21"/>
        </w:rPr>
        <w:t>给出</w:t>
      </w:r>
      <w:r>
        <w:rPr>
          <w:rFonts w:ascii="宋体" w:hAnsi="宋体"/>
          <w:szCs w:val="21"/>
        </w:rPr>
        <w:t>了</w:t>
      </w:r>
      <w:r>
        <w:rPr>
          <w:rFonts w:hint="eastAsia" w:ascii="宋体" w:hAnsi="宋体"/>
          <w:szCs w:val="21"/>
        </w:rPr>
        <w:t>机关事业单位常用化石燃料相关参数缺省值。</w:t>
      </w:r>
    </w:p>
    <w:p>
      <w:pPr>
        <w:pStyle w:val="83"/>
        <w:spacing w:before="156" w:after="156"/>
      </w:pPr>
      <w:bookmarkStart w:id="137" w:name="_Toc131511339"/>
      <w:r>
        <w:rPr>
          <w:rFonts w:hint="eastAsia"/>
          <w:kern w:val="0"/>
        </w:rPr>
        <w:t>常用化石燃料相关参数缺省值</w:t>
      </w:r>
      <w:bookmarkEnd w:id="137"/>
    </w:p>
    <w:p>
      <w:pPr>
        <w:pStyle w:val="20"/>
        <w:rPr>
          <w:rFonts w:hint="eastAsia"/>
          <w:kern w:val="0"/>
        </w:rPr>
      </w:pPr>
    </w:p>
    <w:tbl>
      <w:tblPr>
        <w:tblStyle w:val="2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95"/>
        <w:gridCol w:w="1595"/>
        <w:gridCol w:w="1595"/>
        <w:gridCol w:w="1595"/>
        <w:gridCol w:w="159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95" w:type="dxa"/>
            <w:tcBorders>
              <w:bottom w:val="single" w:color="auto" w:sz="8" w:space="0"/>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rPr>
              <w:t>燃料名称</w:t>
            </w:r>
          </w:p>
        </w:tc>
        <w:tc>
          <w:tcPr>
            <w:tcW w:w="1595" w:type="dxa"/>
            <w:tcBorders>
              <w:bottom w:val="single" w:color="auto" w:sz="8" w:space="0"/>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rPr>
              <w:t>消耗量计量单位</w:t>
            </w:r>
          </w:p>
        </w:tc>
        <w:tc>
          <w:tcPr>
            <w:tcW w:w="1595" w:type="dxa"/>
            <w:tcBorders>
              <w:bottom w:val="single" w:color="auto" w:sz="8" w:space="0"/>
              <w:tl2br w:val="nil"/>
              <w:tr2bl w:val="nil"/>
            </w:tcBorders>
            <w:vAlign w:val="center"/>
          </w:tcPr>
          <w:p>
            <w:pPr>
              <w:widowControl/>
              <w:jc w:val="center"/>
              <w:rPr>
                <w:rFonts w:ascii="宋体" w:hAnsi="宋体" w:cs="宋体"/>
                <w:color w:val="222222"/>
                <w:spacing w:val="8"/>
                <w:kern w:val="0"/>
                <w:sz w:val="18"/>
                <w:szCs w:val="21"/>
              </w:rPr>
            </w:pPr>
            <w:r>
              <w:rPr>
                <w:rFonts w:hint="eastAsia" w:ascii="宋体" w:hAnsi="宋体" w:cs="宋体"/>
                <w:color w:val="222222"/>
                <w:spacing w:val="8"/>
                <w:kern w:val="0"/>
                <w:sz w:val="18"/>
                <w:szCs w:val="21"/>
              </w:rPr>
              <w:t>密度</w:t>
            </w:r>
          </w:p>
          <w:p>
            <w:pPr>
              <w:widowControl/>
              <w:jc w:val="center"/>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rPr>
              <w:t>（</w:t>
            </w:r>
            <w:r>
              <w:rPr>
                <w:rFonts w:hint="eastAsia" w:ascii="宋体" w:cs="宋体"/>
                <w:color w:val="222222"/>
                <w:spacing w:val="8"/>
                <w:kern w:val="0"/>
                <w:sz w:val="18"/>
                <w:szCs w:val="21"/>
              </w:rPr>
              <w:t>t</w:t>
            </w:r>
            <w:r>
              <w:rPr>
                <w:rFonts w:hint="eastAsia" w:ascii="宋体" w:hAnsi="宋体" w:cs="宋体"/>
                <w:color w:val="222222"/>
                <w:spacing w:val="8"/>
                <w:kern w:val="0"/>
                <w:sz w:val="18"/>
                <w:szCs w:val="21"/>
              </w:rPr>
              <w:t>/</w:t>
            </w:r>
            <w:r>
              <w:rPr>
                <w:rFonts w:hint="eastAsia" w:ascii="宋体" w:cs="宋体"/>
                <w:color w:val="222222"/>
                <w:spacing w:val="8"/>
                <w:kern w:val="0"/>
                <w:sz w:val="18"/>
                <w:szCs w:val="21"/>
              </w:rPr>
              <w:t>Nm</w:t>
            </w:r>
            <w:r>
              <w:rPr>
                <w:rFonts w:hint="eastAsia" w:ascii="宋体" w:cs="宋体"/>
                <w:color w:val="222222"/>
                <w:spacing w:val="8"/>
                <w:kern w:val="0"/>
                <w:sz w:val="18"/>
                <w:szCs w:val="21"/>
                <w:vertAlign w:val="superscript"/>
              </w:rPr>
              <w:t>3</w:t>
            </w:r>
            <w:r>
              <w:rPr>
                <w:rFonts w:hint="eastAsia" w:ascii="宋体" w:hAnsi="宋体" w:cs="宋体"/>
                <w:color w:val="222222"/>
                <w:spacing w:val="8"/>
                <w:kern w:val="0"/>
                <w:sz w:val="18"/>
                <w:szCs w:val="21"/>
              </w:rPr>
              <w:t>）</w:t>
            </w:r>
          </w:p>
        </w:tc>
        <w:tc>
          <w:tcPr>
            <w:tcW w:w="1595" w:type="dxa"/>
            <w:tcBorders>
              <w:bottom w:val="single" w:color="auto" w:sz="8" w:space="0"/>
              <w:tl2br w:val="nil"/>
              <w:tr2bl w:val="nil"/>
            </w:tcBorders>
            <w:vAlign w:val="center"/>
          </w:tcPr>
          <w:p>
            <w:pPr>
              <w:widowControl/>
              <w:jc w:val="center"/>
              <w:rPr>
                <w:rFonts w:ascii="宋体" w:hAnsi="宋体" w:cs="宋体"/>
                <w:color w:val="222222"/>
                <w:spacing w:val="8"/>
                <w:kern w:val="0"/>
                <w:sz w:val="18"/>
                <w:szCs w:val="21"/>
              </w:rPr>
            </w:pPr>
            <w:r>
              <w:rPr>
                <w:rFonts w:hint="eastAsia" w:ascii="宋体" w:hAnsi="宋体" w:cs="宋体"/>
                <w:color w:val="222222"/>
                <w:spacing w:val="8"/>
                <w:kern w:val="0"/>
                <w:sz w:val="18"/>
                <w:szCs w:val="21"/>
              </w:rPr>
              <w:t>低位发热值</w:t>
            </w:r>
          </w:p>
          <w:p>
            <w:pPr>
              <w:widowControl/>
              <w:jc w:val="center"/>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rPr>
              <w:t>(</w:t>
            </w:r>
            <w:r>
              <w:rPr>
                <w:rFonts w:hint="eastAsia" w:ascii="宋体" w:cs="宋体"/>
                <w:color w:val="222222"/>
                <w:spacing w:val="8"/>
                <w:kern w:val="0"/>
                <w:sz w:val="18"/>
                <w:szCs w:val="21"/>
              </w:rPr>
              <w:t>GJ</w:t>
            </w:r>
            <w:r>
              <w:rPr>
                <w:rFonts w:hint="eastAsia" w:ascii="宋体" w:hAnsi="宋体" w:cs="宋体"/>
                <w:color w:val="222222"/>
                <w:spacing w:val="8"/>
                <w:kern w:val="0"/>
                <w:sz w:val="18"/>
                <w:szCs w:val="21"/>
              </w:rPr>
              <w:t>/</w:t>
            </w:r>
            <w:r>
              <w:rPr>
                <w:rFonts w:hint="eastAsia" w:ascii="宋体" w:cs="宋体"/>
                <w:color w:val="222222"/>
                <w:spacing w:val="8"/>
                <w:kern w:val="0"/>
                <w:sz w:val="18"/>
                <w:szCs w:val="21"/>
              </w:rPr>
              <w:t>t</w:t>
            </w:r>
            <w:r>
              <w:rPr>
                <w:rFonts w:hint="eastAsia" w:ascii="宋体" w:hAnsi="宋体" w:cs="宋体"/>
                <w:color w:val="222222"/>
                <w:spacing w:val="8"/>
                <w:kern w:val="0"/>
                <w:sz w:val="18"/>
                <w:szCs w:val="21"/>
              </w:rPr>
              <w:t>，</w:t>
            </w:r>
            <w:r>
              <w:rPr>
                <w:rFonts w:ascii="宋体" w:hAnsi="宋体" w:cs="Calibri"/>
                <w:color w:val="222222"/>
                <w:spacing w:val="8"/>
                <w:kern w:val="0"/>
                <w:sz w:val="18"/>
                <w:szCs w:val="21"/>
              </w:rPr>
              <w:t> </w:t>
            </w:r>
            <w:r>
              <w:rPr>
                <w:rFonts w:hint="eastAsia" w:ascii="宋体" w:cs="宋体"/>
                <w:color w:val="222222"/>
                <w:spacing w:val="8"/>
                <w:kern w:val="0"/>
                <w:sz w:val="18"/>
                <w:szCs w:val="21"/>
              </w:rPr>
              <w:t>GJ</w:t>
            </w:r>
            <w:r>
              <w:rPr>
                <w:rFonts w:hint="eastAsia" w:ascii="宋体" w:hAnsi="宋体" w:cs="宋体"/>
                <w:color w:val="222222"/>
                <w:spacing w:val="8"/>
                <w:kern w:val="0"/>
                <w:sz w:val="18"/>
                <w:szCs w:val="21"/>
              </w:rPr>
              <w:t>/</w:t>
            </w:r>
            <w:r>
              <w:rPr>
                <w:rFonts w:hint="eastAsia" w:ascii="宋体" w:cs="宋体"/>
                <w:color w:val="222222"/>
                <w:spacing w:val="8"/>
                <w:kern w:val="0"/>
                <w:sz w:val="18"/>
                <w:szCs w:val="21"/>
              </w:rPr>
              <w:t>10</w:t>
            </w:r>
            <w:r>
              <w:rPr>
                <w:rFonts w:hint="eastAsia" w:ascii="宋体" w:cs="宋体"/>
                <w:color w:val="222222"/>
                <w:spacing w:val="8"/>
                <w:kern w:val="0"/>
                <w:sz w:val="18"/>
                <w:szCs w:val="21"/>
                <w:vertAlign w:val="superscript"/>
              </w:rPr>
              <w:t>4</w:t>
            </w:r>
            <w:r>
              <w:rPr>
                <w:rFonts w:hint="eastAsia" w:ascii="宋体" w:cs="宋体"/>
                <w:color w:val="222222"/>
                <w:spacing w:val="8"/>
                <w:kern w:val="0"/>
                <w:sz w:val="18"/>
                <w:szCs w:val="21"/>
              </w:rPr>
              <w:t>Nm</w:t>
            </w:r>
            <w:r>
              <w:rPr>
                <w:rFonts w:hint="eastAsia" w:ascii="宋体" w:cs="宋体"/>
                <w:color w:val="222222"/>
                <w:spacing w:val="8"/>
                <w:kern w:val="0"/>
                <w:sz w:val="18"/>
                <w:szCs w:val="21"/>
                <w:vertAlign w:val="superscript"/>
              </w:rPr>
              <w:t>3</w:t>
            </w:r>
            <w:r>
              <w:rPr>
                <w:rFonts w:hint="eastAsia" w:ascii="宋体" w:hAnsi="宋体" w:cs="宋体"/>
                <w:color w:val="222222"/>
                <w:spacing w:val="8"/>
                <w:kern w:val="0"/>
                <w:sz w:val="18"/>
                <w:szCs w:val="21"/>
              </w:rPr>
              <w:t>)</w:t>
            </w:r>
          </w:p>
        </w:tc>
        <w:tc>
          <w:tcPr>
            <w:tcW w:w="1595" w:type="dxa"/>
            <w:tcBorders>
              <w:bottom w:val="single" w:color="auto" w:sz="8" w:space="0"/>
              <w:tl2br w:val="nil"/>
              <w:tr2bl w:val="nil"/>
            </w:tcBorders>
            <w:vAlign w:val="center"/>
          </w:tcPr>
          <w:p>
            <w:pPr>
              <w:widowControl/>
              <w:jc w:val="center"/>
              <w:rPr>
                <w:rFonts w:ascii="宋体" w:hAnsi="宋体" w:cs="宋体"/>
                <w:color w:val="222222"/>
                <w:spacing w:val="8"/>
                <w:kern w:val="0"/>
                <w:sz w:val="18"/>
                <w:szCs w:val="21"/>
              </w:rPr>
            </w:pPr>
            <w:r>
              <w:rPr>
                <w:rFonts w:hint="eastAsia" w:ascii="宋体" w:hAnsi="宋体" w:cs="宋体"/>
                <w:color w:val="222222"/>
                <w:spacing w:val="8"/>
                <w:kern w:val="0"/>
                <w:sz w:val="18"/>
                <w:szCs w:val="21"/>
              </w:rPr>
              <w:t>单位热值含碳量</w:t>
            </w:r>
          </w:p>
          <w:p>
            <w:pPr>
              <w:widowControl/>
              <w:jc w:val="center"/>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rPr>
              <w:t>（</w:t>
            </w:r>
            <w:r>
              <w:rPr>
                <w:rFonts w:hint="eastAsia" w:ascii="宋体" w:cs="宋体"/>
                <w:color w:val="222222"/>
                <w:spacing w:val="8"/>
                <w:kern w:val="0"/>
                <w:sz w:val="18"/>
                <w:szCs w:val="21"/>
              </w:rPr>
              <w:t>tC</w:t>
            </w:r>
            <w:r>
              <w:rPr>
                <w:rFonts w:hint="eastAsia" w:ascii="宋体" w:hAnsi="宋体" w:cs="宋体"/>
                <w:color w:val="222222"/>
                <w:spacing w:val="8"/>
                <w:kern w:val="0"/>
                <w:sz w:val="18"/>
                <w:szCs w:val="21"/>
              </w:rPr>
              <w:t>/</w:t>
            </w:r>
            <w:r>
              <w:rPr>
                <w:rFonts w:hint="eastAsia" w:ascii="宋体" w:cs="宋体"/>
                <w:color w:val="222222"/>
                <w:spacing w:val="8"/>
                <w:kern w:val="0"/>
                <w:sz w:val="18"/>
                <w:szCs w:val="21"/>
              </w:rPr>
              <w:t>GJ</w:t>
            </w:r>
            <w:r>
              <w:rPr>
                <w:rFonts w:hint="eastAsia" w:ascii="宋体" w:hAnsi="宋体" w:cs="宋体"/>
                <w:color w:val="222222"/>
                <w:spacing w:val="8"/>
                <w:kern w:val="0"/>
                <w:sz w:val="18"/>
                <w:szCs w:val="21"/>
              </w:rPr>
              <w:t>）</w:t>
            </w:r>
          </w:p>
        </w:tc>
        <w:tc>
          <w:tcPr>
            <w:tcW w:w="1595" w:type="dxa"/>
            <w:tcBorders>
              <w:bottom w:val="single" w:color="auto" w:sz="8" w:space="0"/>
              <w:tl2br w:val="nil"/>
              <w:tr2bl w:val="nil"/>
            </w:tcBorders>
            <w:vAlign w:val="center"/>
          </w:tcPr>
          <w:p>
            <w:pPr>
              <w:widowControl/>
              <w:jc w:val="center"/>
              <w:rPr>
                <w:rFonts w:ascii="宋体" w:hAnsi="宋体" w:cs="宋体"/>
                <w:color w:val="222222"/>
                <w:spacing w:val="8"/>
                <w:kern w:val="0"/>
                <w:sz w:val="18"/>
                <w:szCs w:val="21"/>
              </w:rPr>
            </w:pPr>
            <w:r>
              <w:rPr>
                <w:rFonts w:hint="eastAsia" w:ascii="宋体" w:hAnsi="宋体" w:cs="宋体"/>
                <w:color w:val="222222"/>
                <w:spacing w:val="8"/>
                <w:kern w:val="0"/>
                <w:sz w:val="18"/>
                <w:szCs w:val="21"/>
              </w:rPr>
              <w:t>碳氧化率</w:t>
            </w:r>
          </w:p>
          <w:p>
            <w:pPr>
              <w:widowControl/>
              <w:jc w:val="center"/>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95" w:type="dxa"/>
            <w:tcBorders>
              <w:top w:val="single" w:color="auto" w:sz="8" w:space="0"/>
              <w:tl2br w:val="nil"/>
              <w:tr2bl w:val="nil"/>
            </w:tcBorders>
            <w:vAlign w:val="center"/>
          </w:tcPr>
          <w:p>
            <w:pPr>
              <w:widowControl/>
              <w:jc w:val="left"/>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rPr>
              <w:t>烟煤</w:t>
            </w:r>
          </w:p>
        </w:tc>
        <w:tc>
          <w:tcPr>
            <w:tcW w:w="1595" w:type="dxa"/>
            <w:tcBorders>
              <w:top w:val="single" w:color="auto" w:sz="8" w:space="0"/>
              <w:tl2br w:val="nil"/>
              <w:tr2bl w:val="nil"/>
            </w:tcBorders>
            <w:vAlign w:val="center"/>
          </w:tcPr>
          <w:p>
            <w:pPr>
              <w:widowControl/>
              <w:jc w:val="center"/>
              <w:rPr>
                <w:rFonts w:hint="eastAsia" w:ascii="宋体" w:hAnsi="Times New Roman" w:eastAsia="宋体" w:cs="宋体"/>
                <w:color w:val="222222"/>
                <w:spacing w:val="8"/>
                <w:kern w:val="0"/>
                <w:sz w:val="18"/>
                <w:szCs w:val="21"/>
                <w:lang w:val="en-US" w:eastAsia="zh-CN" w:bidi="ar-SA"/>
              </w:rPr>
            </w:pPr>
            <w:r>
              <w:rPr>
                <w:rFonts w:hint="eastAsia" w:ascii="宋体" w:cs="宋体"/>
                <w:color w:val="222222"/>
                <w:spacing w:val="8"/>
                <w:kern w:val="0"/>
                <w:sz w:val="18"/>
                <w:szCs w:val="21"/>
              </w:rPr>
              <w:t>t</w:t>
            </w:r>
          </w:p>
        </w:tc>
        <w:tc>
          <w:tcPr>
            <w:tcW w:w="1595" w:type="dxa"/>
            <w:tcBorders>
              <w:top w:val="single" w:color="auto" w:sz="8" w:space="0"/>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rPr>
              <w:t>/</w:t>
            </w:r>
          </w:p>
        </w:tc>
        <w:tc>
          <w:tcPr>
            <w:tcW w:w="1595" w:type="dxa"/>
            <w:tcBorders>
              <w:top w:val="single" w:color="auto" w:sz="8" w:space="0"/>
              <w:tl2br w:val="nil"/>
              <w:tr2bl w:val="nil"/>
            </w:tcBorders>
            <w:vAlign w:val="center"/>
          </w:tcPr>
          <w:p>
            <w:pPr>
              <w:widowControl/>
              <w:jc w:val="center"/>
              <w:rPr>
                <w:rFonts w:hint="eastAsia" w:ascii="宋体" w:hAnsi="Times New Roman" w:eastAsia="宋体" w:cs="宋体"/>
                <w:color w:val="222222"/>
                <w:spacing w:val="8"/>
                <w:kern w:val="0"/>
                <w:sz w:val="18"/>
                <w:szCs w:val="21"/>
                <w:lang w:val="en-US" w:eastAsia="zh-CN" w:bidi="ar-SA"/>
              </w:rPr>
            </w:pPr>
            <w:r>
              <w:rPr>
                <w:rFonts w:ascii="宋体" w:cs="宋体"/>
                <w:color w:val="222222"/>
                <w:spacing w:val="8"/>
                <w:kern w:val="0"/>
                <w:sz w:val="18"/>
                <w:szCs w:val="21"/>
              </w:rPr>
              <w:t>22.4</w:t>
            </w:r>
          </w:p>
        </w:tc>
        <w:tc>
          <w:tcPr>
            <w:tcW w:w="1595" w:type="dxa"/>
            <w:tcBorders>
              <w:top w:val="single" w:color="auto" w:sz="8" w:space="0"/>
              <w:tl2br w:val="nil"/>
              <w:tr2bl w:val="nil"/>
            </w:tcBorders>
            <w:vAlign w:val="center"/>
          </w:tcPr>
          <w:p>
            <w:pPr>
              <w:widowControl/>
              <w:jc w:val="center"/>
              <w:rPr>
                <w:rFonts w:hint="eastAsia" w:ascii="宋体" w:hAnsi="Times New Roman" w:eastAsia="宋体" w:cs="宋体"/>
                <w:color w:val="222222"/>
                <w:spacing w:val="8"/>
                <w:kern w:val="0"/>
                <w:sz w:val="18"/>
                <w:szCs w:val="21"/>
                <w:lang w:val="en-US" w:eastAsia="zh-CN" w:bidi="ar-SA"/>
              </w:rPr>
            </w:pPr>
            <w:r>
              <w:rPr>
                <w:rFonts w:hint="eastAsia" w:ascii="宋体" w:cs="宋体"/>
                <w:color w:val="222222"/>
                <w:spacing w:val="8"/>
                <w:kern w:val="0"/>
                <w:sz w:val="18"/>
                <w:szCs w:val="21"/>
              </w:rPr>
              <w:t>0.0261</w:t>
            </w:r>
          </w:p>
        </w:tc>
        <w:tc>
          <w:tcPr>
            <w:tcW w:w="1595" w:type="dxa"/>
            <w:tcBorders>
              <w:top w:val="single" w:color="auto" w:sz="8" w:space="0"/>
              <w:tl2br w:val="nil"/>
              <w:tr2bl w:val="nil"/>
            </w:tcBorders>
            <w:vAlign w:val="center"/>
          </w:tcPr>
          <w:p>
            <w:pPr>
              <w:widowControl/>
              <w:jc w:val="center"/>
              <w:rPr>
                <w:rFonts w:hint="eastAsia" w:ascii="宋体" w:hAnsi="Times New Roman" w:eastAsia="宋体" w:cs="宋体"/>
                <w:color w:val="222222"/>
                <w:spacing w:val="8"/>
                <w:kern w:val="0"/>
                <w:sz w:val="18"/>
                <w:szCs w:val="21"/>
                <w:lang w:val="en-US" w:eastAsia="zh-CN" w:bidi="ar-SA"/>
              </w:rPr>
            </w:pPr>
            <w:r>
              <w:rPr>
                <w:rFonts w:ascii="宋体" w:cs="宋体"/>
                <w:color w:val="222222"/>
                <w:spacing w:val="8"/>
                <w:kern w:val="0"/>
                <w:sz w:val="18"/>
                <w:szCs w:val="21"/>
              </w:rPr>
              <w:t>83.6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95" w:type="dxa"/>
            <w:tcBorders>
              <w:tl2br w:val="nil"/>
              <w:tr2bl w:val="nil"/>
            </w:tcBorders>
            <w:vAlign w:val="center"/>
          </w:tcPr>
          <w:p>
            <w:pPr>
              <w:widowControl/>
              <w:jc w:val="left"/>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rPr>
              <w:t>无烟煤</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t</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rPr>
              <w:t>/</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23</w:t>
            </w:r>
            <w:r>
              <w:rPr>
                <w:rFonts w:hint="eastAsia" w:ascii="宋体" w:hAnsi="宋体" w:cs="宋体"/>
                <w:color w:val="222222"/>
                <w:spacing w:val="8"/>
                <w:kern w:val="0"/>
                <w:sz w:val="18"/>
                <w:szCs w:val="21"/>
              </w:rPr>
              <w:t>.</w:t>
            </w:r>
            <w:r>
              <w:rPr>
                <w:rFonts w:hint="eastAsia" w:ascii="宋体" w:cs="宋体"/>
                <w:color w:val="222222"/>
                <w:spacing w:val="8"/>
                <w:kern w:val="0"/>
                <w:sz w:val="18"/>
                <w:szCs w:val="21"/>
              </w:rPr>
              <w:t>2</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0</w:t>
            </w:r>
            <w:r>
              <w:rPr>
                <w:rFonts w:hint="eastAsia" w:ascii="宋体" w:hAnsi="宋体" w:cs="宋体"/>
                <w:color w:val="222222"/>
                <w:spacing w:val="8"/>
                <w:kern w:val="0"/>
                <w:sz w:val="18"/>
                <w:szCs w:val="21"/>
              </w:rPr>
              <w:t>.</w:t>
            </w:r>
            <w:r>
              <w:rPr>
                <w:rFonts w:hint="eastAsia" w:ascii="宋体" w:cs="宋体"/>
                <w:color w:val="222222"/>
                <w:spacing w:val="8"/>
                <w:kern w:val="0"/>
                <w:sz w:val="18"/>
                <w:szCs w:val="21"/>
              </w:rPr>
              <w:t>0275</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89</w:t>
            </w:r>
            <w:r>
              <w:rPr>
                <w:rFonts w:hint="eastAsia" w:ascii="宋体" w:hAnsi="宋体" w:cs="宋体"/>
                <w:color w:val="222222"/>
                <w:spacing w:val="8"/>
                <w:kern w:val="0"/>
                <w:sz w:val="18"/>
                <w:szCs w:val="21"/>
              </w:rPr>
              <w:t>.</w:t>
            </w:r>
            <w:r>
              <w:rPr>
                <w:rFonts w:hint="eastAsia" w:ascii="宋体" w:cs="宋体"/>
                <w:color w:val="222222"/>
                <w:spacing w:val="8"/>
                <w:kern w:val="0"/>
                <w:sz w:val="18"/>
                <w:szCs w:val="21"/>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95" w:type="dxa"/>
            <w:tcBorders>
              <w:tl2br w:val="nil"/>
              <w:tr2bl w:val="nil"/>
            </w:tcBorders>
            <w:vAlign w:val="center"/>
          </w:tcPr>
          <w:p>
            <w:pPr>
              <w:widowControl/>
              <w:jc w:val="left"/>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rPr>
              <w:t>液化石油气</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t</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rPr>
              <w:t>/</w:t>
            </w:r>
          </w:p>
        </w:tc>
        <w:tc>
          <w:tcPr>
            <w:tcW w:w="1595" w:type="dxa"/>
            <w:tcBorders>
              <w:tl2br w:val="nil"/>
              <w:tr2bl w:val="nil"/>
            </w:tcBorders>
            <w:vAlign w:val="center"/>
          </w:tcPr>
          <w:p>
            <w:pPr>
              <w:widowControl/>
              <w:jc w:val="center"/>
              <w:rPr>
                <w:rFonts w:hint="default"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lang w:val="en-US" w:eastAsia="zh-CN"/>
              </w:rPr>
              <w:t>47.3</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0</w:t>
            </w:r>
            <w:r>
              <w:rPr>
                <w:rFonts w:hint="eastAsia" w:ascii="宋体" w:hAnsi="宋体" w:cs="宋体"/>
                <w:color w:val="222222"/>
                <w:spacing w:val="8"/>
                <w:kern w:val="0"/>
                <w:sz w:val="18"/>
                <w:szCs w:val="21"/>
              </w:rPr>
              <w:t>.</w:t>
            </w:r>
            <w:r>
              <w:rPr>
                <w:rFonts w:hint="eastAsia" w:ascii="宋体" w:cs="宋体"/>
                <w:color w:val="222222"/>
                <w:spacing w:val="8"/>
                <w:kern w:val="0"/>
                <w:sz w:val="18"/>
                <w:szCs w:val="21"/>
              </w:rPr>
              <w:t>0172</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98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95" w:type="dxa"/>
            <w:tcBorders>
              <w:tl2br w:val="nil"/>
              <w:tr2bl w:val="nil"/>
            </w:tcBorders>
            <w:vAlign w:val="center"/>
          </w:tcPr>
          <w:p>
            <w:pPr>
              <w:widowControl/>
              <w:jc w:val="left"/>
              <w:rPr>
                <w:rFonts w:hint="default"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lang w:val="en-US" w:eastAsia="zh-CN" w:bidi="ar-SA"/>
              </w:rPr>
              <w:t>液化天然气</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t</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rPr>
              <w:t>/</w:t>
            </w:r>
          </w:p>
        </w:tc>
        <w:tc>
          <w:tcPr>
            <w:tcW w:w="1595" w:type="dxa"/>
            <w:tcBorders>
              <w:tl2br w:val="nil"/>
              <w:tr2bl w:val="nil"/>
            </w:tcBorders>
            <w:vAlign w:val="center"/>
          </w:tcPr>
          <w:p>
            <w:pPr>
              <w:widowControl/>
              <w:jc w:val="center"/>
              <w:rPr>
                <w:rFonts w:hint="default"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lang w:val="en-US" w:eastAsia="zh-CN" w:bidi="ar-SA"/>
              </w:rPr>
              <w:t>41.9</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0</w:t>
            </w:r>
            <w:r>
              <w:rPr>
                <w:rFonts w:hint="eastAsia" w:ascii="宋体" w:hAnsi="宋体" w:cs="宋体"/>
                <w:color w:val="222222"/>
                <w:spacing w:val="8"/>
                <w:kern w:val="0"/>
                <w:sz w:val="18"/>
                <w:szCs w:val="21"/>
              </w:rPr>
              <w:t>.</w:t>
            </w:r>
            <w:r>
              <w:rPr>
                <w:rFonts w:hint="eastAsia" w:ascii="宋体" w:cs="宋体"/>
                <w:color w:val="222222"/>
                <w:spacing w:val="8"/>
                <w:kern w:val="0"/>
                <w:sz w:val="18"/>
                <w:szCs w:val="21"/>
              </w:rPr>
              <w:t>0172</w:t>
            </w:r>
          </w:p>
        </w:tc>
        <w:tc>
          <w:tcPr>
            <w:tcW w:w="1595" w:type="dxa"/>
            <w:tcBorders>
              <w:tl2br w:val="nil"/>
              <w:tr2bl w:val="nil"/>
            </w:tcBorders>
            <w:vAlign w:val="center"/>
          </w:tcPr>
          <w:p>
            <w:pPr>
              <w:widowControl/>
              <w:jc w:val="center"/>
              <w:rPr>
                <w:rFonts w:hint="default"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lang w:val="en-US" w:eastAsia="zh-CN" w:bidi="ar-SA"/>
              </w:rPr>
              <w:t>98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595" w:type="dxa"/>
            <w:tcBorders>
              <w:tl2br w:val="nil"/>
              <w:tr2bl w:val="nil"/>
            </w:tcBorders>
            <w:vAlign w:val="center"/>
          </w:tcPr>
          <w:p>
            <w:pPr>
              <w:widowControl/>
              <w:jc w:val="left"/>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rPr>
              <w:t>天然气</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10</w:t>
            </w:r>
            <w:r>
              <w:rPr>
                <w:rFonts w:hint="eastAsia" w:ascii="宋体" w:cs="宋体"/>
                <w:color w:val="222222"/>
                <w:spacing w:val="8"/>
                <w:kern w:val="0"/>
                <w:sz w:val="18"/>
                <w:szCs w:val="21"/>
                <w:vertAlign w:val="superscript"/>
              </w:rPr>
              <w:t>4</w:t>
            </w:r>
            <w:r>
              <w:rPr>
                <w:rFonts w:hint="eastAsia" w:ascii="宋体" w:cs="宋体"/>
                <w:color w:val="222222"/>
                <w:spacing w:val="8"/>
                <w:kern w:val="0"/>
                <w:sz w:val="18"/>
                <w:szCs w:val="21"/>
              </w:rPr>
              <w:t>Nm</w:t>
            </w:r>
            <w:r>
              <w:rPr>
                <w:rFonts w:hint="eastAsia" w:ascii="宋体" w:cs="宋体"/>
                <w:color w:val="222222"/>
                <w:spacing w:val="8"/>
                <w:kern w:val="0"/>
                <w:sz w:val="18"/>
                <w:szCs w:val="21"/>
                <w:vertAlign w:val="superscript"/>
              </w:rPr>
              <w:t>3</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rPr>
              <w:t>/</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389</w:t>
            </w:r>
            <w:r>
              <w:rPr>
                <w:rFonts w:hint="eastAsia" w:ascii="宋体" w:hAnsi="宋体" w:cs="宋体"/>
                <w:color w:val="222222"/>
                <w:spacing w:val="8"/>
                <w:kern w:val="0"/>
                <w:sz w:val="18"/>
                <w:szCs w:val="21"/>
              </w:rPr>
              <w:t>.</w:t>
            </w:r>
            <w:r>
              <w:rPr>
                <w:rFonts w:hint="eastAsia" w:ascii="宋体" w:cs="宋体"/>
                <w:color w:val="222222"/>
                <w:spacing w:val="8"/>
                <w:kern w:val="0"/>
                <w:sz w:val="18"/>
                <w:szCs w:val="21"/>
              </w:rPr>
              <w:t>3</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0</w:t>
            </w:r>
            <w:r>
              <w:rPr>
                <w:rFonts w:hint="eastAsia" w:ascii="宋体" w:hAnsi="宋体" w:cs="宋体"/>
                <w:color w:val="222222"/>
                <w:spacing w:val="8"/>
                <w:kern w:val="0"/>
                <w:sz w:val="18"/>
                <w:szCs w:val="21"/>
              </w:rPr>
              <w:t>.</w:t>
            </w:r>
            <w:r>
              <w:rPr>
                <w:rFonts w:hint="eastAsia" w:ascii="宋体" w:cs="宋体"/>
                <w:color w:val="222222"/>
                <w:spacing w:val="8"/>
                <w:kern w:val="0"/>
                <w:sz w:val="18"/>
                <w:szCs w:val="21"/>
              </w:rPr>
              <w:t>0153</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95" w:type="dxa"/>
            <w:tcBorders>
              <w:tl2br w:val="nil"/>
              <w:tr2bl w:val="nil"/>
            </w:tcBorders>
            <w:vAlign w:val="center"/>
          </w:tcPr>
          <w:p>
            <w:pPr>
              <w:widowControl/>
              <w:jc w:val="left"/>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rPr>
              <w:t>汽油</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t</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0</w:t>
            </w:r>
            <w:r>
              <w:rPr>
                <w:rFonts w:hint="eastAsia" w:ascii="宋体" w:hAnsi="宋体" w:cs="宋体"/>
                <w:color w:val="222222"/>
                <w:spacing w:val="8"/>
                <w:kern w:val="0"/>
                <w:sz w:val="18"/>
                <w:szCs w:val="21"/>
              </w:rPr>
              <w:t>.</w:t>
            </w:r>
            <w:r>
              <w:rPr>
                <w:rFonts w:hint="eastAsia" w:ascii="宋体" w:cs="宋体"/>
                <w:color w:val="222222"/>
                <w:spacing w:val="8"/>
                <w:kern w:val="0"/>
                <w:sz w:val="18"/>
                <w:szCs w:val="21"/>
              </w:rPr>
              <w:t>73</w:t>
            </w:r>
          </w:p>
        </w:tc>
        <w:tc>
          <w:tcPr>
            <w:tcW w:w="1595" w:type="dxa"/>
            <w:tcBorders>
              <w:tl2br w:val="nil"/>
              <w:tr2bl w:val="nil"/>
            </w:tcBorders>
            <w:vAlign w:val="center"/>
          </w:tcPr>
          <w:p>
            <w:pPr>
              <w:widowControl/>
              <w:jc w:val="center"/>
              <w:rPr>
                <w:rFonts w:hint="default"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lang w:val="en-US" w:eastAsia="zh-CN"/>
              </w:rPr>
              <w:t>44.8</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0</w:t>
            </w:r>
            <w:r>
              <w:rPr>
                <w:rFonts w:hint="eastAsia" w:ascii="宋体" w:hAnsi="宋体" w:cs="宋体"/>
                <w:color w:val="222222"/>
                <w:spacing w:val="8"/>
                <w:kern w:val="0"/>
                <w:sz w:val="18"/>
                <w:szCs w:val="21"/>
              </w:rPr>
              <w:t>.</w:t>
            </w:r>
            <w:r>
              <w:rPr>
                <w:rFonts w:hint="eastAsia" w:ascii="宋体" w:cs="宋体"/>
                <w:color w:val="222222"/>
                <w:spacing w:val="8"/>
                <w:kern w:val="0"/>
                <w:sz w:val="18"/>
                <w:szCs w:val="21"/>
              </w:rPr>
              <w:t>0189</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98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1595" w:type="dxa"/>
            <w:tcBorders>
              <w:tl2br w:val="nil"/>
              <w:tr2bl w:val="nil"/>
            </w:tcBorders>
            <w:vAlign w:val="center"/>
          </w:tcPr>
          <w:p>
            <w:pPr>
              <w:widowControl/>
              <w:jc w:val="left"/>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rPr>
              <w:t>柴油</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t</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0</w:t>
            </w:r>
            <w:r>
              <w:rPr>
                <w:rFonts w:hint="eastAsia" w:ascii="宋体" w:hAnsi="宋体" w:cs="宋体"/>
                <w:color w:val="222222"/>
                <w:spacing w:val="8"/>
                <w:kern w:val="0"/>
                <w:sz w:val="18"/>
                <w:szCs w:val="21"/>
              </w:rPr>
              <w:t>.</w:t>
            </w:r>
            <w:r>
              <w:rPr>
                <w:rFonts w:hint="eastAsia" w:ascii="宋体" w:cs="宋体"/>
                <w:color w:val="222222"/>
                <w:spacing w:val="8"/>
                <w:kern w:val="0"/>
                <w:sz w:val="18"/>
                <w:szCs w:val="21"/>
              </w:rPr>
              <w:t>86</w:t>
            </w:r>
          </w:p>
        </w:tc>
        <w:tc>
          <w:tcPr>
            <w:tcW w:w="1595" w:type="dxa"/>
            <w:tcBorders>
              <w:tl2br w:val="nil"/>
              <w:tr2bl w:val="nil"/>
            </w:tcBorders>
            <w:vAlign w:val="center"/>
          </w:tcPr>
          <w:p>
            <w:pPr>
              <w:widowControl/>
              <w:jc w:val="center"/>
              <w:rPr>
                <w:rFonts w:hint="default"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4</w:t>
            </w:r>
            <w:r>
              <w:rPr>
                <w:rFonts w:hint="eastAsia" w:ascii="宋体" w:cs="宋体"/>
                <w:color w:val="222222"/>
                <w:spacing w:val="8"/>
                <w:kern w:val="0"/>
                <w:sz w:val="18"/>
                <w:szCs w:val="21"/>
                <w:lang w:val="en-US" w:eastAsia="zh-CN"/>
              </w:rPr>
              <w:t>3.3</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0</w:t>
            </w:r>
            <w:r>
              <w:rPr>
                <w:rFonts w:hint="eastAsia" w:ascii="宋体" w:hAnsi="宋体" w:cs="宋体"/>
                <w:color w:val="222222"/>
                <w:spacing w:val="8"/>
                <w:kern w:val="0"/>
                <w:sz w:val="18"/>
                <w:szCs w:val="21"/>
              </w:rPr>
              <w:t>.</w:t>
            </w:r>
            <w:r>
              <w:rPr>
                <w:rFonts w:hint="eastAsia" w:ascii="宋体" w:cs="宋体"/>
                <w:color w:val="222222"/>
                <w:spacing w:val="8"/>
                <w:kern w:val="0"/>
                <w:sz w:val="18"/>
                <w:szCs w:val="21"/>
              </w:rPr>
              <w:t>0202</w:t>
            </w:r>
          </w:p>
        </w:tc>
        <w:tc>
          <w:tcPr>
            <w:tcW w:w="1595" w:type="dxa"/>
            <w:tcBorders>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98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95" w:type="dxa"/>
            <w:tcBorders>
              <w:bottom w:val="single" w:color="auto" w:sz="8" w:space="0"/>
              <w:tl2br w:val="nil"/>
              <w:tr2bl w:val="nil"/>
            </w:tcBorders>
            <w:vAlign w:val="center"/>
          </w:tcPr>
          <w:p>
            <w:pPr>
              <w:keepNext w:val="0"/>
              <w:keepLines w:val="0"/>
              <w:widowControl/>
              <w:suppressLineNumbers w:val="0"/>
              <w:jc w:val="left"/>
              <w:rPr>
                <w:rFonts w:hint="eastAsia"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lang w:val="en-US" w:eastAsia="zh-CN"/>
              </w:rPr>
              <w:t>燃料油</w:t>
            </w:r>
          </w:p>
        </w:tc>
        <w:tc>
          <w:tcPr>
            <w:tcW w:w="1595" w:type="dxa"/>
            <w:tcBorders>
              <w:bottom w:val="single" w:color="auto" w:sz="8" w:space="0"/>
              <w:tl2br w:val="nil"/>
              <w:tr2bl w:val="nil"/>
            </w:tcBorders>
            <w:vAlign w:val="center"/>
          </w:tcPr>
          <w:p>
            <w:pPr>
              <w:widowControl/>
              <w:jc w:val="center"/>
              <w:rPr>
                <w:rFonts w:hint="eastAsia" w:ascii="宋体" w:hAnsi="宋体" w:eastAsia="宋体" w:cs="宋体"/>
                <w:color w:val="222222"/>
                <w:spacing w:val="8"/>
                <w:kern w:val="0"/>
                <w:sz w:val="18"/>
                <w:szCs w:val="21"/>
                <w:lang w:val="en-US" w:eastAsia="zh-CN" w:bidi="ar-SA"/>
              </w:rPr>
            </w:pPr>
            <w:r>
              <w:rPr>
                <w:rFonts w:hint="eastAsia" w:ascii="宋体" w:cs="宋体"/>
                <w:color w:val="222222"/>
                <w:spacing w:val="8"/>
                <w:kern w:val="0"/>
                <w:sz w:val="18"/>
                <w:szCs w:val="21"/>
              </w:rPr>
              <w:t>t</w:t>
            </w:r>
          </w:p>
        </w:tc>
        <w:tc>
          <w:tcPr>
            <w:tcW w:w="1595" w:type="dxa"/>
            <w:tcBorders>
              <w:bottom w:val="single" w:color="auto" w:sz="8" w:space="0"/>
              <w:tl2br w:val="nil"/>
              <w:tr2bl w:val="nil"/>
            </w:tcBorders>
            <w:vAlign w:val="center"/>
          </w:tcPr>
          <w:p>
            <w:pPr>
              <w:widowControl/>
              <w:jc w:val="center"/>
              <w:rPr>
                <w:rFonts w:hint="default"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lang w:val="en-US" w:eastAsia="zh-CN" w:bidi="ar-SA"/>
              </w:rPr>
              <w:t>0.92</w:t>
            </w:r>
          </w:p>
        </w:tc>
        <w:tc>
          <w:tcPr>
            <w:tcW w:w="1595" w:type="dxa"/>
            <w:tcBorders>
              <w:bottom w:val="single" w:color="auto" w:sz="8" w:space="0"/>
              <w:tl2br w:val="nil"/>
              <w:tr2bl w:val="nil"/>
            </w:tcBorders>
            <w:vAlign w:val="center"/>
          </w:tcPr>
          <w:p>
            <w:pPr>
              <w:widowControl/>
              <w:jc w:val="center"/>
              <w:rPr>
                <w:rFonts w:hint="default"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lang w:val="en-US" w:eastAsia="zh-CN" w:bidi="ar-SA"/>
              </w:rPr>
              <w:t>40.2</w:t>
            </w:r>
          </w:p>
        </w:tc>
        <w:tc>
          <w:tcPr>
            <w:tcW w:w="1595" w:type="dxa"/>
            <w:tcBorders>
              <w:bottom w:val="single" w:color="auto" w:sz="8" w:space="0"/>
              <w:tl2br w:val="nil"/>
              <w:tr2bl w:val="nil"/>
            </w:tcBorders>
            <w:vAlign w:val="center"/>
          </w:tcPr>
          <w:p>
            <w:pPr>
              <w:widowControl/>
              <w:jc w:val="center"/>
              <w:rPr>
                <w:rFonts w:hint="default"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lang w:val="en-US" w:eastAsia="zh-CN" w:bidi="ar-SA"/>
              </w:rPr>
              <w:t>0.0211</w:t>
            </w:r>
          </w:p>
        </w:tc>
        <w:tc>
          <w:tcPr>
            <w:tcW w:w="1595" w:type="dxa"/>
            <w:tcBorders>
              <w:bottom w:val="single" w:color="auto" w:sz="8" w:space="0"/>
              <w:tl2br w:val="nil"/>
              <w:tr2bl w:val="nil"/>
            </w:tcBorders>
            <w:vAlign w:val="center"/>
          </w:tcPr>
          <w:p>
            <w:pPr>
              <w:widowControl/>
              <w:jc w:val="center"/>
              <w:rPr>
                <w:rFonts w:hint="default" w:ascii="宋体" w:hAnsi="宋体" w:eastAsia="宋体" w:cs="宋体"/>
                <w:color w:val="222222"/>
                <w:spacing w:val="8"/>
                <w:kern w:val="0"/>
                <w:sz w:val="18"/>
                <w:szCs w:val="21"/>
                <w:lang w:val="en-US" w:eastAsia="zh-CN" w:bidi="ar-SA"/>
              </w:rPr>
            </w:pPr>
            <w:r>
              <w:rPr>
                <w:rFonts w:hint="eastAsia" w:ascii="宋体" w:hAnsi="宋体" w:cs="宋体"/>
                <w:color w:val="222222"/>
                <w:spacing w:val="8"/>
                <w:kern w:val="0"/>
                <w:sz w:val="18"/>
                <w:szCs w:val="21"/>
                <w:lang w:val="en-US" w:eastAsia="zh-CN" w:bidi="ar-SA"/>
              </w:rPr>
              <w:t>98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70" w:type="dxa"/>
            <w:gridSpan w:val="6"/>
            <w:tcBorders>
              <w:top w:val="single" w:color="auto" w:sz="8" w:space="0"/>
              <w:tl2br w:val="nil"/>
              <w:tr2bl w:val="nil"/>
            </w:tcBorders>
          </w:tcPr>
          <w:p>
            <w:pPr>
              <w:pStyle w:val="53"/>
              <w:bidi w:val="0"/>
              <w:rPr>
                <w:rFonts w:hint="eastAsia"/>
              </w:rPr>
            </w:pPr>
            <w:r>
              <w:t>数据取值来源</w:t>
            </w:r>
            <w:r>
              <w:rPr>
                <w:rFonts w:hint="eastAsia"/>
                <w:lang w:val="en-US" w:eastAsia="zh-CN"/>
              </w:rPr>
              <w:t>于《公共建筑运营企业温室气体排放核算方法和报告指南（试行）》</w:t>
            </w:r>
            <w:r>
              <w:t>《中国能源统计年鉴（2020年）》《省级温室气体清单指南（试行）》。</w:t>
            </w:r>
          </w:p>
        </w:tc>
      </w:tr>
    </w:tbl>
    <w:p>
      <w:pPr>
        <w:rPr>
          <w:rFonts w:hint="eastAsia"/>
        </w:rPr>
      </w:pPr>
    </w:p>
    <w:p>
      <w:pPr>
        <w:pStyle w:val="20"/>
        <w:bidi w:val="0"/>
        <w:rPr>
          <w:rFonts w:hint="eastAsia"/>
        </w:rPr>
      </w:pPr>
    </w:p>
    <w:p>
      <w:pPr>
        <w:pStyle w:val="20"/>
        <w:rPr>
          <w:rFonts w:hint="eastAsia"/>
          <w:kern w:val="0"/>
        </w:rPr>
      </w:pPr>
    </w:p>
    <w:p/>
    <w:p>
      <w:pPr>
        <w:rPr>
          <w:szCs w:val="21"/>
        </w:rPr>
      </w:pPr>
    </w:p>
    <w:p>
      <w:pPr>
        <w:ind w:firstLine="420"/>
        <w:rPr>
          <w:rFonts w:ascii="宋体" w:hAnsi="宋体"/>
          <w:b/>
          <w:bCs/>
          <w:kern w:val="44"/>
          <w:szCs w:val="21"/>
        </w:rPr>
      </w:pPr>
      <w:r>
        <w:rPr>
          <w:szCs w:val="21"/>
        </w:rPr>
        <w:t>表B</w:t>
      </w:r>
      <w:r>
        <w:rPr>
          <w:rFonts w:ascii="宋体" w:hAnsi="宋体"/>
          <w:szCs w:val="21"/>
        </w:rPr>
        <w:t>.</w:t>
      </w:r>
      <w:r>
        <w:rPr>
          <w:rFonts w:hint="eastAsia"/>
          <w:szCs w:val="21"/>
        </w:rPr>
        <w:t>5</w:t>
      </w:r>
      <w:r>
        <w:rPr>
          <w:rFonts w:ascii="宋体" w:hAnsi="宋体"/>
          <w:szCs w:val="21"/>
        </w:rPr>
        <w:t>中</w:t>
      </w:r>
      <w:r>
        <w:rPr>
          <w:rFonts w:hint="eastAsia" w:ascii="宋体" w:hAnsi="宋体"/>
          <w:szCs w:val="21"/>
        </w:rPr>
        <w:t>给出</w:t>
      </w:r>
      <w:r>
        <w:rPr>
          <w:rFonts w:ascii="宋体" w:hAnsi="宋体"/>
          <w:szCs w:val="21"/>
        </w:rPr>
        <w:t>了</w:t>
      </w:r>
      <w:r>
        <w:rPr>
          <w:rFonts w:hint="eastAsia" w:ascii="宋体" w:hAnsi="宋体"/>
          <w:szCs w:val="21"/>
        </w:rPr>
        <w:t>机关事业单位外购电和外购热相关参数缺省值。</w:t>
      </w:r>
    </w:p>
    <w:p>
      <w:pPr>
        <w:pStyle w:val="83"/>
        <w:spacing w:before="156" w:after="156"/>
        <w:rPr>
          <w:kern w:val="0"/>
        </w:rPr>
      </w:pPr>
      <w:r>
        <w:rPr>
          <w:rFonts w:hint="eastAsia" w:ascii="宋体" w:hAnsi="宋体"/>
        </w:rPr>
        <w:t>机关事业单位外购电和外购热相关参数</w:t>
      </w:r>
      <w:r>
        <w:rPr>
          <w:rFonts w:hint="eastAsia"/>
          <w:kern w:val="0"/>
        </w:rPr>
        <w:t>缺省值</w:t>
      </w:r>
    </w:p>
    <w:tbl>
      <w:tblPr>
        <w:tblStyle w:val="2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3190"/>
        <w:gridCol w:w="31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190" w:type="dxa"/>
            <w:tcBorders>
              <w:bottom w:val="single" w:color="auto" w:sz="8" w:space="0"/>
              <w:tl2br w:val="nil"/>
              <w:tr2bl w:val="nil"/>
            </w:tcBorders>
          </w:tcPr>
          <w:p>
            <w:pPr>
              <w:jc w:val="center"/>
              <w:rPr>
                <w:rFonts w:ascii="宋体"/>
                <w:sz w:val="18"/>
                <w:szCs w:val="18"/>
              </w:rPr>
            </w:pPr>
            <w:r>
              <w:rPr>
                <w:rFonts w:hint="eastAsia" w:ascii="宋体"/>
                <w:sz w:val="18"/>
                <w:szCs w:val="18"/>
              </w:rPr>
              <w:t>名称</w:t>
            </w:r>
          </w:p>
        </w:tc>
        <w:tc>
          <w:tcPr>
            <w:tcW w:w="3190" w:type="dxa"/>
            <w:tcBorders>
              <w:bottom w:val="single" w:color="auto" w:sz="8" w:space="0"/>
              <w:tl2br w:val="nil"/>
              <w:tr2bl w:val="nil"/>
            </w:tcBorders>
          </w:tcPr>
          <w:p>
            <w:pPr>
              <w:jc w:val="center"/>
              <w:rPr>
                <w:rFonts w:ascii="宋体"/>
                <w:sz w:val="18"/>
                <w:szCs w:val="18"/>
              </w:rPr>
            </w:pPr>
            <w:r>
              <w:rPr>
                <w:rFonts w:hint="eastAsia" w:ascii="宋体"/>
                <w:sz w:val="18"/>
                <w:szCs w:val="18"/>
              </w:rPr>
              <w:t>单位</w:t>
            </w:r>
          </w:p>
        </w:tc>
        <w:tc>
          <w:tcPr>
            <w:tcW w:w="3190" w:type="dxa"/>
            <w:tcBorders>
              <w:bottom w:val="single" w:color="auto" w:sz="8" w:space="0"/>
              <w:tl2br w:val="nil"/>
              <w:tr2bl w:val="nil"/>
            </w:tcBorders>
          </w:tcPr>
          <w:p>
            <w:pPr>
              <w:jc w:val="center"/>
              <w:rPr>
                <w:rFonts w:ascii="宋体"/>
                <w:sz w:val="18"/>
                <w:szCs w:val="18"/>
              </w:rPr>
            </w:pPr>
            <w:r>
              <w:rPr>
                <w:rFonts w:hint="eastAsia" w:ascii="宋体"/>
                <w:sz w:val="18"/>
                <w:szCs w:val="18"/>
              </w:rPr>
              <w:t>缺省值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190" w:type="dxa"/>
            <w:tcBorders>
              <w:top w:val="single" w:color="auto" w:sz="8" w:space="0"/>
              <w:tl2br w:val="nil"/>
              <w:tr2bl w:val="nil"/>
            </w:tcBorders>
          </w:tcPr>
          <w:p>
            <w:pPr>
              <w:jc w:val="left"/>
              <w:rPr>
                <w:rFonts w:ascii="宋体"/>
                <w:sz w:val="18"/>
                <w:szCs w:val="18"/>
              </w:rPr>
            </w:pPr>
            <w:r>
              <w:rPr>
                <w:rFonts w:hint="eastAsia" w:ascii="宋体"/>
                <w:sz w:val="18"/>
                <w:szCs w:val="18"/>
                <w:lang w:val="en-US" w:eastAsia="zh-CN"/>
              </w:rPr>
              <w:t>电力</w:t>
            </w:r>
            <w:r>
              <w:rPr>
                <w:rFonts w:hint="eastAsia" w:ascii="宋体"/>
                <w:sz w:val="18"/>
                <w:szCs w:val="18"/>
              </w:rPr>
              <w:t>排放因子</w:t>
            </w:r>
          </w:p>
        </w:tc>
        <w:tc>
          <w:tcPr>
            <w:tcW w:w="3190" w:type="dxa"/>
            <w:tcBorders>
              <w:top w:val="single" w:color="auto" w:sz="8" w:space="0"/>
              <w:tl2br w:val="nil"/>
              <w:tr2bl w:val="nil"/>
            </w:tcBorders>
          </w:tcPr>
          <w:p>
            <w:pPr>
              <w:jc w:val="center"/>
              <w:rPr>
                <w:rFonts w:ascii="宋体"/>
                <w:sz w:val="18"/>
                <w:szCs w:val="18"/>
              </w:rPr>
            </w:pPr>
            <w:r>
              <w:rPr>
                <w:rFonts w:ascii="宋体"/>
                <w:sz w:val="18"/>
                <w:szCs w:val="18"/>
              </w:rPr>
              <w:t>tCO</w:t>
            </w:r>
            <w:r>
              <w:rPr>
                <w:rFonts w:ascii="宋体"/>
                <w:sz w:val="18"/>
                <w:szCs w:val="18"/>
                <w:vertAlign w:val="subscript"/>
              </w:rPr>
              <w:t>2</w:t>
            </w:r>
            <w:r>
              <w:rPr>
                <w:rFonts w:ascii="宋体"/>
                <w:sz w:val="18"/>
                <w:szCs w:val="18"/>
              </w:rPr>
              <w:t>/MWh</w:t>
            </w:r>
          </w:p>
        </w:tc>
        <w:tc>
          <w:tcPr>
            <w:tcW w:w="3190" w:type="dxa"/>
            <w:tcBorders>
              <w:top w:val="single" w:color="auto" w:sz="8" w:space="0"/>
              <w:tl2br w:val="nil"/>
              <w:tr2bl w:val="nil"/>
            </w:tcBorders>
          </w:tcPr>
          <w:p>
            <w:pPr>
              <w:jc w:val="center"/>
              <w:rPr>
                <w:rFonts w:ascii="宋体"/>
                <w:sz w:val="18"/>
                <w:szCs w:val="18"/>
              </w:rPr>
            </w:pPr>
            <w:r>
              <w:rPr>
                <w:rFonts w:ascii="宋体"/>
                <w:sz w:val="18"/>
                <w:szCs w:val="18"/>
              </w:rPr>
              <w:t>采用国家最新发布值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190" w:type="dxa"/>
            <w:tcBorders>
              <w:bottom w:val="single" w:color="auto" w:sz="8" w:space="0"/>
              <w:tl2br w:val="nil"/>
              <w:tr2bl w:val="nil"/>
            </w:tcBorders>
          </w:tcPr>
          <w:p>
            <w:pPr>
              <w:jc w:val="left"/>
              <w:rPr>
                <w:rFonts w:ascii="宋体"/>
                <w:sz w:val="18"/>
                <w:szCs w:val="18"/>
              </w:rPr>
            </w:pPr>
            <w:r>
              <w:rPr>
                <w:rFonts w:hint="eastAsia" w:ascii="宋体"/>
                <w:sz w:val="18"/>
                <w:szCs w:val="18"/>
              </w:rPr>
              <w:t>热力排放因子</w:t>
            </w:r>
          </w:p>
        </w:tc>
        <w:tc>
          <w:tcPr>
            <w:tcW w:w="3190" w:type="dxa"/>
            <w:tcBorders>
              <w:bottom w:val="single" w:color="auto" w:sz="8" w:space="0"/>
              <w:tl2br w:val="nil"/>
              <w:tr2bl w:val="nil"/>
            </w:tcBorders>
          </w:tcPr>
          <w:p>
            <w:pPr>
              <w:jc w:val="center"/>
              <w:rPr>
                <w:rFonts w:ascii="宋体"/>
                <w:sz w:val="18"/>
                <w:szCs w:val="18"/>
              </w:rPr>
            </w:pPr>
            <w:r>
              <w:rPr>
                <w:rFonts w:ascii="宋体"/>
                <w:sz w:val="18"/>
                <w:szCs w:val="18"/>
              </w:rPr>
              <w:t>tCO</w:t>
            </w:r>
            <w:r>
              <w:rPr>
                <w:rFonts w:ascii="宋体"/>
                <w:sz w:val="18"/>
                <w:szCs w:val="18"/>
                <w:vertAlign w:val="subscript"/>
              </w:rPr>
              <w:t>2</w:t>
            </w:r>
            <w:r>
              <w:rPr>
                <w:rFonts w:ascii="宋体"/>
                <w:sz w:val="18"/>
                <w:szCs w:val="18"/>
              </w:rPr>
              <w:t>/GJ</w:t>
            </w:r>
          </w:p>
        </w:tc>
        <w:tc>
          <w:tcPr>
            <w:tcW w:w="3190" w:type="dxa"/>
            <w:tcBorders>
              <w:bottom w:val="single" w:color="auto" w:sz="8" w:space="0"/>
              <w:tl2br w:val="nil"/>
              <w:tr2bl w:val="nil"/>
            </w:tcBorders>
          </w:tcPr>
          <w:p>
            <w:pPr>
              <w:jc w:val="center"/>
              <w:rPr>
                <w:rFonts w:ascii="宋体"/>
                <w:sz w:val="18"/>
                <w:szCs w:val="18"/>
              </w:rPr>
            </w:pPr>
            <w:r>
              <w:rPr>
                <w:rFonts w:hint="eastAsia" w:ascii="宋体"/>
                <w:sz w:val="18"/>
                <w:szCs w:val="18"/>
              </w:rPr>
              <w:t>0.11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70" w:type="dxa"/>
            <w:gridSpan w:val="3"/>
            <w:tcBorders>
              <w:top w:val="single" w:color="auto" w:sz="8" w:space="0"/>
              <w:tl2br w:val="nil"/>
              <w:tr2bl w:val="nil"/>
            </w:tcBorders>
          </w:tcPr>
          <w:p>
            <w:pPr>
              <w:pStyle w:val="61"/>
              <w:numPr>
                <w:ilvl w:val="0"/>
                <w:numId w:val="33"/>
              </w:numPr>
            </w:pPr>
            <w:r>
              <w:rPr>
                <w:rFonts w:hint="eastAsia"/>
                <w:lang w:val="en-US" w:eastAsia="zh-CN"/>
              </w:rPr>
              <w:t>电力排放因子根据所属区域选取国家发布的最新区域电力排放因子，</w:t>
            </w:r>
            <w:r>
              <w:rPr>
                <w:rFonts w:hint="eastAsia"/>
              </w:rPr>
              <w:t>包头所在地属于华北区域，目前最新华北区域电力排放因</w:t>
            </w:r>
            <w:r>
              <w:rPr>
                <w:rFonts w:hint="eastAsia"/>
                <w:lang w:val="en-US" w:eastAsia="zh-CN"/>
              </w:rPr>
              <w:t>子为2012年度的</w:t>
            </w:r>
            <w:r>
              <w:rPr>
                <w:rFonts w:hint="eastAsia"/>
              </w:rPr>
              <w:t>0.8843</w:t>
            </w:r>
            <w:r>
              <w:t>tCO</w:t>
            </w:r>
            <w:r>
              <w:rPr>
                <w:vertAlign w:val="subscript"/>
              </w:rPr>
              <w:t>2</w:t>
            </w:r>
            <w:r>
              <w:t>/MWh</w:t>
            </w:r>
            <w:r>
              <w:rPr>
                <w:rFonts w:hint="eastAsia"/>
                <w:lang w:eastAsia="zh-CN"/>
              </w:rPr>
              <w:t>；热力排放因子数据取值来源为 GB/T 32150-2015 工业企业温室气体排放核算和报告通则。</w:t>
            </w:r>
          </w:p>
        </w:tc>
      </w:tr>
    </w:tbl>
    <w:p>
      <w:pPr>
        <w:pStyle w:val="94"/>
      </w:pPr>
    </w:p>
    <w:p>
      <w:pPr>
        <w:pStyle w:val="82"/>
      </w:pPr>
    </w:p>
    <w:p>
      <w:pPr>
        <w:pStyle w:val="80"/>
      </w:pPr>
      <w:bookmarkStart w:id="138" w:name="_Toc13847"/>
      <w:bookmarkStart w:id="139" w:name="_Toc23029"/>
      <w:bookmarkStart w:id="140" w:name="_Toc26704"/>
      <w:bookmarkStart w:id="141" w:name="_Toc6454"/>
      <w:bookmarkStart w:id="142" w:name="_Toc29607"/>
      <w:bookmarkStart w:id="143" w:name="_Toc7115"/>
      <w:bookmarkStart w:id="144" w:name="_Toc12763"/>
      <w:r>
        <w:br w:type="textWrapping"/>
      </w:r>
      <w:bookmarkStart w:id="145" w:name="_Toc141734810"/>
      <w:r>
        <w:rPr>
          <w:rFonts w:hint="eastAsia"/>
        </w:rPr>
        <w:t>（资料性）</w:t>
      </w:r>
      <w:r>
        <w:br w:type="textWrapping"/>
      </w:r>
      <w:r>
        <w:rPr>
          <w:rFonts w:hint="eastAsia"/>
        </w:rPr>
        <w:t>基于林草碳汇的机关事业单位日常运营碳排放核算及碳中和示例</w:t>
      </w:r>
      <w:bookmarkEnd w:id="138"/>
      <w:bookmarkEnd w:id="139"/>
      <w:bookmarkEnd w:id="140"/>
      <w:bookmarkEnd w:id="141"/>
      <w:bookmarkEnd w:id="142"/>
      <w:bookmarkEnd w:id="143"/>
      <w:bookmarkEnd w:id="144"/>
      <w:bookmarkEnd w:id="145"/>
    </w:p>
    <w:p>
      <w:pPr>
        <w:pStyle w:val="20"/>
      </w:pPr>
      <w:r>
        <w:rPr>
          <w:rFonts w:hint="eastAsia"/>
        </w:rPr>
        <w:t>本附录以某机关</w:t>
      </w:r>
      <w:r>
        <w:rPr>
          <w:rFonts w:hint="eastAsia"/>
          <w:lang w:val="en-US" w:eastAsia="zh-CN"/>
        </w:rPr>
        <w:t>事业</w:t>
      </w:r>
      <w:r>
        <w:rPr>
          <w:rFonts w:hint="eastAsia"/>
        </w:rPr>
        <w:t>单位</w:t>
      </w:r>
      <w:r>
        <w:t>为例给出某机关事业单位</w:t>
      </w:r>
      <w:r>
        <w:rPr>
          <w:rFonts w:hint="eastAsia"/>
        </w:rPr>
        <w:t>2022年度</w:t>
      </w:r>
      <w:r>
        <w:t>日常运营碳排放的核算及碳中和的简要示例。请注意本附录并未包括完整碳核算和碳中和的所有信息和数据，仅供相关方在碳排放计算和进行碳中和时参考。</w:t>
      </w:r>
    </w:p>
    <w:p>
      <w:pPr>
        <w:pStyle w:val="98"/>
        <w:spacing w:before="312" w:after="312"/>
      </w:pPr>
      <w:r>
        <w:rPr>
          <w:rFonts w:hint="eastAsia"/>
        </w:rPr>
        <w:t>某机关事业单位日常运营碳核算示例</w:t>
      </w:r>
    </w:p>
    <w:p>
      <w:pPr>
        <w:pStyle w:val="20"/>
      </w:pPr>
      <w:r>
        <w:rPr>
          <w:rFonts w:hint="eastAsia"/>
        </w:rPr>
        <w:t>例如包头市某机关事业单位2022年度自有食堂用天然气（非外包）2460</w:t>
      </w:r>
      <w:r>
        <w:rPr>
          <w:rFonts w:hint="eastAsia"/>
          <w:lang w:val="en-US" w:eastAsia="zh-CN"/>
        </w:rPr>
        <w:t>0</w:t>
      </w:r>
      <w:r>
        <w:rPr>
          <w:rFonts w:hint="eastAsia"/>
        </w:rPr>
        <w:t>立方米（m</w:t>
      </w:r>
      <w:r>
        <w:rPr>
          <w:rFonts w:hint="eastAsia"/>
          <w:vertAlign w:val="superscript"/>
        </w:rPr>
        <w:t>3</w:t>
      </w:r>
      <w:r>
        <w:rPr>
          <w:rFonts w:hint="eastAsia"/>
        </w:rPr>
        <w:t>），公务车用汽油3200升(L)，从供电局购电194600度（kWh），供暖面积9350平米（m</w:t>
      </w:r>
      <w:r>
        <w:rPr>
          <w:rFonts w:hint="eastAsia"/>
          <w:vertAlign w:val="superscript"/>
        </w:rPr>
        <w:t>2</w:t>
      </w:r>
      <w:r>
        <w:rPr>
          <w:rFonts w:hint="eastAsia"/>
        </w:rPr>
        <w:t>），该机关事业单位2022年度日常运营产生的碳排放量计算见C</w:t>
      </w:r>
      <w:r>
        <w:rPr>
          <w:rFonts w:hint="eastAsia"/>
          <w:lang w:val="en-US" w:eastAsia="zh-CN"/>
        </w:rPr>
        <w:t>.</w:t>
      </w:r>
      <w:r>
        <w:rPr>
          <w:rFonts w:hint="eastAsia"/>
        </w:rPr>
        <w:t>1.1、C</w:t>
      </w:r>
      <w:r>
        <w:rPr>
          <w:rFonts w:hint="eastAsia"/>
          <w:lang w:val="en-US" w:eastAsia="zh-CN"/>
        </w:rPr>
        <w:t>.</w:t>
      </w:r>
      <w:r>
        <w:rPr>
          <w:rFonts w:hint="eastAsia"/>
        </w:rPr>
        <w:t>1.2、C</w:t>
      </w:r>
      <w:r>
        <w:rPr>
          <w:rFonts w:hint="eastAsia"/>
          <w:lang w:val="en-US" w:eastAsia="zh-CN"/>
        </w:rPr>
        <w:t>.</w:t>
      </w:r>
      <w:r>
        <w:rPr>
          <w:rFonts w:hint="eastAsia"/>
        </w:rPr>
        <w:t>1.3、C</w:t>
      </w:r>
      <w:r>
        <w:rPr>
          <w:rFonts w:hint="eastAsia"/>
          <w:lang w:val="en-US" w:eastAsia="zh-CN"/>
        </w:rPr>
        <w:t>.</w:t>
      </w:r>
      <w:r>
        <w:rPr>
          <w:rFonts w:hint="eastAsia"/>
        </w:rPr>
        <w:t>1.4。</w:t>
      </w:r>
    </w:p>
    <w:p>
      <w:pPr>
        <w:pStyle w:val="99"/>
        <w:spacing w:before="156" w:after="156"/>
      </w:pPr>
      <w:r>
        <w:rPr>
          <w:rFonts w:hint="eastAsia"/>
        </w:rPr>
        <w:t>化石燃料燃烧产生的碳排放量计算</w:t>
      </w:r>
    </w:p>
    <w:p>
      <w:pPr>
        <w:pStyle w:val="20"/>
      </w:pPr>
      <w:r>
        <w:rPr>
          <w:rFonts w:hint="eastAsia"/>
        </w:rPr>
        <w:t>包头市某机关事业单位化石燃料燃烧产生的碳排放量计算示例如表C.1所示:</w:t>
      </w:r>
    </w:p>
    <w:p>
      <w:pPr>
        <w:pStyle w:val="83"/>
        <w:spacing w:before="156" w:after="156"/>
      </w:pPr>
      <w:r>
        <w:rPr>
          <w:rFonts w:hint="eastAsia" w:ascii="宋体" w:hAnsi="宋体"/>
        </w:rPr>
        <w:t>某机关事业单位化石燃料</w:t>
      </w:r>
      <w:r>
        <w:rPr>
          <w:rFonts w:hint="eastAsia" w:ascii="宋体" w:hAnsi="宋体"/>
          <w:lang w:val="en-US" w:eastAsia="zh-CN"/>
        </w:rPr>
        <w:t>燃烧</w:t>
      </w:r>
      <w:r>
        <w:rPr>
          <w:rFonts w:hint="eastAsia" w:ascii="宋体" w:hAnsi="宋体"/>
        </w:rPr>
        <w:t>碳排放计算示例</w:t>
      </w:r>
    </w:p>
    <w:tbl>
      <w:tblPr>
        <w:tblStyle w:val="2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156"/>
        <w:gridCol w:w="1789"/>
        <w:gridCol w:w="1586"/>
        <w:gridCol w:w="1230"/>
        <w:gridCol w:w="1367"/>
        <w:gridCol w:w="136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74" w:type="dxa"/>
            <w:tcBorders>
              <w:bottom w:val="single" w:color="auto" w:sz="8" w:space="0"/>
              <w:tl2br w:val="nil"/>
              <w:tr2bl w:val="nil"/>
            </w:tcBorders>
            <w:vAlign w:val="center"/>
          </w:tcPr>
          <w:p>
            <w:pPr>
              <w:jc w:val="center"/>
              <w:rPr>
                <w:rFonts w:ascii="宋体"/>
                <w:sz w:val="18"/>
                <w:szCs w:val="18"/>
              </w:rPr>
            </w:pPr>
            <w:r>
              <w:rPr>
                <w:rFonts w:hint="eastAsia" w:ascii="宋体"/>
                <w:sz w:val="18"/>
                <w:szCs w:val="18"/>
              </w:rPr>
              <w:t>类型</w:t>
            </w:r>
          </w:p>
        </w:tc>
        <w:tc>
          <w:tcPr>
            <w:tcW w:w="1156" w:type="dxa"/>
            <w:tcBorders>
              <w:bottom w:val="single" w:color="auto" w:sz="8" w:space="0"/>
              <w:tl2br w:val="nil"/>
              <w:tr2bl w:val="nil"/>
            </w:tcBorders>
            <w:vAlign w:val="center"/>
          </w:tcPr>
          <w:p>
            <w:pPr>
              <w:jc w:val="center"/>
              <w:rPr>
                <w:rFonts w:hint="eastAsia" w:ascii="宋体"/>
                <w:sz w:val="18"/>
                <w:szCs w:val="18"/>
              </w:rPr>
            </w:pPr>
            <w:r>
              <w:rPr>
                <w:rFonts w:hint="eastAsia" w:ascii="宋体"/>
                <w:sz w:val="18"/>
                <w:szCs w:val="18"/>
              </w:rPr>
              <w:t>消耗量</w:t>
            </w:r>
          </w:p>
          <w:p>
            <w:pPr>
              <w:jc w:val="center"/>
              <w:rPr>
                <w:rFonts w:hint="eastAsia" w:ascii="宋体" w:eastAsia="宋体"/>
                <w:sz w:val="18"/>
                <w:szCs w:val="18"/>
                <w:lang w:eastAsia="zh-CN"/>
              </w:rPr>
            </w:pPr>
            <w:r>
              <w:rPr>
                <w:rFonts w:hint="eastAsia" w:ascii="宋体"/>
                <w:sz w:val="18"/>
                <w:szCs w:val="18"/>
                <w:lang w:eastAsia="zh-CN"/>
              </w:rPr>
              <w:t>（</w:t>
            </w:r>
            <w:r>
              <w:rPr>
                <w:rFonts w:hint="eastAsia" w:ascii="宋体"/>
                <w:sz w:val="18"/>
                <w:szCs w:val="18"/>
              </w:rPr>
              <w:t>万Nm</w:t>
            </w:r>
            <w:r>
              <w:rPr>
                <w:rFonts w:hint="eastAsia" w:ascii="宋体"/>
                <w:sz w:val="18"/>
                <w:szCs w:val="18"/>
                <w:vertAlign w:val="superscript"/>
              </w:rPr>
              <w:t>3</w:t>
            </w:r>
            <w:r>
              <w:rPr>
                <w:rFonts w:hint="eastAsia" w:ascii="宋体"/>
                <w:sz w:val="18"/>
                <w:szCs w:val="18"/>
                <w:lang w:eastAsia="zh-CN"/>
              </w:rPr>
              <w:t>，</w:t>
            </w:r>
            <w:r>
              <w:rPr>
                <w:rFonts w:hint="eastAsia" w:ascii="宋体"/>
                <w:sz w:val="18"/>
                <w:szCs w:val="18"/>
              </w:rPr>
              <w:t>t</w:t>
            </w:r>
            <w:r>
              <w:rPr>
                <w:rFonts w:hint="eastAsia" w:ascii="宋体"/>
                <w:sz w:val="18"/>
                <w:szCs w:val="18"/>
                <w:lang w:eastAsia="zh-CN"/>
              </w:rPr>
              <w:t>）</w:t>
            </w:r>
          </w:p>
        </w:tc>
        <w:tc>
          <w:tcPr>
            <w:tcW w:w="1789" w:type="dxa"/>
            <w:tcBorders>
              <w:bottom w:val="single" w:color="auto" w:sz="8" w:space="0"/>
              <w:tl2br w:val="nil"/>
              <w:tr2bl w:val="nil"/>
            </w:tcBorders>
            <w:vAlign w:val="center"/>
          </w:tcPr>
          <w:p>
            <w:pPr>
              <w:jc w:val="center"/>
              <w:rPr>
                <w:rFonts w:hint="eastAsia" w:ascii="宋体"/>
                <w:sz w:val="18"/>
                <w:szCs w:val="18"/>
              </w:rPr>
            </w:pPr>
            <w:r>
              <w:rPr>
                <w:rFonts w:hint="eastAsia" w:ascii="宋体"/>
                <w:sz w:val="18"/>
                <w:szCs w:val="18"/>
              </w:rPr>
              <w:t>低位发热值</w:t>
            </w:r>
          </w:p>
          <w:p>
            <w:pPr>
              <w:jc w:val="center"/>
              <w:rPr>
                <w:rFonts w:hint="eastAsia" w:ascii="宋体" w:eastAsia="宋体"/>
                <w:sz w:val="18"/>
                <w:szCs w:val="18"/>
                <w:lang w:eastAsia="zh-CN"/>
              </w:rPr>
            </w:pPr>
            <w:r>
              <w:rPr>
                <w:rFonts w:hint="eastAsia" w:ascii="宋体"/>
                <w:sz w:val="18"/>
                <w:szCs w:val="18"/>
                <w:lang w:eastAsia="zh-CN"/>
              </w:rPr>
              <w:t>（</w:t>
            </w:r>
            <w:r>
              <w:rPr>
                <w:rFonts w:hint="eastAsia" w:ascii="宋体"/>
                <w:sz w:val="18"/>
                <w:szCs w:val="18"/>
              </w:rPr>
              <w:t>GJ/万</w:t>
            </w:r>
            <w:r>
              <w:rPr>
                <w:rFonts w:ascii="宋体"/>
                <w:sz w:val="18"/>
                <w:szCs w:val="18"/>
              </w:rPr>
              <w:t>N</w:t>
            </w:r>
            <w:r>
              <w:rPr>
                <w:rFonts w:hint="eastAsia" w:ascii="宋体"/>
                <w:sz w:val="18"/>
                <w:szCs w:val="18"/>
              </w:rPr>
              <w:t>m</w:t>
            </w:r>
            <w:r>
              <w:rPr>
                <w:rFonts w:hint="eastAsia" w:ascii="宋体"/>
                <w:sz w:val="18"/>
                <w:szCs w:val="18"/>
                <w:vertAlign w:val="superscript"/>
              </w:rPr>
              <w:t>3</w:t>
            </w:r>
            <w:r>
              <w:rPr>
                <w:rFonts w:hint="eastAsia" w:ascii="宋体"/>
                <w:sz w:val="18"/>
                <w:szCs w:val="18"/>
                <w:lang w:eastAsia="zh-CN"/>
              </w:rPr>
              <w:t>，</w:t>
            </w:r>
            <w:r>
              <w:rPr>
                <w:rFonts w:hint="eastAsia" w:ascii="宋体"/>
                <w:sz w:val="18"/>
                <w:szCs w:val="18"/>
              </w:rPr>
              <w:t>GJ/t</w:t>
            </w:r>
            <w:r>
              <w:rPr>
                <w:rFonts w:hint="eastAsia" w:ascii="宋体"/>
                <w:sz w:val="18"/>
                <w:szCs w:val="18"/>
                <w:lang w:eastAsia="zh-CN"/>
              </w:rPr>
              <w:t>）</w:t>
            </w:r>
          </w:p>
        </w:tc>
        <w:tc>
          <w:tcPr>
            <w:tcW w:w="1586" w:type="dxa"/>
            <w:tcBorders>
              <w:bottom w:val="single" w:color="auto" w:sz="8" w:space="0"/>
              <w:tl2br w:val="nil"/>
              <w:tr2bl w:val="nil"/>
            </w:tcBorders>
            <w:vAlign w:val="center"/>
          </w:tcPr>
          <w:p>
            <w:pPr>
              <w:jc w:val="center"/>
              <w:rPr>
                <w:rFonts w:ascii="宋体"/>
                <w:sz w:val="18"/>
                <w:szCs w:val="18"/>
              </w:rPr>
            </w:pPr>
            <w:r>
              <w:rPr>
                <w:rFonts w:hint="eastAsia" w:ascii="宋体"/>
                <w:sz w:val="18"/>
                <w:szCs w:val="18"/>
              </w:rPr>
              <w:t>单位热值</w:t>
            </w:r>
          </w:p>
          <w:p>
            <w:pPr>
              <w:jc w:val="center"/>
              <w:rPr>
                <w:rFonts w:hint="eastAsia" w:ascii="宋体"/>
                <w:sz w:val="18"/>
                <w:szCs w:val="18"/>
              </w:rPr>
            </w:pPr>
            <w:r>
              <w:rPr>
                <w:rFonts w:hint="eastAsia" w:ascii="宋体"/>
                <w:sz w:val="18"/>
                <w:szCs w:val="18"/>
              </w:rPr>
              <w:t>含碳量</w:t>
            </w:r>
          </w:p>
          <w:p>
            <w:pPr>
              <w:jc w:val="center"/>
              <w:rPr>
                <w:rFonts w:hint="eastAsia" w:ascii="宋体"/>
                <w:sz w:val="18"/>
                <w:szCs w:val="18"/>
              </w:rPr>
            </w:pPr>
            <w:r>
              <w:rPr>
                <w:rFonts w:hint="eastAsia" w:ascii="宋体"/>
                <w:sz w:val="18"/>
                <w:szCs w:val="18"/>
                <w:lang w:eastAsia="zh-CN"/>
              </w:rPr>
              <w:t>（</w:t>
            </w:r>
            <w:r>
              <w:rPr>
                <w:rFonts w:ascii="宋体"/>
                <w:sz w:val="18"/>
                <w:szCs w:val="18"/>
              </w:rPr>
              <w:t>tC/GJ</w:t>
            </w:r>
            <w:r>
              <w:rPr>
                <w:rFonts w:hint="eastAsia" w:ascii="宋体"/>
                <w:sz w:val="18"/>
                <w:szCs w:val="18"/>
                <w:lang w:eastAsia="zh-CN"/>
              </w:rPr>
              <w:t>，</w:t>
            </w:r>
            <w:r>
              <w:rPr>
                <w:rFonts w:hint="eastAsia" w:ascii="宋体"/>
                <w:sz w:val="18"/>
                <w:szCs w:val="18"/>
              </w:rPr>
              <w:t>tC/GJ</w:t>
            </w:r>
            <w:r>
              <w:rPr>
                <w:rFonts w:hint="eastAsia" w:ascii="宋体"/>
                <w:sz w:val="18"/>
                <w:szCs w:val="18"/>
                <w:lang w:eastAsia="zh-CN"/>
              </w:rPr>
              <w:t>）</w:t>
            </w:r>
          </w:p>
        </w:tc>
        <w:tc>
          <w:tcPr>
            <w:tcW w:w="1230" w:type="dxa"/>
            <w:tcBorders>
              <w:bottom w:val="single" w:color="auto" w:sz="8" w:space="0"/>
              <w:tl2br w:val="nil"/>
              <w:tr2bl w:val="nil"/>
            </w:tcBorders>
            <w:vAlign w:val="center"/>
          </w:tcPr>
          <w:p>
            <w:pPr>
              <w:jc w:val="center"/>
              <w:rPr>
                <w:rFonts w:hint="eastAsia" w:ascii="宋体"/>
                <w:sz w:val="18"/>
                <w:szCs w:val="18"/>
              </w:rPr>
            </w:pPr>
            <w:r>
              <w:rPr>
                <w:rFonts w:hint="eastAsia" w:ascii="宋体"/>
                <w:sz w:val="18"/>
                <w:szCs w:val="18"/>
              </w:rPr>
              <w:t>碳氧化率</w:t>
            </w:r>
          </w:p>
          <w:p>
            <w:pPr>
              <w:jc w:val="center"/>
              <w:rPr>
                <w:rFonts w:hint="eastAsia" w:ascii="宋体" w:eastAsia="宋体"/>
                <w:sz w:val="18"/>
                <w:szCs w:val="18"/>
                <w:lang w:eastAsia="zh-CN"/>
              </w:rPr>
            </w:pPr>
            <w:r>
              <w:rPr>
                <w:rFonts w:hint="eastAsia" w:ascii="宋体"/>
                <w:sz w:val="18"/>
                <w:szCs w:val="18"/>
                <w:lang w:eastAsia="zh-CN"/>
              </w:rPr>
              <w:t>（</w:t>
            </w:r>
            <w:r>
              <w:rPr>
                <w:rFonts w:hint="eastAsia" w:ascii="宋体"/>
                <w:sz w:val="18"/>
                <w:szCs w:val="18"/>
                <w:lang w:val="en-US" w:eastAsia="zh-CN"/>
              </w:rPr>
              <w:t>%</w:t>
            </w:r>
            <w:r>
              <w:rPr>
                <w:rFonts w:hint="eastAsia" w:ascii="宋体"/>
                <w:sz w:val="18"/>
                <w:szCs w:val="18"/>
                <w:lang w:eastAsia="zh-CN"/>
              </w:rPr>
              <w:t>）</w:t>
            </w:r>
          </w:p>
        </w:tc>
        <w:tc>
          <w:tcPr>
            <w:tcW w:w="1367" w:type="dxa"/>
            <w:tcBorders>
              <w:bottom w:val="single" w:color="auto" w:sz="8" w:space="0"/>
              <w:tl2br w:val="nil"/>
              <w:tr2bl w:val="nil"/>
            </w:tcBorders>
            <w:vAlign w:val="center"/>
          </w:tcPr>
          <w:p>
            <w:pPr>
              <w:jc w:val="center"/>
              <w:rPr>
                <w:rFonts w:ascii="宋体" w:hAnsi="宋体"/>
                <w:sz w:val="18"/>
                <w:szCs w:val="18"/>
              </w:rPr>
            </w:pPr>
            <w:r>
              <w:rPr>
                <w:rFonts w:ascii="宋体" w:hAnsi="宋体"/>
                <w:sz w:val="18"/>
                <w:szCs w:val="18"/>
              </w:rPr>
              <w:t>化学分子量</w:t>
            </w:r>
          </w:p>
          <w:p>
            <w:pPr>
              <w:jc w:val="center"/>
              <w:rPr>
                <w:rFonts w:ascii="宋体"/>
                <w:sz w:val="18"/>
                <w:szCs w:val="18"/>
              </w:rPr>
            </w:pPr>
            <w:r>
              <w:rPr>
                <w:rFonts w:hint="eastAsia" w:ascii="宋体" w:hAnsi="宋体"/>
                <w:sz w:val="18"/>
                <w:szCs w:val="18"/>
              </w:rPr>
              <w:t>之比</w:t>
            </w:r>
          </w:p>
        </w:tc>
        <w:tc>
          <w:tcPr>
            <w:tcW w:w="1368" w:type="dxa"/>
            <w:tcBorders>
              <w:bottom w:val="single" w:color="auto" w:sz="8" w:space="0"/>
              <w:tl2br w:val="nil"/>
              <w:tr2bl w:val="nil"/>
            </w:tcBorders>
            <w:vAlign w:val="center"/>
          </w:tcPr>
          <w:p>
            <w:pPr>
              <w:pStyle w:val="20"/>
              <w:ind w:firstLine="0" w:firstLineChars="0"/>
              <w:jc w:val="center"/>
              <w:rPr>
                <w:sz w:val="18"/>
                <w:szCs w:val="18"/>
              </w:rPr>
            </w:pPr>
            <w:r>
              <w:rPr>
                <w:rFonts w:hint="eastAsia"/>
                <w:sz w:val="18"/>
                <w:szCs w:val="18"/>
              </w:rPr>
              <w:t>碳排放量</w:t>
            </w:r>
          </w:p>
          <w:p>
            <w:pPr>
              <w:pStyle w:val="20"/>
              <w:ind w:firstLine="0" w:firstLineChars="0"/>
              <w:jc w:val="center"/>
              <w:rPr>
                <w:sz w:val="18"/>
                <w:szCs w:val="18"/>
              </w:rPr>
            </w:pPr>
            <w:r>
              <w:rPr>
                <w:rFonts w:hint="eastAsia"/>
                <w:sz w:val="18"/>
                <w:szCs w:val="18"/>
                <w:lang w:eastAsia="zh-CN"/>
              </w:rPr>
              <w:t>（</w:t>
            </w:r>
            <w:r>
              <w:rPr>
                <w:rFonts w:hint="eastAsia"/>
                <w:sz w:val="18"/>
                <w:szCs w:val="18"/>
              </w:rPr>
              <w:t>tCO</w:t>
            </w:r>
            <w:r>
              <w:rPr>
                <w:rFonts w:hint="eastAsia"/>
                <w:sz w:val="18"/>
                <w:szCs w:val="18"/>
                <w:vertAlign w:val="subscript"/>
              </w:rPr>
              <w:t>2</w:t>
            </w:r>
            <w:r>
              <w:rPr>
                <w:rFonts w:hint="eastAsia"/>
                <w:sz w:val="18"/>
                <w:szCs w:val="18"/>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074" w:type="dxa"/>
            <w:tcBorders>
              <w:top w:val="single" w:color="auto" w:sz="8" w:space="0"/>
              <w:tl2br w:val="nil"/>
              <w:tr2bl w:val="nil"/>
            </w:tcBorders>
            <w:vAlign w:val="center"/>
          </w:tcPr>
          <w:p>
            <w:pPr>
              <w:jc w:val="left"/>
              <w:rPr>
                <w:rFonts w:ascii="宋体"/>
                <w:sz w:val="18"/>
                <w:szCs w:val="18"/>
              </w:rPr>
            </w:pPr>
            <w:r>
              <w:rPr>
                <w:rFonts w:hint="eastAsia" w:ascii="宋体"/>
                <w:sz w:val="18"/>
                <w:szCs w:val="18"/>
              </w:rPr>
              <w:t>天然气</w:t>
            </w:r>
          </w:p>
        </w:tc>
        <w:tc>
          <w:tcPr>
            <w:tcW w:w="1156" w:type="dxa"/>
            <w:tcBorders>
              <w:top w:val="single" w:color="auto" w:sz="8" w:space="0"/>
              <w:tl2br w:val="nil"/>
              <w:tr2bl w:val="nil"/>
            </w:tcBorders>
            <w:vAlign w:val="center"/>
          </w:tcPr>
          <w:p>
            <w:pPr>
              <w:jc w:val="center"/>
              <w:rPr>
                <w:rFonts w:ascii="宋体"/>
                <w:sz w:val="18"/>
                <w:szCs w:val="18"/>
              </w:rPr>
            </w:pPr>
            <w:r>
              <w:rPr>
                <w:rFonts w:hint="eastAsia" w:ascii="宋体"/>
                <w:sz w:val="18"/>
                <w:szCs w:val="18"/>
              </w:rPr>
              <w:t>2.46</w:t>
            </w:r>
          </w:p>
        </w:tc>
        <w:tc>
          <w:tcPr>
            <w:tcW w:w="1789" w:type="dxa"/>
            <w:tcBorders>
              <w:top w:val="single" w:color="auto" w:sz="8" w:space="0"/>
              <w:tl2br w:val="nil"/>
              <w:tr2bl w:val="nil"/>
            </w:tcBorders>
            <w:vAlign w:val="center"/>
          </w:tcPr>
          <w:p>
            <w:pPr>
              <w:jc w:val="center"/>
              <w:rPr>
                <w:rFonts w:ascii="宋体"/>
                <w:sz w:val="18"/>
                <w:szCs w:val="18"/>
              </w:rPr>
            </w:pPr>
            <w:r>
              <w:rPr>
                <w:rFonts w:ascii="宋体"/>
                <w:sz w:val="18"/>
                <w:szCs w:val="18"/>
              </w:rPr>
              <w:t>389.3</w:t>
            </w:r>
          </w:p>
        </w:tc>
        <w:tc>
          <w:tcPr>
            <w:tcW w:w="1586" w:type="dxa"/>
            <w:tcBorders>
              <w:top w:val="single" w:color="auto" w:sz="8" w:space="0"/>
              <w:tl2br w:val="nil"/>
              <w:tr2bl w:val="nil"/>
            </w:tcBorders>
            <w:vAlign w:val="center"/>
          </w:tcPr>
          <w:p>
            <w:pPr>
              <w:jc w:val="center"/>
              <w:rPr>
                <w:rFonts w:ascii="宋体"/>
                <w:sz w:val="18"/>
                <w:szCs w:val="18"/>
              </w:rPr>
            </w:pPr>
            <w:r>
              <w:rPr>
                <w:rFonts w:ascii="宋体"/>
                <w:sz w:val="18"/>
                <w:szCs w:val="18"/>
              </w:rPr>
              <w:t>0.0153</w:t>
            </w:r>
          </w:p>
        </w:tc>
        <w:tc>
          <w:tcPr>
            <w:tcW w:w="1230" w:type="dxa"/>
            <w:tcBorders>
              <w:top w:val="single" w:color="auto" w:sz="8" w:space="0"/>
              <w:tl2br w:val="nil"/>
              <w:tr2bl w:val="nil"/>
            </w:tcBorders>
            <w:vAlign w:val="center"/>
          </w:tcPr>
          <w:p>
            <w:pPr>
              <w:jc w:val="center"/>
              <w:rPr>
                <w:rFonts w:ascii="宋体"/>
                <w:sz w:val="18"/>
                <w:szCs w:val="18"/>
              </w:rPr>
            </w:pPr>
            <w:r>
              <w:rPr>
                <w:rFonts w:hint="eastAsia" w:ascii="宋体"/>
                <w:sz w:val="18"/>
                <w:szCs w:val="18"/>
              </w:rPr>
              <w:t>99</w:t>
            </w:r>
          </w:p>
        </w:tc>
        <w:tc>
          <w:tcPr>
            <w:tcW w:w="1367" w:type="dxa"/>
            <w:tcBorders>
              <w:top w:val="single" w:color="auto" w:sz="8" w:space="0"/>
              <w:tl2br w:val="nil"/>
              <w:tr2bl w:val="nil"/>
            </w:tcBorders>
            <w:vAlign w:val="center"/>
          </w:tcPr>
          <w:p>
            <w:pPr>
              <w:jc w:val="center"/>
              <w:rPr>
                <w:rFonts w:ascii="宋体"/>
                <w:sz w:val="18"/>
                <w:szCs w:val="18"/>
              </w:rPr>
            </w:pPr>
            <w:r>
              <w:rPr>
                <w:rFonts w:hint="eastAsia" w:ascii="宋体"/>
                <w:sz w:val="18"/>
                <w:szCs w:val="18"/>
              </w:rPr>
              <w:t>44/12</w:t>
            </w:r>
          </w:p>
        </w:tc>
        <w:tc>
          <w:tcPr>
            <w:tcW w:w="1368" w:type="dxa"/>
            <w:tcBorders>
              <w:top w:val="single" w:color="auto" w:sz="8" w:space="0"/>
              <w:tl2br w:val="nil"/>
              <w:tr2bl w:val="nil"/>
            </w:tcBorders>
            <w:vAlign w:val="center"/>
          </w:tcPr>
          <w:p>
            <w:pPr>
              <w:pStyle w:val="20"/>
              <w:ind w:firstLine="0" w:firstLineChars="0"/>
              <w:jc w:val="center"/>
              <w:rPr>
                <w:rFonts w:ascii="Times New Roman"/>
                <w:kern w:val="2"/>
                <w:sz w:val="18"/>
                <w:szCs w:val="18"/>
              </w:rPr>
            </w:pPr>
            <w:r>
              <w:rPr>
                <w:rFonts w:hint="eastAsia" w:ascii="宋体" w:hAnsi="Times New Roman" w:eastAsia="宋体" w:cs="Times New Roman"/>
                <w:kern w:val="2"/>
                <w:sz w:val="18"/>
                <w:szCs w:val="18"/>
                <w:lang w:val="en-US" w:eastAsia="zh-CN" w:bidi="ar-SA"/>
              </w:rPr>
              <w:t>53.1</w:t>
            </w:r>
            <w:r>
              <w:rPr>
                <w:rFonts w:hint="eastAsia" w:cs="Times New Roman"/>
                <w:kern w:val="2"/>
                <w:sz w:val="18"/>
                <w:szCs w:val="18"/>
                <w:lang w:val="en-US" w:eastAsia="zh-CN" w:bidi="ar-SA"/>
              </w:rPr>
              <w:t>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74" w:type="dxa"/>
            <w:tcBorders>
              <w:tl2br w:val="nil"/>
              <w:tr2bl w:val="nil"/>
            </w:tcBorders>
            <w:vAlign w:val="center"/>
          </w:tcPr>
          <w:p>
            <w:pPr>
              <w:jc w:val="left"/>
              <w:rPr>
                <w:rFonts w:ascii="宋体"/>
                <w:sz w:val="18"/>
                <w:szCs w:val="18"/>
              </w:rPr>
            </w:pPr>
            <w:r>
              <w:rPr>
                <w:rFonts w:hint="eastAsia" w:ascii="宋体"/>
                <w:sz w:val="18"/>
                <w:szCs w:val="18"/>
              </w:rPr>
              <w:t>汽油</w:t>
            </w:r>
          </w:p>
        </w:tc>
        <w:tc>
          <w:tcPr>
            <w:tcW w:w="1156" w:type="dxa"/>
            <w:tcBorders>
              <w:tl2br w:val="nil"/>
              <w:tr2bl w:val="nil"/>
            </w:tcBorders>
            <w:vAlign w:val="center"/>
          </w:tcPr>
          <w:p>
            <w:pPr>
              <w:jc w:val="center"/>
              <w:rPr>
                <w:rFonts w:hint="eastAsia" w:ascii="宋体" w:eastAsia="宋体"/>
                <w:sz w:val="18"/>
                <w:szCs w:val="18"/>
                <w:lang w:eastAsia="zh-CN"/>
              </w:rPr>
            </w:pPr>
            <w:r>
              <w:rPr>
                <w:rFonts w:hint="eastAsia" w:ascii="宋体"/>
                <w:sz w:val="18"/>
                <w:szCs w:val="18"/>
              </w:rPr>
              <w:t>2.3</w:t>
            </w:r>
            <w:r>
              <w:rPr>
                <w:rFonts w:hint="eastAsia" w:ascii="宋体"/>
                <w:sz w:val="18"/>
                <w:szCs w:val="18"/>
                <w:lang w:val="en-US" w:eastAsia="zh-CN"/>
              </w:rPr>
              <w:t>4</w:t>
            </w:r>
          </w:p>
        </w:tc>
        <w:tc>
          <w:tcPr>
            <w:tcW w:w="1789" w:type="dxa"/>
            <w:tcBorders>
              <w:tl2br w:val="nil"/>
              <w:tr2bl w:val="nil"/>
            </w:tcBorders>
            <w:vAlign w:val="center"/>
          </w:tcPr>
          <w:p>
            <w:pPr>
              <w:jc w:val="center"/>
              <w:rPr>
                <w:rFonts w:ascii="宋体"/>
                <w:sz w:val="18"/>
                <w:szCs w:val="18"/>
              </w:rPr>
            </w:pPr>
            <w:r>
              <w:rPr>
                <w:rFonts w:hint="eastAsia" w:ascii="宋体"/>
                <w:sz w:val="18"/>
                <w:szCs w:val="18"/>
              </w:rPr>
              <w:t>44.8</w:t>
            </w:r>
          </w:p>
        </w:tc>
        <w:tc>
          <w:tcPr>
            <w:tcW w:w="1586" w:type="dxa"/>
            <w:tcBorders>
              <w:tl2br w:val="nil"/>
              <w:tr2bl w:val="nil"/>
            </w:tcBorders>
            <w:vAlign w:val="center"/>
          </w:tcPr>
          <w:p>
            <w:pPr>
              <w:jc w:val="center"/>
              <w:rPr>
                <w:rFonts w:ascii="宋体"/>
                <w:sz w:val="18"/>
                <w:szCs w:val="18"/>
              </w:rPr>
            </w:pPr>
            <w:r>
              <w:rPr>
                <w:rFonts w:hint="eastAsia" w:ascii="宋体"/>
                <w:sz w:val="18"/>
                <w:szCs w:val="18"/>
              </w:rPr>
              <w:t>0.0189</w:t>
            </w:r>
          </w:p>
        </w:tc>
        <w:tc>
          <w:tcPr>
            <w:tcW w:w="1230" w:type="dxa"/>
            <w:tcBorders>
              <w:tl2br w:val="nil"/>
              <w:tr2bl w:val="nil"/>
            </w:tcBorders>
            <w:vAlign w:val="center"/>
          </w:tcPr>
          <w:p>
            <w:pPr>
              <w:jc w:val="center"/>
              <w:rPr>
                <w:rFonts w:ascii="宋体"/>
                <w:sz w:val="18"/>
                <w:szCs w:val="18"/>
              </w:rPr>
            </w:pPr>
            <w:r>
              <w:rPr>
                <w:rFonts w:hint="eastAsia" w:ascii="宋体"/>
                <w:sz w:val="18"/>
                <w:szCs w:val="18"/>
              </w:rPr>
              <w:t>98</w:t>
            </w:r>
          </w:p>
        </w:tc>
        <w:tc>
          <w:tcPr>
            <w:tcW w:w="1367" w:type="dxa"/>
            <w:tcBorders>
              <w:tl2br w:val="nil"/>
              <w:tr2bl w:val="nil"/>
            </w:tcBorders>
            <w:vAlign w:val="center"/>
          </w:tcPr>
          <w:p>
            <w:pPr>
              <w:jc w:val="center"/>
              <w:rPr>
                <w:rFonts w:ascii="宋体"/>
                <w:sz w:val="18"/>
                <w:szCs w:val="18"/>
              </w:rPr>
            </w:pPr>
            <w:r>
              <w:rPr>
                <w:rFonts w:hint="eastAsia" w:ascii="宋体"/>
                <w:sz w:val="18"/>
                <w:szCs w:val="18"/>
              </w:rPr>
              <w:t>44/12</w:t>
            </w:r>
          </w:p>
        </w:tc>
        <w:tc>
          <w:tcPr>
            <w:tcW w:w="1368" w:type="dxa"/>
            <w:tcBorders>
              <w:tl2br w:val="nil"/>
              <w:tr2bl w:val="nil"/>
            </w:tcBorders>
            <w:vAlign w:val="center"/>
          </w:tcPr>
          <w:p>
            <w:pPr>
              <w:jc w:val="center"/>
              <w:rPr>
                <w:rFonts w:ascii="宋体"/>
                <w:sz w:val="18"/>
                <w:szCs w:val="18"/>
              </w:rPr>
            </w:pPr>
            <w:r>
              <w:rPr>
                <w:rFonts w:hint="eastAsia" w:ascii="宋体"/>
                <w:sz w:val="18"/>
                <w:szCs w:val="18"/>
              </w:rPr>
              <w:t>7.1</w:t>
            </w:r>
            <w:r>
              <w:rPr>
                <w:rFonts w:hint="eastAsia" w:ascii="宋体"/>
                <w:sz w:val="18"/>
                <w:szCs w:val="18"/>
                <w:lang w:val="en-US" w:eastAsia="zh-CN"/>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70" w:type="dxa"/>
            <w:gridSpan w:val="7"/>
            <w:tcBorders>
              <w:top w:val="single" w:color="auto" w:sz="8" w:space="0"/>
              <w:tl2br w:val="nil"/>
              <w:tr2bl w:val="nil"/>
            </w:tcBorders>
          </w:tcPr>
          <w:p>
            <w:pPr>
              <w:pStyle w:val="61"/>
              <w:numPr>
                <w:ilvl w:val="0"/>
                <w:numId w:val="34"/>
              </w:numPr>
            </w:pPr>
            <w:r>
              <w:rPr>
                <w:rFonts w:hint="eastAsia"/>
              </w:rPr>
              <w:t>天然气消耗量=2460</w:t>
            </w:r>
            <w:r>
              <w:rPr>
                <w:rFonts w:hint="eastAsia"/>
                <w:lang w:val="en-US" w:eastAsia="zh-CN"/>
              </w:rPr>
              <w:t>0</w:t>
            </w:r>
            <w:r>
              <w:rPr>
                <w:rFonts w:hint="eastAsia"/>
              </w:rPr>
              <w:t xml:space="preserve"> m</w:t>
            </w:r>
            <w:r>
              <w:rPr>
                <w:rFonts w:hint="eastAsia"/>
                <w:vertAlign w:val="superscript"/>
              </w:rPr>
              <w:t>3</w:t>
            </w:r>
            <w:r>
              <w:rPr>
                <w:rFonts w:hint="eastAsia"/>
              </w:rPr>
              <w:t>×0.00</w:t>
            </w:r>
            <w:r>
              <w:rPr>
                <w:rFonts w:hint="eastAsia"/>
                <w:lang w:val="en-US" w:eastAsia="zh-CN"/>
              </w:rPr>
              <w:t>0</w:t>
            </w:r>
            <w:r>
              <w:rPr>
                <w:rFonts w:hint="eastAsia"/>
              </w:rPr>
              <w:t>1=2.46万</w:t>
            </w:r>
            <w:r>
              <w:rPr>
                <w:rFonts w:hint="eastAsia"/>
                <w:lang w:val="en-US" w:eastAsia="zh-CN"/>
              </w:rPr>
              <w:t>标</w:t>
            </w:r>
            <w:r>
              <w:rPr>
                <w:rFonts w:hint="eastAsia"/>
              </w:rPr>
              <w:t>立方米（万Nm</w:t>
            </w:r>
            <w:r>
              <w:rPr>
                <w:rFonts w:hint="eastAsia"/>
                <w:vertAlign w:val="superscript"/>
              </w:rPr>
              <w:t>3</w:t>
            </w:r>
            <w:r>
              <w:rPr>
                <w:rFonts w:hint="eastAsia"/>
              </w:rPr>
              <w:t>）；</w:t>
            </w:r>
          </w:p>
          <w:p>
            <w:pPr>
              <w:pStyle w:val="61"/>
              <w:numPr>
                <w:ilvl w:val="0"/>
                <w:numId w:val="34"/>
              </w:numPr>
            </w:pPr>
            <w:r>
              <w:rPr>
                <w:rFonts w:hint="eastAsia"/>
              </w:rPr>
              <w:t>汽油消耗量=3200L×密度0.73kg/L×0.001=2.3</w:t>
            </w:r>
            <w:r>
              <w:rPr>
                <w:rFonts w:hint="eastAsia"/>
                <w:lang w:val="en-US" w:eastAsia="zh-CN"/>
              </w:rPr>
              <w:t>4</w:t>
            </w:r>
            <w:r>
              <w:rPr>
                <w:rFonts w:hint="eastAsia"/>
              </w:rPr>
              <w:t>吨（t）。</w:t>
            </w:r>
          </w:p>
        </w:tc>
      </w:tr>
    </w:tbl>
    <w:p/>
    <w:p>
      <w:pPr>
        <w:pStyle w:val="20"/>
      </w:pPr>
      <w:r>
        <w:rPr>
          <w:rFonts w:hint="eastAsia"/>
        </w:rPr>
        <w:t>2022年度化石燃料燃烧产生的</w:t>
      </w:r>
      <w:r>
        <w:rPr>
          <w:rFonts w:hint="eastAsia"/>
          <w:lang w:val="en-US" w:eastAsia="zh-CN"/>
        </w:rPr>
        <w:t>碳</w:t>
      </w:r>
      <w:r>
        <w:rPr>
          <w:rFonts w:hint="eastAsia"/>
        </w:rPr>
        <w:t>排放=天然气消耗产生的碳排放量+公务车用汽油产生的碳排放量=53.1</w:t>
      </w:r>
      <w:r>
        <w:rPr>
          <w:rFonts w:hint="eastAsia"/>
          <w:lang w:val="en-US" w:eastAsia="zh-CN"/>
        </w:rPr>
        <w:t>9</w:t>
      </w:r>
      <w:r>
        <w:rPr>
          <w:rFonts w:hint="eastAsia"/>
        </w:rPr>
        <w:t>tCO</w:t>
      </w:r>
      <w:r>
        <w:rPr>
          <w:rFonts w:hint="eastAsia"/>
          <w:vertAlign w:val="subscript"/>
        </w:rPr>
        <w:t>2</w:t>
      </w:r>
      <w:r>
        <w:rPr>
          <w:rFonts w:hint="eastAsia"/>
        </w:rPr>
        <w:t>+7.1</w:t>
      </w:r>
      <w:r>
        <w:rPr>
          <w:rFonts w:hint="eastAsia"/>
          <w:lang w:val="en-US" w:eastAsia="zh-CN"/>
        </w:rPr>
        <w:t>2</w:t>
      </w:r>
      <w:r>
        <w:rPr>
          <w:rFonts w:hint="eastAsia"/>
        </w:rPr>
        <w:t>tCO</w:t>
      </w:r>
      <w:r>
        <w:rPr>
          <w:rFonts w:hint="eastAsia"/>
          <w:vertAlign w:val="subscript"/>
        </w:rPr>
        <w:t>2</w:t>
      </w:r>
      <w:r>
        <w:rPr>
          <w:rFonts w:hint="eastAsia"/>
        </w:rPr>
        <w:t>=60.</w:t>
      </w:r>
      <w:r>
        <w:rPr>
          <w:rFonts w:hint="eastAsia"/>
          <w:lang w:val="en-US" w:eastAsia="zh-CN"/>
        </w:rPr>
        <w:t>31</w:t>
      </w:r>
      <w:r>
        <w:rPr>
          <w:rFonts w:hint="eastAsia"/>
        </w:rPr>
        <w:t>tCO</w:t>
      </w:r>
      <w:r>
        <w:rPr>
          <w:rFonts w:hint="eastAsia"/>
          <w:vertAlign w:val="subscript"/>
        </w:rPr>
        <w:t>2</w:t>
      </w:r>
      <w:r>
        <w:rPr>
          <w:rFonts w:hint="eastAsia"/>
        </w:rPr>
        <w:t>(吨二氧化碳)。</w:t>
      </w:r>
    </w:p>
    <w:p>
      <w:pPr>
        <w:pStyle w:val="99"/>
        <w:spacing w:before="156" w:after="156"/>
      </w:pPr>
      <w:r>
        <w:rPr>
          <w:rFonts w:hint="eastAsia"/>
        </w:rPr>
        <w:t>外购电产生的碳排放量计算</w:t>
      </w:r>
    </w:p>
    <w:p>
      <w:pPr>
        <w:pStyle w:val="20"/>
      </w:pPr>
      <w:r>
        <w:rPr>
          <w:rFonts w:hint="eastAsia"/>
        </w:rPr>
        <w:t>包头市某机关事业单位外购电产生的碳排放量计算示例如表C.2所示:</w:t>
      </w:r>
    </w:p>
    <w:p>
      <w:pPr>
        <w:pStyle w:val="83"/>
        <w:spacing w:before="156" w:after="156"/>
      </w:pPr>
      <w:r>
        <w:rPr>
          <w:rFonts w:hint="eastAsia" w:ascii="宋体" w:hAnsi="宋体"/>
        </w:rPr>
        <w:t>某机关事业单位外购电碳排放计算示例</w:t>
      </w:r>
    </w:p>
    <w:tbl>
      <w:tblPr>
        <w:tblStyle w:val="2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2392"/>
        <w:gridCol w:w="2393"/>
        <w:gridCol w:w="239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tcBorders>
              <w:bottom w:val="single" w:color="auto" w:sz="8" w:space="0"/>
              <w:tl2br w:val="nil"/>
              <w:tr2bl w:val="nil"/>
            </w:tcBorders>
            <w:vAlign w:val="center"/>
          </w:tcPr>
          <w:p>
            <w:pPr>
              <w:jc w:val="center"/>
              <w:rPr>
                <w:rFonts w:ascii="宋体"/>
                <w:sz w:val="18"/>
                <w:szCs w:val="18"/>
              </w:rPr>
            </w:pPr>
            <w:r>
              <w:rPr>
                <w:rFonts w:hint="eastAsia" w:ascii="宋体"/>
                <w:sz w:val="18"/>
                <w:szCs w:val="18"/>
              </w:rPr>
              <w:t>类型</w:t>
            </w:r>
          </w:p>
        </w:tc>
        <w:tc>
          <w:tcPr>
            <w:tcW w:w="2392" w:type="dxa"/>
            <w:tcBorders>
              <w:bottom w:val="single" w:color="auto" w:sz="8" w:space="0"/>
              <w:tl2br w:val="nil"/>
              <w:tr2bl w:val="nil"/>
            </w:tcBorders>
            <w:vAlign w:val="center"/>
          </w:tcPr>
          <w:p>
            <w:pPr>
              <w:jc w:val="center"/>
              <w:rPr>
                <w:rFonts w:ascii="宋体"/>
                <w:sz w:val="18"/>
                <w:szCs w:val="18"/>
              </w:rPr>
            </w:pPr>
            <w:r>
              <w:rPr>
                <w:rFonts w:hint="eastAsia" w:ascii="宋体"/>
                <w:sz w:val="18"/>
                <w:szCs w:val="18"/>
              </w:rPr>
              <w:t>外购电量</w:t>
            </w:r>
          </w:p>
          <w:p>
            <w:pPr>
              <w:jc w:val="center"/>
              <w:rPr>
                <w:rFonts w:ascii="宋体"/>
                <w:sz w:val="18"/>
                <w:szCs w:val="18"/>
              </w:rPr>
            </w:pPr>
            <w:r>
              <w:rPr>
                <w:rFonts w:hint="eastAsia" w:ascii="宋体"/>
                <w:sz w:val="18"/>
                <w:szCs w:val="18"/>
                <w:lang w:eastAsia="zh-CN"/>
              </w:rPr>
              <w:t>（</w:t>
            </w:r>
            <w:r>
              <w:rPr>
                <w:rFonts w:hint="eastAsia" w:ascii="宋体"/>
                <w:sz w:val="18"/>
                <w:szCs w:val="18"/>
              </w:rPr>
              <w:t>MWh</w:t>
            </w:r>
            <w:r>
              <w:rPr>
                <w:rFonts w:hint="eastAsia" w:ascii="宋体"/>
                <w:sz w:val="18"/>
                <w:szCs w:val="18"/>
                <w:lang w:eastAsia="zh-CN"/>
              </w:rPr>
              <w:t>）</w:t>
            </w:r>
          </w:p>
        </w:tc>
        <w:tc>
          <w:tcPr>
            <w:tcW w:w="2393" w:type="dxa"/>
            <w:tcBorders>
              <w:bottom w:val="single" w:color="auto" w:sz="8" w:space="0"/>
              <w:tl2br w:val="nil"/>
              <w:tr2bl w:val="nil"/>
            </w:tcBorders>
            <w:vAlign w:val="center"/>
          </w:tcPr>
          <w:p>
            <w:pPr>
              <w:jc w:val="center"/>
              <w:rPr>
                <w:rFonts w:ascii="宋体"/>
                <w:sz w:val="18"/>
                <w:szCs w:val="18"/>
              </w:rPr>
            </w:pPr>
            <w:r>
              <w:rPr>
                <w:rFonts w:hint="eastAsia" w:ascii="宋体"/>
                <w:sz w:val="18"/>
                <w:szCs w:val="18"/>
              </w:rPr>
              <w:t>排放因子</w:t>
            </w:r>
          </w:p>
          <w:p>
            <w:pPr>
              <w:jc w:val="center"/>
              <w:rPr>
                <w:rFonts w:ascii="宋体"/>
                <w:sz w:val="18"/>
                <w:szCs w:val="18"/>
              </w:rPr>
            </w:pPr>
            <w:r>
              <w:rPr>
                <w:rFonts w:hint="eastAsia" w:ascii="宋体"/>
                <w:sz w:val="18"/>
                <w:szCs w:val="18"/>
                <w:lang w:eastAsia="zh-CN"/>
              </w:rPr>
              <w:t>（</w:t>
            </w:r>
            <w:r>
              <w:rPr>
                <w:rFonts w:ascii="宋体"/>
                <w:sz w:val="18"/>
                <w:szCs w:val="18"/>
              </w:rPr>
              <w:t>tCO</w:t>
            </w:r>
            <w:r>
              <w:rPr>
                <w:rFonts w:ascii="宋体"/>
                <w:sz w:val="18"/>
                <w:szCs w:val="18"/>
                <w:vertAlign w:val="subscript"/>
              </w:rPr>
              <w:t>2</w:t>
            </w:r>
            <w:r>
              <w:rPr>
                <w:rFonts w:ascii="宋体"/>
                <w:sz w:val="18"/>
                <w:szCs w:val="18"/>
              </w:rPr>
              <w:t>/MWh</w:t>
            </w:r>
            <w:r>
              <w:rPr>
                <w:rFonts w:hint="eastAsia" w:ascii="宋体"/>
                <w:sz w:val="18"/>
                <w:szCs w:val="18"/>
                <w:lang w:eastAsia="zh-CN"/>
              </w:rPr>
              <w:t>）</w:t>
            </w:r>
          </w:p>
        </w:tc>
        <w:tc>
          <w:tcPr>
            <w:tcW w:w="2393" w:type="dxa"/>
            <w:tcBorders>
              <w:bottom w:val="single" w:color="auto" w:sz="8" w:space="0"/>
              <w:tl2br w:val="nil"/>
              <w:tr2bl w:val="nil"/>
            </w:tcBorders>
            <w:vAlign w:val="center"/>
          </w:tcPr>
          <w:p>
            <w:pPr>
              <w:jc w:val="center"/>
              <w:rPr>
                <w:rFonts w:ascii="宋体"/>
                <w:sz w:val="18"/>
                <w:szCs w:val="18"/>
              </w:rPr>
            </w:pPr>
            <w:r>
              <w:rPr>
                <w:rFonts w:hint="eastAsia" w:ascii="宋体"/>
                <w:sz w:val="18"/>
                <w:szCs w:val="18"/>
              </w:rPr>
              <w:t>碳排放量</w:t>
            </w:r>
          </w:p>
          <w:p>
            <w:pPr>
              <w:jc w:val="center"/>
              <w:rPr>
                <w:rFonts w:ascii="宋体"/>
                <w:sz w:val="18"/>
                <w:szCs w:val="18"/>
              </w:rPr>
            </w:pPr>
            <w:r>
              <w:rPr>
                <w:rFonts w:hint="eastAsia" w:ascii="宋体"/>
                <w:sz w:val="18"/>
                <w:szCs w:val="18"/>
                <w:lang w:eastAsia="zh-CN"/>
              </w:rPr>
              <w:t>（</w:t>
            </w:r>
            <w:r>
              <w:rPr>
                <w:rFonts w:hint="eastAsia" w:ascii="宋体"/>
                <w:sz w:val="18"/>
                <w:szCs w:val="18"/>
              </w:rPr>
              <w:t>tCO</w:t>
            </w:r>
            <w:r>
              <w:rPr>
                <w:rFonts w:hint="eastAsia" w:ascii="宋体"/>
                <w:sz w:val="18"/>
                <w:szCs w:val="18"/>
                <w:vertAlign w:val="subscript"/>
              </w:rPr>
              <w:t>2</w:t>
            </w:r>
            <w:r>
              <w:rPr>
                <w:rFonts w:hint="eastAsia" w:ascii="宋体"/>
                <w:sz w:val="18"/>
                <w:szCs w:val="18"/>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tcBorders>
              <w:top w:val="single" w:color="auto" w:sz="8" w:space="0"/>
              <w:bottom w:val="single" w:color="auto" w:sz="8" w:space="0"/>
              <w:tl2br w:val="nil"/>
              <w:tr2bl w:val="nil"/>
            </w:tcBorders>
            <w:vAlign w:val="center"/>
          </w:tcPr>
          <w:p>
            <w:pPr>
              <w:jc w:val="center"/>
              <w:rPr>
                <w:rFonts w:ascii="宋体"/>
                <w:sz w:val="18"/>
                <w:szCs w:val="18"/>
              </w:rPr>
            </w:pPr>
            <w:r>
              <w:rPr>
                <w:rFonts w:hint="eastAsia" w:ascii="宋体"/>
                <w:sz w:val="18"/>
                <w:szCs w:val="18"/>
              </w:rPr>
              <w:t>外购电</w:t>
            </w:r>
          </w:p>
        </w:tc>
        <w:tc>
          <w:tcPr>
            <w:tcW w:w="2392" w:type="dxa"/>
            <w:tcBorders>
              <w:top w:val="single" w:color="auto" w:sz="8" w:space="0"/>
              <w:bottom w:val="single" w:color="auto" w:sz="8" w:space="0"/>
              <w:tl2br w:val="nil"/>
              <w:tr2bl w:val="nil"/>
            </w:tcBorders>
            <w:vAlign w:val="center"/>
          </w:tcPr>
          <w:p>
            <w:pPr>
              <w:jc w:val="center"/>
              <w:rPr>
                <w:rFonts w:hint="default" w:ascii="宋体" w:eastAsia="宋体"/>
                <w:sz w:val="18"/>
                <w:szCs w:val="18"/>
                <w:lang w:val="en-US" w:eastAsia="zh-CN"/>
              </w:rPr>
            </w:pPr>
            <w:r>
              <w:rPr>
                <w:rFonts w:hint="eastAsia" w:ascii="宋体"/>
                <w:sz w:val="18"/>
                <w:szCs w:val="18"/>
              </w:rPr>
              <w:t>194.6</w:t>
            </w:r>
            <w:r>
              <w:rPr>
                <w:rFonts w:hint="eastAsia" w:ascii="宋体"/>
                <w:sz w:val="18"/>
                <w:szCs w:val="18"/>
                <w:lang w:val="en-US" w:eastAsia="zh-CN"/>
              </w:rPr>
              <w:t>00</w:t>
            </w:r>
          </w:p>
        </w:tc>
        <w:tc>
          <w:tcPr>
            <w:tcW w:w="2393" w:type="dxa"/>
            <w:tcBorders>
              <w:top w:val="single" w:color="auto" w:sz="8" w:space="0"/>
              <w:bottom w:val="single" w:color="auto" w:sz="8" w:space="0"/>
              <w:tl2br w:val="nil"/>
              <w:tr2bl w:val="nil"/>
            </w:tcBorders>
            <w:vAlign w:val="center"/>
          </w:tcPr>
          <w:p>
            <w:pPr>
              <w:jc w:val="center"/>
              <w:rPr>
                <w:rFonts w:ascii="宋体"/>
                <w:sz w:val="18"/>
                <w:szCs w:val="18"/>
              </w:rPr>
            </w:pPr>
            <w:r>
              <w:rPr>
                <w:rFonts w:hint="eastAsia" w:ascii="宋体"/>
                <w:sz w:val="18"/>
                <w:szCs w:val="18"/>
              </w:rPr>
              <w:t>0.8843</w:t>
            </w:r>
          </w:p>
        </w:tc>
        <w:tc>
          <w:tcPr>
            <w:tcW w:w="2393" w:type="dxa"/>
            <w:tcBorders>
              <w:top w:val="single" w:color="auto" w:sz="8" w:space="0"/>
              <w:bottom w:val="single" w:color="auto" w:sz="8" w:space="0"/>
              <w:tl2br w:val="nil"/>
              <w:tr2bl w:val="nil"/>
            </w:tcBorders>
            <w:vAlign w:val="center"/>
          </w:tcPr>
          <w:p>
            <w:pPr>
              <w:jc w:val="center"/>
              <w:rPr>
                <w:rFonts w:ascii="宋体"/>
                <w:sz w:val="18"/>
                <w:szCs w:val="18"/>
              </w:rPr>
            </w:pPr>
            <w:r>
              <w:rPr>
                <w:rFonts w:hint="eastAsia" w:ascii="宋体"/>
                <w:sz w:val="18"/>
                <w:szCs w:val="18"/>
              </w:rPr>
              <w:t>172.08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70" w:type="dxa"/>
            <w:gridSpan w:val="4"/>
            <w:tcBorders>
              <w:top w:val="single" w:color="auto" w:sz="8" w:space="0"/>
              <w:tl2br w:val="nil"/>
              <w:tr2bl w:val="nil"/>
            </w:tcBorders>
          </w:tcPr>
          <w:p>
            <w:pPr>
              <w:pStyle w:val="61"/>
              <w:numPr>
                <w:ilvl w:val="0"/>
                <w:numId w:val="35"/>
              </w:numPr>
            </w:pPr>
            <w:r>
              <w:rPr>
                <w:rFonts w:hint="eastAsia"/>
              </w:rPr>
              <w:t>购电量194600度（kWh）=194.</w:t>
            </w:r>
            <w:r>
              <w:rPr>
                <w:rFonts w:hint="eastAsia"/>
                <w:lang w:val="en-US" w:eastAsia="zh-CN"/>
              </w:rPr>
              <w:t>600</w:t>
            </w:r>
            <w:r>
              <w:rPr>
                <w:rFonts w:hint="eastAsia"/>
              </w:rPr>
              <w:t>兆瓦时（MWh）</w:t>
            </w:r>
          </w:p>
        </w:tc>
      </w:tr>
    </w:tbl>
    <w:p>
      <w:pPr>
        <w:pStyle w:val="99"/>
        <w:spacing w:before="156" w:after="156"/>
      </w:pPr>
      <w:r>
        <w:rPr>
          <w:rFonts w:hint="eastAsia"/>
        </w:rPr>
        <w:t>外购热产生的碳排放量计算</w:t>
      </w:r>
    </w:p>
    <w:p>
      <w:pPr>
        <w:pStyle w:val="20"/>
      </w:pPr>
      <w:r>
        <w:rPr>
          <w:rFonts w:hint="eastAsia"/>
        </w:rPr>
        <w:t>包头市某机关事业单位外购热产生的碳排放量计算示例如表C.3所示:</w:t>
      </w:r>
    </w:p>
    <w:p>
      <w:pPr>
        <w:pStyle w:val="83"/>
        <w:spacing w:before="156" w:after="156"/>
        <w:rPr>
          <w:rFonts w:ascii="宋体" w:hAnsi="宋体"/>
        </w:rPr>
      </w:pPr>
      <w:r>
        <w:rPr>
          <w:rFonts w:hint="eastAsia" w:ascii="宋体" w:hAnsi="宋体"/>
        </w:rPr>
        <w:t>某机关事业单位外购热碳排放计算示例</w:t>
      </w:r>
    </w:p>
    <w:tbl>
      <w:tblPr>
        <w:tblStyle w:val="2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2392"/>
        <w:gridCol w:w="2393"/>
        <w:gridCol w:w="239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tcBorders>
              <w:bottom w:val="single" w:color="auto" w:sz="8" w:space="0"/>
              <w:tl2br w:val="nil"/>
              <w:tr2bl w:val="nil"/>
            </w:tcBorders>
            <w:vAlign w:val="center"/>
          </w:tcPr>
          <w:p>
            <w:pPr>
              <w:jc w:val="center"/>
              <w:rPr>
                <w:rFonts w:ascii="宋体"/>
                <w:sz w:val="18"/>
                <w:szCs w:val="18"/>
              </w:rPr>
            </w:pPr>
            <w:r>
              <w:rPr>
                <w:rFonts w:hint="eastAsia" w:ascii="宋体"/>
                <w:sz w:val="18"/>
                <w:szCs w:val="18"/>
              </w:rPr>
              <w:t>类型</w:t>
            </w:r>
          </w:p>
        </w:tc>
        <w:tc>
          <w:tcPr>
            <w:tcW w:w="2392" w:type="dxa"/>
            <w:tcBorders>
              <w:bottom w:val="single" w:color="auto" w:sz="8" w:space="0"/>
              <w:tl2br w:val="nil"/>
              <w:tr2bl w:val="nil"/>
            </w:tcBorders>
            <w:vAlign w:val="center"/>
          </w:tcPr>
          <w:p>
            <w:pPr>
              <w:jc w:val="center"/>
              <w:rPr>
                <w:rFonts w:ascii="宋体"/>
                <w:sz w:val="18"/>
                <w:szCs w:val="18"/>
              </w:rPr>
            </w:pPr>
            <w:r>
              <w:rPr>
                <w:rFonts w:hint="eastAsia" w:ascii="宋体"/>
                <w:sz w:val="18"/>
                <w:szCs w:val="18"/>
              </w:rPr>
              <w:t>外购热量</w:t>
            </w:r>
          </w:p>
          <w:p>
            <w:pPr>
              <w:jc w:val="center"/>
              <w:rPr>
                <w:rFonts w:ascii="宋体"/>
                <w:sz w:val="18"/>
                <w:szCs w:val="18"/>
              </w:rPr>
            </w:pPr>
            <w:r>
              <w:rPr>
                <w:rFonts w:hint="eastAsia" w:ascii="宋体"/>
                <w:sz w:val="18"/>
                <w:szCs w:val="18"/>
                <w:lang w:eastAsia="zh-CN"/>
              </w:rPr>
              <w:t>（</w:t>
            </w:r>
            <w:r>
              <w:rPr>
                <w:rFonts w:hint="eastAsia" w:ascii="宋体"/>
                <w:sz w:val="18"/>
                <w:szCs w:val="18"/>
              </w:rPr>
              <w:t>GJ</w:t>
            </w:r>
            <w:r>
              <w:rPr>
                <w:rFonts w:hint="eastAsia" w:ascii="宋体"/>
                <w:sz w:val="18"/>
                <w:szCs w:val="18"/>
                <w:lang w:eastAsia="zh-CN"/>
              </w:rPr>
              <w:t>）</w:t>
            </w:r>
          </w:p>
        </w:tc>
        <w:tc>
          <w:tcPr>
            <w:tcW w:w="2393" w:type="dxa"/>
            <w:tcBorders>
              <w:bottom w:val="single" w:color="auto" w:sz="8" w:space="0"/>
              <w:tl2br w:val="nil"/>
              <w:tr2bl w:val="nil"/>
            </w:tcBorders>
            <w:vAlign w:val="center"/>
          </w:tcPr>
          <w:p>
            <w:pPr>
              <w:jc w:val="center"/>
              <w:rPr>
                <w:rFonts w:ascii="宋体"/>
                <w:sz w:val="18"/>
                <w:szCs w:val="18"/>
              </w:rPr>
            </w:pPr>
            <w:r>
              <w:rPr>
                <w:rFonts w:hint="eastAsia" w:ascii="宋体"/>
                <w:sz w:val="18"/>
                <w:szCs w:val="18"/>
              </w:rPr>
              <w:t>排放因子</w:t>
            </w:r>
          </w:p>
          <w:p>
            <w:pPr>
              <w:jc w:val="center"/>
              <w:rPr>
                <w:rFonts w:ascii="宋体"/>
                <w:sz w:val="18"/>
                <w:szCs w:val="18"/>
              </w:rPr>
            </w:pPr>
            <w:r>
              <w:rPr>
                <w:rFonts w:hint="eastAsia" w:ascii="宋体"/>
                <w:sz w:val="18"/>
                <w:szCs w:val="18"/>
                <w:lang w:eastAsia="zh-CN"/>
              </w:rPr>
              <w:t>（</w:t>
            </w:r>
            <w:r>
              <w:rPr>
                <w:rFonts w:ascii="宋体"/>
                <w:sz w:val="18"/>
                <w:szCs w:val="18"/>
              </w:rPr>
              <w:t>tCO</w:t>
            </w:r>
            <w:r>
              <w:rPr>
                <w:rFonts w:ascii="宋体"/>
                <w:sz w:val="18"/>
                <w:szCs w:val="18"/>
                <w:vertAlign w:val="subscript"/>
              </w:rPr>
              <w:t>2</w:t>
            </w:r>
            <w:r>
              <w:rPr>
                <w:rFonts w:ascii="宋体"/>
                <w:sz w:val="18"/>
                <w:szCs w:val="18"/>
              </w:rPr>
              <w:t>/</w:t>
            </w:r>
            <w:r>
              <w:rPr>
                <w:rFonts w:hint="eastAsia" w:ascii="宋体"/>
                <w:sz w:val="18"/>
                <w:szCs w:val="18"/>
              </w:rPr>
              <w:t>GJ</w:t>
            </w:r>
            <w:r>
              <w:rPr>
                <w:rFonts w:hint="eastAsia" w:ascii="宋体"/>
                <w:sz w:val="18"/>
                <w:szCs w:val="18"/>
                <w:lang w:eastAsia="zh-CN"/>
              </w:rPr>
              <w:t>）</w:t>
            </w:r>
          </w:p>
        </w:tc>
        <w:tc>
          <w:tcPr>
            <w:tcW w:w="2393" w:type="dxa"/>
            <w:tcBorders>
              <w:bottom w:val="single" w:color="auto" w:sz="8" w:space="0"/>
              <w:tl2br w:val="nil"/>
              <w:tr2bl w:val="nil"/>
            </w:tcBorders>
            <w:vAlign w:val="center"/>
          </w:tcPr>
          <w:p>
            <w:pPr>
              <w:jc w:val="center"/>
              <w:rPr>
                <w:rFonts w:ascii="宋体"/>
                <w:sz w:val="18"/>
                <w:szCs w:val="18"/>
              </w:rPr>
            </w:pPr>
            <w:r>
              <w:rPr>
                <w:rFonts w:hint="eastAsia" w:ascii="宋体"/>
                <w:sz w:val="18"/>
                <w:szCs w:val="18"/>
              </w:rPr>
              <w:t>碳排放量</w:t>
            </w:r>
          </w:p>
          <w:p>
            <w:pPr>
              <w:jc w:val="center"/>
              <w:rPr>
                <w:rFonts w:hint="eastAsia" w:ascii="宋体" w:eastAsia="宋体"/>
                <w:sz w:val="18"/>
                <w:szCs w:val="18"/>
                <w:lang w:eastAsia="zh-CN"/>
              </w:rPr>
            </w:pPr>
            <w:r>
              <w:rPr>
                <w:rFonts w:hint="eastAsia" w:ascii="宋体"/>
                <w:sz w:val="18"/>
                <w:szCs w:val="18"/>
                <w:lang w:eastAsia="zh-CN"/>
              </w:rPr>
              <w:t>（</w:t>
            </w:r>
            <w:r>
              <w:rPr>
                <w:rFonts w:hint="eastAsia" w:ascii="宋体"/>
                <w:sz w:val="18"/>
                <w:szCs w:val="18"/>
              </w:rPr>
              <w:t>tCO</w:t>
            </w:r>
            <w:r>
              <w:rPr>
                <w:rFonts w:hint="eastAsia" w:ascii="宋体"/>
                <w:sz w:val="18"/>
                <w:szCs w:val="18"/>
                <w:vertAlign w:val="subscript"/>
              </w:rPr>
              <w:t>2</w:t>
            </w:r>
            <w:r>
              <w:rPr>
                <w:rFonts w:hint="eastAsia" w:ascii="宋体"/>
                <w:sz w:val="18"/>
                <w:szCs w:val="18"/>
                <w:vertAlign w:val="subscript"/>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tcBorders>
              <w:top w:val="single" w:color="auto" w:sz="8" w:space="0"/>
              <w:bottom w:val="single" w:color="auto" w:sz="8" w:space="0"/>
              <w:tl2br w:val="nil"/>
              <w:tr2bl w:val="nil"/>
            </w:tcBorders>
            <w:vAlign w:val="center"/>
          </w:tcPr>
          <w:p>
            <w:pPr>
              <w:jc w:val="center"/>
              <w:rPr>
                <w:rFonts w:ascii="宋体" w:hAnsi="宋体" w:cs="宋体"/>
                <w:sz w:val="18"/>
                <w:szCs w:val="18"/>
              </w:rPr>
            </w:pPr>
            <w:r>
              <w:rPr>
                <w:rFonts w:hint="eastAsia" w:ascii="宋体" w:hAnsi="宋体" w:cs="宋体"/>
                <w:sz w:val="18"/>
                <w:szCs w:val="18"/>
              </w:rPr>
              <w:t>外购热</w:t>
            </w:r>
          </w:p>
        </w:tc>
        <w:tc>
          <w:tcPr>
            <w:tcW w:w="2392" w:type="dxa"/>
            <w:tcBorders>
              <w:top w:val="single" w:color="auto" w:sz="8" w:space="0"/>
              <w:bottom w:val="single" w:color="auto" w:sz="8" w:space="0"/>
              <w:tl2br w:val="nil"/>
              <w:tr2bl w:val="nil"/>
            </w:tcBorders>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rPr>
              <w:t>5</w:t>
            </w:r>
            <w:r>
              <w:rPr>
                <w:rFonts w:hint="eastAsia" w:ascii="宋体" w:hAnsi="宋体" w:cs="宋体"/>
                <w:sz w:val="18"/>
                <w:szCs w:val="18"/>
                <w:lang w:val="en-US" w:eastAsia="zh-CN"/>
              </w:rPr>
              <w:t>728.91</w:t>
            </w:r>
          </w:p>
        </w:tc>
        <w:tc>
          <w:tcPr>
            <w:tcW w:w="2393" w:type="dxa"/>
            <w:tcBorders>
              <w:top w:val="single" w:color="auto" w:sz="8" w:space="0"/>
              <w:bottom w:val="single" w:color="auto" w:sz="8" w:space="0"/>
              <w:tl2br w:val="nil"/>
              <w:tr2bl w:val="nil"/>
            </w:tcBorders>
            <w:vAlign w:val="center"/>
          </w:tcPr>
          <w:p>
            <w:pPr>
              <w:jc w:val="center"/>
              <w:rPr>
                <w:rFonts w:ascii="宋体" w:hAnsi="宋体" w:cs="宋体"/>
                <w:sz w:val="18"/>
                <w:szCs w:val="18"/>
              </w:rPr>
            </w:pPr>
            <w:r>
              <w:rPr>
                <w:rFonts w:hint="eastAsia" w:ascii="宋体" w:hAnsi="宋体" w:cs="宋体"/>
                <w:sz w:val="18"/>
                <w:szCs w:val="18"/>
              </w:rPr>
              <w:t>0.11</w:t>
            </w:r>
          </w:p>
        </w:tc>
        <w:tc>
          <w:tcPr>
            <w:tcW w:w="2393" w:type="dxa"/>
            <w:tcBorders>
              <w:top w:val="single" w:color="auto" w:sz="8" w:space="0"/>
              <w:bottom w:val="single" w:color="auto" w:sz="8" w:space="0"/>
              <w:tl2br w:val="nil"/>
              <w:tr2bl w:val="nil"/>
            </w:tcBorders>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rPr>
              <w:t>6</w:t>
            </w:r>
            <w:r>
              <w:rPr>
                <w:rFonts w:hint="eastAsia" w:ascii="宋体" w:hAnsi="宋体" w:cs="宋体"/>
                <w:sz w:val="18"/>
                <w:szCs w:val="18"/>
                <w:lang w:val="en-US" w:eastAsia="zh-CN"/>
              </w:rPr>
              <w:t>30.18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70" w:type="dxa"/>
            <w:gridSpan w:val="4"/>
            <w:tcBorders>
              <w:top w:val="single" w:color="auto" w:sz="8" w:space="0"/>
              <w:tl2br w:val="nil"/>
              <w:tr2bl w:val="nil"/>
            </w:tcBorders>
          </w:tcPr>
          <w:p>
            <w:pPr>
              <w:pStyle w:val="61"/>
              <w:numPr>
                <w:ilvl w:val="0"/>
                <w:numId w:val="36"/>
              </w:numPr>
            </w:pPr>
            <w:r>
              <w:rPr>
                <w:rFonts w:hint="eastAsia"/>
              </w:rPr>
              <w:t>从供暖面积9350m</w:t>
            </w:r>
            <w:r>
              <w:rPr>
                <w:rFonts w:hint="eastAsia"/>
                <w:vertAlign w:val="superscript"/>
              </w:rPr>
              <w:t>2</w:t>
            </w:r>
            <w:r>
              <w:rPr>
                <w:rFonts w:hint="eastAsia"/>
              </w:rPr>
              <w:t>折算到外购热量，采用</w:t>
            </w:r>
            <w:r>
              <w:t>表B.</w:t>
            </w:r>
            <w:r>
              <w:rPr>
                <w:rFonts w:hint="eastAsia"/>
              </w:rPr>
              <w:t>3公式计算，计算过程：2022年度外购热量=0.0864×2022年度供暖天数181天×采暖热指标60W/m</w:t>
            </w:r>
            <w:r>
              <w:rPr>
                <w:rFonts w:hint="eastAsia"/>
                <w:vertAlign w:val="superscript"/>
              </w:rPr>
              <w:t>2</w:t>
            </w:r>
            <w:r>
              <w:rPr>
                <w:rFonts w:hint="eastAsia"/>
              </w:rPr>
              <w:t>×采暖建筑物的建筑面积9350m</w:t>
            </w:r>
            <w:r>
              <w:rPr>
                <w:rFonts w:hint="eastAsia"/>
                <w:vertAlign w:val="superscript"/>
              </w:rPr>
              <w:t>2</w:t>
            </w:r>
            <w:r>
              <w:rPr>
                <w:rFonts w:hint="eastAsia" w:asciiTheme="minorEastAsia" w:hAnsiTheme="minorEastAsia" w:eastAsiaTheme="minorEastAsia" w:cstheme="minorEastAsia"/>
                <w:lang w:val="en-US" w:eastAsia="zh-CN"/>
              </w:rPr>
              <w:t>×</w:t>
            </w:r>
            <w:r>
              <w:rPr>
                <w:rFonts w:hint="eastAsia"/>
              </w:rPr>
              <w:t>10</w:t>
            </w:r>
            <w:r>
              <w:rPr>
                <w:rFonts w:hint="eastAsia"/>
                <w:vertAlign w:val="superscript"/>
              </w:rPr>
              <w:t>-3</w:t>
            </w:r>
            <w:r>
              <w:rPr>
                <w:rFonts w:hint="eastAsia" w:asciiTheme="minorEastAsia" w:hAnsiTheme="minorEastAsia" w:eastAsiaTheme="minorEastAsia" w:cstheme="minorEastAsia"/>
                <w:lang w:val="en-US" w:eastAsia="zh-CN"/>
              </w:rPr>
              <w:t>×</w:t>
            </w:r>
            <w:r>
              <w:rPr>
                <w:rFonts w:hint="eastAsia"/>
                <w:lang w:val="en-US" w:eastAsia="zh-CN"/>
              </w:rPr>
              <w:t>[20-(-3.9)]</w:t>
            </w:r>
            <w:r>
              <w:rPr>
                <w:rFonts w:hint="eastAsia" w:ascii="宋体" w:hAnsi="宋体" w:eastAsia="宋体" w:cs="宋体"/>
                <w:lang w:val="en-US" w:eastAsia="zh-CN"/>
              </w:rPr>
              <w:t>÷</w:t>
            </w:r>
            <w:r>
              <w:rPr>
                <w:rFonts w:hint="eastAsia"/>
                <w:lang w:val="en-US" w:eastAsia="zh-CN"/>
              </w:rPr>
              <w:t>[20-(-16.6)]</w:t>
            </w:r>
            <w:r>
              <w:rPr>
                <w:rFonts w:hint="eastAsia"/>
              </w:rPr>
              <w:t>=5</w:t>
            </w:r>
            <w:r>
              <w:rPr>
                <w:rFonts w:hint="eastAsia"/>
                <w:lang w:val="en-US" w:eastAsia="zh-CN"/>
              </w:rPr>
              <w:t>728.91</w:t>
            </w:r>
            <w:r>
              <w:rPr>
                <w:rFonts w:hint="eastAsia"/>
              </w:rPr>
              <w:t>GJ。</w:t>
            </w:r>
          </w:p>
          <w:p>
            <w:pPr>
              <w:pStyle w:val="61"/>
              <w:numPr>
                <w:ilvl w:val="0"/>
                <w:numId w:val="36"/>
              </w:numPr>
            </w:pPr>
            <w:r>
              <w:rPr>
                <w:rFonts w:hint="eastAsia"/>
              </w:rPr>
              <w:t>根据《城镇供热管网设计标准》（CJJ/T34-2022）查找采暖热指标qh，按照办公建筑物类型选取采取的二步节能措施的50～70 W/m</w:t>
            </w:r>
            <w:r>
              <w:rPr>
                <w:rFonts w:hint="eastAsia"/>
                <w:vertAlign w:val="superscript"/>
              </w:rPr>
              <w:t>2</w:t>
            </w:r>
            <w:r>
              <w:rPr>
                <w:rFonts w:hint="eastAsia"/>
              </w:rPr>
              <w:t>的中间值60W/m</w:t>
            </w:r>
            <w:r>
              <w:rPr>
                <w:rFonts w:hint="eastAsia"/>
                <w:vertAlign w:val="superscript"/>
              </w:rPr>
              <w:t>2</w:t>
            </w:r>
            <w:r>
              <w:rPr>
                <w:rFonts w:hint="eastAsia"/>
              </w:rPr>
              <w:t>；通过查询</w:t>
            </w:r>
            <w:r>
              <w:t>《民用建筑供暖通风与空气调节设计规范》（GB50736-2012）</w:t>
            </w:r>
            <w:r>
              <w:rPr>
                <w:rFonts w:hint="eastAsia"/>
              </w:rPr>
              <w:t>包头市</w:t>
            </w:r>
            <w:r>
              <w:t>室内计算温度ti取值</w:t>
            </w:r>
            <w:r>
              <w:rPr>
                <w:rFonts w:hint="eastAsia"/>
                <w:lang w:val="en-US" w:eastAsia="zh-CN"/>
              </w:rPr>
              <w:t>20</w:t>
            </w:r>
            <w:r>
              <w:t>℃，采暖期室外平均温度Ta取值</w:t>
            </w:r>
            <w:r>
              <w:rPr>
                <w:rFonts w:hint="eastAsia"/>
              </w:rPr>
              <w:t>-</w:t>
            </w:r>
            <w:r>
              <w:rPr>
                <w:rFonts w:hint="eastAsia"/>
                <w:lang w:val="en-US" w:eastAsia="zh-CN"/>
              </w:rPr>
              <w:t>3.9</w:t>
            </w:r>
            <w:r>
              <w:t>℃，采暖期室外计算温度T</w:t>
            </w:r>
            <w:r>
              <w:rPr>
                <w:sz w:val="18"/>
                <w:vertAlign w:val="subscript"/>
              </w:rPr>
              <w:t>o.h</w:t>
            </w:r>
            <w:r>
              <w:t>取值</w:t>
            </w:r>
            <w:r>
              <w:rPr>
                <w:rFonts w:hint="eastAsia"/>
              </w:rPr>
              <w:t>-</w:t>
            </w:r>
            <w:r>
              <w:t>16.6℃。</w:t>
            </w:r>
          </w:p>
        </w:tc>
      </w:tr>
    </w:tbl>
    <w:p/>
    <w:p>
      <w:pPr>
        <w:pStyle w:val="99"/>
        <w:spacing w:before="156" w:after="156"/>
      </w:pPr>
      <w:r>
        <w:rPr>
          <w:rFonts w:hint="eastAsia"/>
        </w:rPr>
        <w:t>2022年度日常运营碳排放总量</w:t>
      </w:r>
    </w:p>
    <w:p>
      <w:pPr>
        <w:pStyle w:val="20"/>
      </w:pPr>
      <w:r>
        <w:rPr>
          <w:rFonts w:hint="eastAsia"/>
        </w:rPr>
        <w:t>包头市某机关事业单位碳排放总量计算示例如表C.4所示:</w:t>
      </w:r>
    </w:p>
    <w:p>
      <w:pPr>
        <w:pStyle w:val="83"/>
        <w:spacing w:before="156" w:after="156"/>
        <w:rPr>
          <w:rFonts w:ascii="宋体" w:hAnsi="宋体"/>
        </w:rPr>
      </w:pPr>
      <w:r>
        <w:rPr>
          <w:rFonts w:hint="eastAsia" w:ascii="宋体" w:hAnsi="宋体"/>
        </w:rPr>
        <w:t>某机关事业单位碳排放总量计算示例</w:t>
      </w:r>
    </w:p>
    <w:tbl>
      <w:tblPr>
        <w:tblStyle w:val="2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606"/>
        <w:gridCol w:w="59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06" w:type="dxa"/>
            <w:tcBorders>
              <w:bottom w:val="single" w:color="auto" w:sz="8" w:space="0"/>
              <w:tl2br w:val="nil"/>
              <w:tr2bl w:val="nil"/>
            </w:tcBorders>
            <w:vAlign w:val="center"/>
          </w:tcPr>
          <w:p>
            <w:pPr>
              <w:jc w:val="center"/>
              <w:rPr>
                <w:rFonts w:ascii="宋体" w:hAnsi="宋体" w:cs="宋体"/>
                <w:sz w:val="18"/>
                <w:szCs w:val="18"/>
              </w:rPr>
            </w:pPr>
            <w:r>
              <w:rPr>
                <w:rFonts w:hint="eastAsia" w:ascii="宋体" w:hAnsi="宋体" w:cs="宋体"/>
                <w:sz w:val="18"/>
                <w:szCs w:val="18"/>
              </w:rPr>
              <w:t>类型</w:t>
            </w:r>
          </w:p>
        </w:tc>
        <w:tc>
          <w:tcPr>
            <w:tcW w:w="5964" w:type="dxa"/>
            <w:tcBorders>
              <w:bottom w:val="single" w:color="auto" w:sz="8" w:space="0"/>
              <w:tl2br w:val="nil"/>
              <w:tr2bl w:val="nil"/>
            </w:tcBorders>
            <w:vAlign w:val="center"/>
          </w:tcPr>
          <w:p>
            <w:pPr>
              <w:jc w:val="center"/>
              <w:rPr>
                <w:rFonts w:ascii="宋体" w:hAnsi="宋体" w:cs="宋体"/>
                <w:sz w:val="18"/>
                <w:szCs w:val="18"/>
              </w:rPr>
            </w:pPr>
            <w:r>
              <w:rPr>
                <w:rFonts w:hint="eastAsia" w:ascii="宋体" w:hAnsi="宋体" w:cs="宋体"/>
                <w:sz w:val="18"/>
                <w:szCs w:val="18"/>
              </w:rPr>
              <w:t>排放量数值（tCO</w:t>
            </w:r>
            <w:r>
              <w:rPr>
                <w:rFonts w:hint="eastAsia" w:ascii="宋体" w:hAnsi="宋体" w:cs="宋体"/>
                <w:sz w:val="18"/>
                <w:szCs w:val="18"/>
                <w:vertAlign w:val="subscript"/>
              </w:rPr>
              <w:t>2</w:t>
            </w:r>
            <w:r>
              <w:rPr>
                <w:rFonts w:hint="eastAsia" w:ascii="宋体" w:hAnsi="宋体" w:cs="宋体"/>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3606" w:type="dxa"/>
            <w:tcBorders>
              <w:top w:val="single" w:color="auto" w:sz="8" w:space="0"/>
              <w:tl2br w:val="nil"/>
              <w:tr2bl w:val="nil"/>
            </w:tcBorders>
            <w:vAlign w:val="center"/>
          </w:tcPr>
          <w:p>
            <w:pPr>
              <w:jc w:val="left"/>
              <w:rPr>
                <w:rFonts w:ascii="宋体" w:hAnsi="宋体" w:cs="宋体"/>
                <w:sz w:val="18"/>
                <w:szCs w:val="18"/>
              </w:rPr>
            </w:pPr>
            <w:r>
              <w:rPr>
                <w:rFonts w:hint="eastAsia" w:ascii="宋体" w:hAnsi="宋体" w:cs="宋体"/>
                <w:sz w:val="18"/>
                <w:szCs w:val="18"/>
              </w:rPr>
              <w:t>2022年度化石燃料燃烧产生的碳排放量</w:t>
            </w:r>
          </w:p>
        </w:tc>
        <w:tc>
          <w:tcPr>
            <w:tcW w:w="5964" w:type="dxa"/>
            <w:tcBorders>
              <w:top w:val="single" w:color="auto" w:sz="8" w:space="0"/>
              <w:tl2br w:val="nil"/>
              <w:tr2bl w:val="nil"/>
            </w:tcBorders>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rPr>
              <w:t>60.</w:t>
            </w:r>
            <w:r>
              <w:rPr>
                <w:rFonts w:hint="eastAsia" w:ascii="宋体" w:hAnsi="宋体" w:cs="宋体"/>
                <w:sz w:val="18"/>
                <w:szCs w:val="18"/>
                <w:lang w:val="en-US" w:eastAsia="zh-CN"/>
              </w:rPr>
              <w:t>31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06" w:type="dxa"/>
            <w:tcBorders>
              <w:tl2br w:val="nil"/>
              <w:tr2bl w:val="nil"/>
            </w:tcBorders>
            <w:vAlign w:val="center"/>
          </w:tcPr>
          <w:p>
            <w:pPr>
              <w:jc w:val="left"/>
              <w:rPr>
                <w:rFonts w:ascii="宋体" w:hAnsi="宋体" w:cs="宋体"/>
                <w:sz w:val="18"/>
                <w:szCs w:val="18"/>
              </w:rPr>
            </w:pPr>
            <w:r>
              <w:rPr>
                <w:rFonts w:hint="eastAsia" w:ascii="宋体" w:hAnsi="宋体" w:cs="宋体"/>
                <w:sz w:val="18"/>
                <w:szCs w:val="18"/>
              </w:rPr>
              <w:t>2022年度外购电产生的碳排放量</w:t>
            </w:r>
          </w:p>
        </w:tc>
        <w:tc>
          <w:tcPr>
            <w:tcW w:w="596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172.08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06" w:type="dxa"/>
            <w:tcBorders>
              <w:tl2br w:val="nil"/>
              <w:tr2bl w:val="nil"/>
            </w:tcBorders>
            <w:vAlign w:val="center"/>
          </w:tcPr>
          <w:p>
            <w:pPr>
              <w:jc w:val="left"/>
              <w:rPr>
                <w:rFonts w:ascii="宋体" w:hAnsi="宋体" w:cs="宋体"/>
                <w:sz w:val="18"/>
                <w:szCs w:val="18"/>
              </w:rPr>
            </w:pPr>
            <w:r>
              <w:rPr>
                <w:rFonts w:hint="eastAsia" w:ascii="宋体" w:hAnsi="宋体" w:cs="宋体"/>
                <w:sz w:val="18"/>
                <w:szCs w:val="18"/>
              </w:rPr>
              <w:t>2022年度外购热产生的碳排放量</w:t>
            </w:r>
          </w:p>
        </w:tc>
        <w:tc>
          <w:tcPr>
            <w:tcW w:w="5964" w:type="dxa"/>
            <w:tcBorders>
              <w:tl2br w:val="nil"/>
              <w:tr2bl w:val="nil"/>
            </w:tcBorders>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rPr>
              <w:t>6</w:t>
            </w:r>
            <w:r>
              <w:rPr>
                <w:rFonts w:hint="eastAsia" w:ascii="宋体" w:hAnsi="宋体" w:cs="宋体"/>
                <w:sz w:val="18"/>
                <w:szCs w:val="18"/>
                <w:lang w:val="en-US" w:eastAsia="zh-CN"/>
              </w:rPr>
              <w:t>30.18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06" w:type="dxa"/>
            <w:tcBorders>
              <w:bottom w:val="single" w:color="auto" w:sz="8" w:space="0"/>
              <w:tl2br w:val="nil"/>
              <w:tr2bl w:val="nil"/>
            </w:tcBorders>
            <w:vAlign w:val="center"/>
          </w:tcPr>
          <w:p>
            <w:pPr>
              <w:jc w:val="left"/>
              <w:rPr>
                <w:rFonts w:ascii="宋体" w:hAnsi="宋体" w:cs="宋体"/>
                <w:sz w:val="18"/>
                <w:szCs w:val="18"/>
              </w:rPr>
            </w:pPr>
            <w:r>
              <w:rPr>
                <w:rFonts w:hint="eastAsia" w:ascii="宋体" w:hAnsi="宋体" w:cs="宋体"/>
                <w:sz w:val="18"/>
                <w:szCs w:val="18"/>
              </w:rPr>
              <w:t>2022年度日常运营产生的总碳排放量</w:t>
            </w:r>
          </w:p>
        </w:tc>
        <w:tc>
          <w:tcPr>
            <w:tcW w:w="5964" w:type="dxa"/>
            <w:tcBorders>
              <w:bottom w:val="single" w:color="auto" w:sz="8" w:space="0"/>
              <w:tl2br w:val="nil"/>
              <w:tr2bl w:val="nil"/>
            </w:tcBorders>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rPr>
              <w:t>8</w:t>
            </w:r>
            <w:r>
              <w:rPr>
                <w:rFonts w:hint="eastAsia" w:ascii="宋体" w:hAnsi="宋体" w:cs="宋体"/>
                <w:sz w:val="18"/>
                <w:szCs w:val="18"/>
                <w:lang w:val="en-US" w:eastAsia="zh-CN"/>
              </w:rPr>
              <w:t>63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70" w:type="dxa"/>
            <w:gridSpan w:val="2"/>
            <w:tcBorders>
              <w:top w:val="single" w:color="auto" w:sz="8" w:space="0"/>
              <w:tl2br w:val="nil"/>
              <w:tr2bl w:val="nil"/>
            </w:tcBorders>
            <w:vAlign w:val="center"/>
          </w:tcPr>
          <w:p>
            <w:pPr>
              <w:pStyle w:val="61"/>
              <w:numPr>
                <w:ilvl w:val="0"/>
                <w:numId w:val="37"/>
              </w:numPr>
            </w:pPr>
            <w:r>
              <w:rPr>
                <w:rFonts w:hint="eastAsia"/>
              </w:rPr>
              <w:t>某机关事业单位2022年度日常运营产生的总碳排放量=2022年度化石燃料燃烧产生的碳排放量+2022年度外购电产生的碳排放量+2022年度外购热产生的碳排放量。</w:t>
            </w:r>
          </w:p>
        </w:tc>
      </w:tr>
    </w:tbl>
    <w:p>
      <w:pPr>
        <w:pStyle w:val="20"/>
      </w:pPr>
    </w:p>
    <w:p>
      <w:pPr>
        <w:pStyle w:val="98"/>
        <w:spacing w:before="312" w:after="312"/>
      </w:pPr>
      <w:r>
        <w:rPr>
          <w:rFonts w:hint="eastAsia"/>
        </w:rPr>
        <w:t>某机关事业单位日常运营碳中和自我承诺示例</w:t>
      </w:r>
    </w:p>
    <w:p>
      <w:pPr>
        <w:pStyle w:val="20"/>
      </w:pPr>
      <w:r>
        <w:rPr>
          <w:rFonts w:hint="eastAsia"/>
        </w:rPr>
        <w:t>某机关事业单位2022年度日常运营产生的总碳排放量为856.9961tCO</w:t>
      </w:r>
      <w:r>
        <w:rPr>
          <w:rFonts w:hint="eastAsia"/>
          <w:vertAlign w:val="subscript"/>
        </w:rPr>
        <w:t>2</w:t>
      </w:r>
      <w:r>
        <w:rPr>
          <w:rFonts w:hint="eastAsia"/>
        </w:rPr>
        <w:t>，通过</w:t>
      </w:r>
      <w:r>
        <w:t>购买碳汇类</w:t>
      </w:r>
      <w:r>
        <w:rPr>
          <w:rFonts w:hint="eastAsia"/>
        </w:rPr>
        <w:t>碳信用和包头林草碳票共同进行抵消实现2022年日常运营碳中和，并在某机关事业单位官方网站进行自我承诺。</w:t>
      </w:r>
    </w:p>
    <w:p>
      <w:pPr>
        <w:pStyle w:val="20"/>
      </w:pPr>
      <w:r>
        <w:rPr>
          <w:rFonts w:hint="eastAsia"/>
        </w:rPr>
        <w:t>自我承诺</w:t>
      </w:r>
      <w:r>
        <w:rPr>
          <w:rFonts w:hint="eastAsia"/>
          <w:lang w:val="en-US" w:eastAsia="zh-CN"/>
        </w:rPr>
        <w:t>书</w:t>
      </w:r>
      <w:r>
        <w:rPr>
          <w:rFonts w:hint="eastAsia"/>
        </w:rPr>
        <w:t>如表C.5所示:</w:t>
      </w:r>
    </w:p>
    <w:p>
      <w:pPr>
        <w:pStyle w:val="83"/>
        <w:spacing w:before="156" w:after="156"/>
      </w:pPr>
      <w:r>
        <w:rPr>
          <w:rFonts w:hint="eastAsia"/>
        </w:rPr>
        <w:t>某机关事业单位日常运营碳中和自我承诺</w:t>
      </w:r>
      <w:r>
        <w:rPr>
          <w:rFonts w:hint="eastAsia"/>
          <w:lang w:val="en-US" w:eastAsia="zh-CN"/>
        </w:rPr>
        <w:t>书</w:t>
      </w:r>
      <w:r>
        <w:rPr>
          <w:rFonts w:hint="eastAsia"/>
        </w:rPr>
        <w:t>示例</w:t>
      </w:r>
    </w:p>
    <w:tbl>
      <w:tblPr>
        <w:tblStyle w:val="2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63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227" w:type="dxa"/>
            <w:tcBorders>
              <w:top w:val="single" w:color="auto" w:sz="8" w:space="0"/>
              <w:bottom w:val="single" w:color="auto" w:sz="8" w:space="0"/>
            </w:tcBorders>
            <w:noWrap/>
          </w:tcPr>
          <w:p>
            <w:pPr>
              <w:jc w:val="center"/>
              <w:rPr>
                <w:rFonts w:ascii="宋体"/>
                <w:sz w:val="18"/>
                <w:szCs w:val="18"/>
              </w:rPr>
            </w:pPr>
            <w:r>
              <w:rPr>
                <w:rFonts w:hint="eastAsia" w:ascii="宋体"/>
                <w:sz w:val="18"/>
                <w:szCs w:val="18"/>
              </w:rPr>
              <w:t>项目</w:t>
            </w:r>
          </w:p>
        </w:tc>
        <w:tc>
          <w:tcPr>
            <w:tcW w:w="6343" w:type="dxa"/>
            <w:tcBorders>
              <w:top w:val="single" w:color="auto" w:sz="8" w:space="0"/>
              <w:bottom w:val="single" w:color="auto" w:sz="8" w:space="0"/>
            </w:tcBorders>
            <w:noWrap/>
          </w:tcPr>
          <w:p>
            <w:pPr>
              <w:jc w:val="center"/>
              <w:rPr>
                <w:rFonts w:ascii="宋体"/>
                <w:sz w:val="18"/>
                <w:szCs w:val="18"/>
              </w:rPr>
            </w:pPr>
            <w:r>
              <w:rPr>
                <w:rFonts w:hint="eastAsia" w:ascii="宋体"/>
                <w:sz w:val="18"/>
                <w:szCs w:val="18"/>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227" w:type="dxa"/>
            <w:tcBorders>
              <w:top w:val="single" w:color="auto" w:sz="8" w:space="0"/>
            </w:tcBorders>
            <w:noWrap/>
          </w:tcPr>
          <w:p>
            <w:pPr>
              <w:pStyle w:val="20"/>
              <w:ind w:firstLine="0" w:firstLineChars="0"/>
              <w:rPr>
                <w:sz w:val="18"/>
                <w:szCs w:val="18"/>
              </w:rPr>
            </w:pPr>
            <w:r>
              <w:rPr>
                <w:rFonts w:hint="eastAsia"/>
                <w:sz w:val="18"/>
                <w:szCs w:val="18"/>
              </w:rPr>
              <w:t>机关事业单位</w:t>
            </w:r>
            <w:r>
              <w:rPr>
                <w:sz w:val="18"/>
                <w:szCs w:val="18"/>
              </w:rPr>
              <w:t>基本信息</w:t>
            </w:r>
          </w:p>
        </w:tc>
        <w:tc>
          <w:tcPr>
            <w:tcW w:w="6343" w:type="dxa"/>
            <w:tcBorders>
              <w:top w:val="single" w:color="auto" w:sz="8" w:space="0"/>
            </w:tcBorders>
            <w:noWrap/>
          </w:tcPr>
          <w:p>
            <w:pPr>
              <w:jc w:val="left"/>
              <w:rPr>
                <w:rFonts w:ascii="宋体"/>
                <w:sz w:val="18"/>
                <w:szCs w:val="18"/>
              </w:rPr>
            </w:pPr>
            <w:r>
              <w:rPr>
                <w:rFonts w:hint="eastAsia" w:ascii="宋体"/>
                <w:sz w:val="18"/>
                <w:szCs w:val="18"/>
              </w:rPr>
              <w:t>某机关事业单位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227" w:type="dxa"/>
            <w:noWrap/>
          </w:tcPr>
          <w:p>
            <w:pPr>
              <w:pStyle w:val="20"/>
              <w:ind w:firstLine="0" w:firstLineChars="0"/>
              <w:rPr>
                <w:sz w:val="18"/>
                <w:szCs w:val="18"/>
              </w:rPr>
            </w:pPr>
            <w:r>
              <w:rPr>
                <w:rFonts w:hint="eastAsia"/>
                <w:sz w:val="18"/>
                <w:szCs w:val="18"/>
              </w:rPr>
              <w:t>机关事业单位</w:t>
            </w:r>
            <w:r>
              <w:rPr>
                <w:sz w:val="18"/>
                <w:szCs w:val="18"/>
              </w:rPr>
              <w:t>温室气体核算边界</w:t>
            </w:r>
          </w:p>
        </w:tc>
        <w:tc>
          <w:tcPr>
            <w:tcW w:w="6343" w:type="dxa"/>
            <w:noWrap/>
          </w:tcPr>
          <w:p>
            <w:pPr>
              <w:jc w:val="left"/>
              <w:rPr>
                <w:rFonts w:ascii="宋体"/>
                <w:sz w:val="18"/>
                <w:szCs w:val="18"/>
              </w:rPr>
            </w:pPr>
            <w:r>
              <w:rPr>
                <w:rFonts w:hint="eastAsia" w:ascii="宋体"/>
                <w:sz w:val="18"/>
                <w:szCs w:val="18"/>
              </w:rPr>
              <w:t>位于某省某市某区某路某号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227" w:type="dxa"/>
            <w:noWrap/>
          </w:tcPr>
          <w:p>
            <w:pPr>
              <w:pStyle w:val="20"/>
              <w:ind w:firstLine="0" w:firstLineChars="0"/>
              <w:rPr>
                <w:sz w:val="18"/>
                <w:szCs w:val="18"/>
              </w:rPr>
            </w:pPr>
            <w:r>
              <w:rPr>
                <w:rFonts w:hint="eastAsia"/>
                <w:sz w:val="18"/>
                <w:szCs w:val="18"/>
              </w:rPr>
              <w:t>机关事业单位</w:t>
            </w:r>
            <w:r>
              <w:rPr>
                <w:sz w:val="18"/>
                <w:szCs w:val="18"/>
              </w:rPr>
              <w:t>温室气体</w:t>
            </w:r>
            <w:r>
              <w:rPr>
                <w:rFonts w:hint="eastAsia"/>
                <w:sz w:val="18"/>
                <w:szCs w:val="18"/>
              </w:rPr>
              <w:t>核算方法</w:t>
            </w:r>
          </w:p>
        </w:tc>
        <w:tc>
          <w:tcPr>
            <w:tcW w:w="6343" w:type="dxa"/>
            <w:noWrap/>
          </w:tcPr>
          <w:p>
            <w:pPr>
              <w:jc w:val="left"/>
              <w:rPr>
                <w:rFonts w:ascii="宋体"/>
                <w:sz w:val="18"/>
                <w:szCs w:val="18"/>
              </w:rPr>
            </w:pPr>
            <w:r>
              <w:rPr>
                <w:rFonts w:hint="eastAsia" w:ascii="宋体"/>
                <w:sz w:val="18"/>
                <w:szCs w:val="18"/>
              </w:rPr>
              <w:t>采用《公共建筑运营企业</w:t>
            </w:r>
            <w:r>
              <w:rPr>
                <w:rFonts w:ascii="宋体"/>
                <w:sz w:val="18"/>
                <w:szCs w:val="18"/>
              </w:rPr>
              <w:t>温室气体排放核算方法与报告指南</w:t>
            </w:r>
            <w:r>
              <w:rPr>
                <w:rFonts w:hint="eastAsia" w:ascii="宋体"/>
                <w:sz w:val="18"/>
                <w:szCs w:val="18"/>
              </w:rPr>
              <w:t>（试行）》核算方法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227" w:type="dxa"/>
            <w:noWrap/>
          </w:tcPr>
          <w:p>
            <w:pPr>
              <w:pStyle w:val="20"/>
              <w:ind w:firstLine="0" w:firstLineChars="0"/>
              <w:rPr>
                <w:sz w:val="18"/>
                <w:szCs w:val="18"/>
              </w:rPr>
            </w:pPr>
            <w:r>
              <w:rPr>
                <w:rFonts w:hint="eastAsia"/>
                <w:sz w:val="18"/>
                <w:szCs w:val="18"/>
              </w:rPr>
              <w:t>温室气体排放量</w:t>
            </w:r>
          </w:p>
        </w:tc>
        <w:tc>
          <w:tcPr>
            <w:tcW w:w="6343" w:type="dxa"/>
            <w:noWrap/>
          </w:tcPr>
          <w:p>
            <w:pPr>
              <w:jc w:val="left"/>
              <w:rPr>
                <w:rFonts w:ascii="宋体"/>
                <w:sz w:val="18"/>
                <w:szCs w:val="18"/>
              </w:rPr>
            </w:pPr>
            <w:r>
              <w:rPr>
                <w:rFonts w:hint="eastAsia" w:ascii="宋体"/>
                <w:sz w:val="18"/>
                <w:szCs w:val="18"/>
              </w:rPr>
              <w:t>8</w:t>
            </w:r>
            <w:r>
              <w:rPr>
                <w:rFonts w:hint="eastAsia" w:asciiTheme="minorEastAsia" w:hAnsiTheme="minorEastAsia" w:eastAsiaTheme="minorEastAsia" w:cstheme="minorEastAsia"/>
                <w:sz w:val="18"/>
                <w:szCs w:val="18"/>
                <w:lang w:val="en-US" w:eastAsia="zh-CN"/>
              </w:rPr>
              <w:t>63</w:t>
            </w:r>
            <w:r>
              <w:rPr>
                <w:rFonts w:hint="eastAsia" w:asciiTheme="minorEastAsia" w:hAnsiTheme="minorEastAsia" w:eastAsiaTheme="minorEastAsia" w:cstheme="minorEastAsia"/>
                <w:sz w:val="18"/>
                <w:szCs w:val="18"/>
              </w:rPr>
              <w:t xml:space="preserve"> tCO</w:t>
            </w:r>
            <w:r>
              <w:rPr>
                <w:rFonts w:hint="eastAsia" w:asciiTheme="minorEastAsia" w:hAnsiTheme="minorEastAsia" w:eastAsiaTheme="minorEastAsia" w:cstheme="minorEastAsia"/>
                <w:sz w:val="18"/>
                <w:szCs w:val="18"/>
                <w:vertAlign w:val="subscript"/>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227" w:type="dxa"/>
            <w:noWrap/>
          </w:tcPr>
          <w:p>
            <w:pPr>
              <w:pStyle w:val="20"/>
              <w:ind w:firstLine="0" w:firstLineChars="0"/>
              <w:jc w:val="left"/>
              <w:rPr>
                <w:sz w:val="18"/>
                <w:szCs w:val="18"/>
              </w:rPr>
            </w:pPr>
            <w:r>
              <w:rPr>
                <w:sz w:val="18"/>
                <w:szCs w:val="18"/>
              </w:rPr>
              <w:t>碳中和覆盖的时间段（年份）</w:t>
            </w:r>
          </w:p>
        </w:tc>
        <w:tc>
          <w:tcPr>
            <w:tcW w:w="6343" w:type="dxa"/>
            <w:noWrap/>
          </w:tcPr>
          <w:p>
            <w:pPr>
              <w:jc w:val="left"/>
              <w:rPr>
                <w:rFonts w:ascii="宋体"/>
                <w:sz w:val="18"/>
                <w:szCs w:val="18"/>
              </w:rPr>
            </w:pPr>
            <w:r>
              <w:rPr>
                <w:rFonts w:hint="eastAsia" w:ascii="宋体"/>
                <w:sz w:val="18"/>
                <w:szCs w:val="18"/>
              </w:rPr>
              <w:t>2022年1月1日-2022年12月31日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227" w:type="dxa"/>
            <w:noWrap/>
          </w:tcPr>
          <w:p>
            <w:pPr>
              <w:pStyle w:val="20"/>
              <w:ind w:firstLine="0" w:firstLineChars="0"/>
              <w:jc w:val="left"/>
              <w:rPr>
                <w:sz w:val="18"/>
                <w:szCs w:val="18"/>
              </w:rPr>
            </w:pPr>
            <w:r>
              <w:rPr>
                <w:rFonts w:hint="eastAsia"/>
                <w:sz w:val="18"/>
                <w:szCs w:val="18"/>
              </w:rPr>
              <w:t>实践的控排降碳措施</w:t>
            </w:r>
          </w:p>
        </w:tc>
        <w:tc>
          <w:tcPr>
            <w:tcW w:w="6343" w:type="dxa"/>
            <w:noWrap/>
          </w:tcPr>
          <w:p>
            <w:pPr>
              <w:pStyle w:val="20"/>
              <w:ind w:firstLine="180" w:firstLineChars="100"/>
              <w:rPr>
                <w:rFonts w:hint="eastAsia" w:eastAsia="宋体"/>
                <w:sz w:val="18"/>
                <w:szCs w:val="18"/>
                <w:lang w:eastAsia="zh-CN"/>
              </w:rPr>
            </w:pPr>
            <w:r>
              <w:rPr>
                <w:rFonts w:hint="eastAsia"/>
                <w:sz w:val="18"/>
                <w:szCs w:val="18"/>
              </w:rPr>
              <w:t>在绿色办公上应用办公OA实现日常办公无纸化、文件材料双面打印</w:t>
            </w:r>
            <w:r>
              <w:rPr>
                <w:rFonts w:hint="eastAsia"/>
                <w:sz w:val="18"/>
                <w:szCs w:val="18"/>
                <w:lang w:eastAsia="zh-CN"/>
              </w:rPr>
              <w:t>；</w:t>
            </w:r>
          </w:p>
          <w:p>
            <w:pPr>
              <w:pStyle w:val="20"/>
              <w:ind w:firstLine="180" w:firstLineChars="100"/>
              <w:rPr>
                <w:sz w:val="18"/>
                <w:szCs w:val="18"/>
              </w:rPr>
            </w:pPr>
            <w:r>
              <w:rPr>
                <w:rFonts w:hint="eastAsia"/>
                <w:sz w:val="18"/>
                <w:szCs w:val="18"/>
              </w:rPr>
              <w:t>在绿色出行上公车采用新能源车辆、员工60%上下班采用步行或公共交通出行</w:t>
            </w:r>
          </w:p>
          <w:p>
            <w:pPr>
              <w:pStyle w:val="20"/>
              <w:ind w:firstLine="180" w:firstLineChars="100"/>
              <w:rPr>
                <w:rFonts w:hint="eastAsia" w:eastAsia="宋体"/>
                <w:sz w:val="18"/>
                <w:szCs w:val="18"/>
                <w:lang w:eastAsia="zh-CN"/>
              </w:rPr>
            </w:pPr>
            <w:r>
              <w:rPr>
                <w:rFonts w:hint="eastAsia"/>
                <w:sz w:val="18"/>
                <w:szCs w:val="18"/>
              </w:rPr>
              <w:t>在绿色会务上2022年度在线会议举办35场、办公场所设置垃圾分类、办公场所实现无一次性物品、会务酒店实现不主动提供一次性用品和倡议自带水杯和笔记本</w:t>
            </w:r>
            <w:r>
              <w:rPr>
                <w:rFonts w:hint="eastAsia"/>
                <w:sz w:val="18"/>
                <w:szCs w:val="18"/>
                <w:lang w:eastAsia="zh-CN"/>
              </w:rPr>
              <w:t>；</w:t>
            </w:r>
          </w:p>
          <w:p>
            <w:pPr>
              <w:pStyle w:val="20"/>
              <w:ind w:firstLine="180" w:firstLineChars="100"/>
              <w:rPr>
                <w:rFonts w:hint="eastAsia" w:eastAsia="宋体"/>
                <w:sz w:val="18"/>
                <w:szCs w:val="18"/>
                <w:lang w:eastAsia="zh-CN"/>
              </w:rPr>
            </w:pPr>
            <w:r>
              <w:rPr>
                <w:rFonts w:hint="eastAsia"/>
                <w:sz w:val="18"/>
                <w:szCs w:val="18"/>
              </w:rPr>
              <w:t>在建筑节能上办公场所2022年度安装完毕分布式光伏，实现绿电直供3000kWh</w:t>
            </w:r>
            <w:r>
              <w:rPr>
                <w:rFonts w:hint="eastAsia"/>
                <w:sz w:val="18"/>
                <w:szCs w:val="18"/>
                <w:lang w:eastAsia="zh-CN"/>
              </w:rPr>
              <w:t>；</w:t>
            </w:r>
          </w:p>
          <w:p>
            <w:pPr>
              <w:pStyle w:val="20"/>
              <w:ind w:firstLine="180" w:firstLineChars="100"/>
              <w:rPr>
                <w:rFonts w:hint="eastAsia" w:eastAsia="宋体"/>
                <w:szCs w:val="18"/>
                <w:lang w:eastAsia="zh-CN"/>
              </w:rPr>
            </w:pPr>
            <w:r>
              <w:rPr>
                <w:rFonts w:hint="eastAsia"/>
                <w:sz w:val="18"/>
                <w:szCs w:val="18"/>
              </w:rPr>
              <w:t>在其他绿色低碳节能行为上实现办公缴费电子支付</w:t>
            </w:r>
            <w:r>
              <w:rPr>
                <w:rFonts w:hint="eastAsia"/>
                <w:sz w:val="18"/>
                <w:szCs w:val="18"/>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227" w:type="dxa"/>
            <w:noWrap/>
          </w:tcPr>
          <w:p>
            <w:pPr>
              <w:pStyle w:val="20"/>
              <w:ind w:firstLine="0" w:firstLineChars="0"/>
              <w:jc w:val="left"/>
              <w:rPr>
                <w:sz w:val="18"/>
                <w:szCs w:val="18"/>
              </w:rPr>
            </w:pPr>
            <w:r>
              <w:rPr>
                <w:rFonts w:hint="eastAsia"/>
                <w:sz w:val="18"/>
                <w:szCs w:val="18"/>
              </w:rPr>
              <w:t>碳中和</w:t>
            </w:r>
            <w:r>
              <w:rPr>
                <w:sz w:val="18"/>
                <w:szCs w:val="18"/>
              </w:rPr>
              <w:t>方式</w:t>
            </w:r>
          </w:p>
        </w:tc>
        <w:tc>
          <w:tcPr>
            <w:tcW w:w="6343" w:type="dxa"/>
            <w:noWrap/>
          </w:tcPr>
          <w:p>
            <w:pPr>
              <w:jc w:val="left"/>
              <w:rPr>
                <w:rFonts w:ascii="宋体"/>
                <w:sz w:val="18"/>
                <w:szCs w:val="18"/>
              </w:rPr>
            </w:pPr>
            <w:r>
              <w:rPr>
                <w:rFonts w:ascii="宋体"/>
                <w:sz w:val="18"/>
                <w:szCs w:val="18"/>
              </w:rPr>
              <w:t>购买</w:t>
            </w:r>
            <w:r>
              <w:rPr>
                <w:rFonts w:hint="eastAsia" w:ascii="宋体"/>
                <w:sz w:val="18"/>
                <w:szCs w:val="18"/>
              </w:rPr>
              <w:t>包头林草碳票</w:t>
            </w:r>
            <w:r>
              <w:rPr>
                <w:rFonts w:hint="eastAsia" w:ascii="宋体"/>
                <w:sz w:val="18"/>
                <w:szCs w:val="18"/>
                <w:lang w:val="en-US" w:eastAsia="zh-CN"/>
              </w:rPr>
              <w:t>和</w:t>
            </w:r>
            <w:r>
              <w:rPr>
                <w:rFonts w:ascii="宋体"/>
                <w:sz w:val="18"/>
                <w:szCs w:val="18"/>
              </w:rPr>
              <w:t>碳汇类</w:t>
            </w:r>
            <w:r>
              <w:rPr>
                <w:rFonts w:hint="eastAsia" w:ascii="宋体"/>
                <w:sz w:val="18"/>
                <w:szCs w:val="18"/>
                <w:lang w:val="en-US" w:eastAsia="zh-CN"/>
              </w:rPr>
              <w:t>CCER</w:t>
            </w:r>
            <w:r>
              <w:rPr>
                <w:rFonts w:hint="eastAsia" w:ascii="宋体"/>
                <w:sz w:val="18"/>
                <w:szCs w:val="18"/>
              </w:rPr>
              <w:t>共同抵消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227" w:type="dxa"/>
            <w:tcBorders>
              <w:bottom w:val="single" w:color="auto" w:sz="4" w:space="0"/>
            </w:tcBorders>
            <w:noWrap/>
          </w:tcPr>
          <w:p>
            <w:pPr>
              <w:pStyle w:val="20"/>
              <w:ind w:firstLine="0" w:firstLineChars="0"/>
              <w:jc w:val="left"/>
              <w:rPr>
                <w:sz w:val="18"/>
                <w:szCs w:val="18"/>
              </w:rPr>
            </w:pPr>
            <w:r>
              <w:rPr>
                <w:rFonts w:hint="eastAsia"/>
                <w:sz w:val="18"/>
                <w:szCs w:val="18"/>
              </w:rPr>
              <w:t>碳中和抵消</w:t>
            </w:r>
            <w:r>
              <w:rPr>
                <w:sz w:val="18"/>
                <w:szCs w:val="18"/>
              </w:rPr>
              <w:t>量</w:t>
            </w:r>
          </w:p>
        </w:tc>
        <w:tc>
          <w:tcPr>
            <w:tcW w:w="6343" w:type="dxa"/>
            <w:tcBorders>
              <w:bottom w:val="single" w:color="auto" w:sz="4" w:space="0"/>
            </w:tcBorders>
            <w:noWrap/>
          </w:tcPr>
          <w:p>
            <w:pPr>
              <w:jc w:val="left"/>
              <w:rPr>
                <w:rFonts w:ascii="宋体"/>
                <w:sz w:val="18"/>
                <w:szCs w:val="18"/>
              </w:rPr>
            </w:pPr>
            <w:r>
              <w:rPr>
                <w:rFonts w:hint="eastAsia" w:ascii="宋体"/>
                <w:sz w:val="18"/>
                <w:szCs w:val="18"/>
              </w:rPr>
              <w:t>购买某某项目4</w:t>
            </w:r>
            <w:r>
              <w:rPr>
                <w:rFonts w:hint="eastAsia" w:ascii="宋体"/>
                <w:sz w:val="18"/>
                <w:szCs w:val="18"/>
                <w:lang w:val="en-US" w:eastAsia="zh-CN"/>
              </w:rPr>
              <w:t>63</w:t>
            </w:r>
            <w:r>
              <w:rPr>
                <w:rFonts w:hint="eastAsia" w:ascii="宋体"/>
                <w:sz w:val="18"/>
                <w:szCs w:val="18"/>
              </w:rPr>
              <w:t>t包头林草碳票</w:t>
            </w:r>
            <w:r>
              <w:rPr>
                <w:rFonts w:hint="eastAsia" w:ascii="宋体"/>
                <w:sz w:val="18"/>
                <w:szCs w:val="18"/>
                <w:lang w:val="en-US" w:eastAsia="zh-CN"/>
              </w:rPr>
              <w:t>和</w:t>
            </w:r>
            <w:r>
              <w:rPr>
                <w:rFonts w:ascii="宋体"/>
                <w:sz w:val="18"/>
                <w:szCs w:val="18"/>
              </w:rPr>
              <w:t>购买某某</w:t>
            </w:r>
            <w:r>
              <w:rPr>
                <w:rFonts w:hint="eastAsia" w:ascii="宋体"/>
                <w:sz w:val="18"/>
                <w:szCs w:val="18"/>
                <w:lang w:val="en-US" w:eastAsia="zh-CN"/>
              </w:rPr>
              <w:t>碳汇类CCER</w:t>
            </w:r>
            <w:r>
              <w:rPr>
                <w:rFonts w:ascii="宋体"/>
                <w:sz w:val="18"/>
                <w:szCs w:val="18"/>
              </w:rPr>
              <w:t>项目</w:t>
            </w:r>
            <w:r>
              <w:rPr>
                <w:rFonts w:hint="eastAsia" w:ascii="宋体"/>
                <w:sz w:val="18"/>
                <w:szCs w:val="18"/>
              </w:rPr>
              <w:t>4</w:t>
            </w:r>
            <w:r>
              <w:rPr>
                <w:rFonts w:hint="eastAsia" w:ascii="宋体"/>
                <w:sz w:val="18"/>
                <w:szCs w:val="18"/>
                <w:lang w:val="en-US" w:eastAsia="zh-CN"/>
              </w:rPr>
              <w:t>00</w:t>
            </w:r>
            <w:r>
              <w:rPr>
                <w:rFonts w:hint="eastAsia" w:ascii="宋体"/>
                <w:sz w:val="18"/>
                <w:szCs w:val="18"/>
              </w:rPr>
              <w:t>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227" w:type="dxa"/>
            <w:tcBorders>
              <w:top w:val="single" w:color="auto" w:sz="4" w:space="0"/>
              <w:bottom w:val="single" w:color="auto" w:sz="8" w:space="0"/>
            </w:tcBorders>
            <w:noWrap/>
          </w:tcPr>
          <w:p>
            <w:pPr>
              <w:pStyle w:val="20"/>
              <w:ind w:firstLine="0" w:firstLineChars="0"/>
              <w:jc w:val="left"/>
              <w:rPr>
                <w:sz w:val="18"/>
                <w:szCs w:val="18"/>
              </w:rPr>
            </w:pPr>
            <w:r>
              <w:rPr>
                <w:rFonts w:hint="eastAsia"/>
                <w:sz w:val="18"/>
                <w:szCs w:val="18"/>
              </w:rPr>
              <w:t>碳中和结论</w:t>
            </w:r>
          </w:p>
        </w:tc>
        <w:tc>
          <w:tcPr>
            <w:tcW w:w="6343" w:type="dxa"/>
            <w:tcBorders>
              <w:top w:val="single" w:color="auto" w:sz="4" w:space="0"/>
              <w:bottom w:val="single" w:color="auto" w:sz="8" w:space="0"/>
            </w:tcBorders>
            <w:noWrap/>
          </w:tcPr>
          <w:p>
            <w:pPr>
              <w:jc w:val="left"/>
              <w:rPr>
                <w:rFonts w:ascii="宋体"/>
                <w:sz w:val="18"/>
                <w:szCs w:val="18"/>
              </w:rPr>
            </w:pPr>
            <w:r>
              <w:rPr>
                <w:rFonts w:hint="eastAsia" w:ascii="宋体"/>
                <w:sz w:val="18"/>
                <w:szCs w:val="18"/>
              </w:rPr>
              <w:t>某机关事业单位2022年度日常运营产生8</w:t>
            </w:r>
            <w:r>
              <w:rPr>
                <w:rFonts w:hint="eastAsia" w:ascii="宋体"/>
                <w:sz w:val="18"/>
                <w:szCs w:val="18"/>
                <w:lang w:val="en-US" w:eastAsia="zh-CN"/>
              </w:rPr>
              <w:t>63</w:t>
            </w:r>
            <w:r>
              <w:rPr>
                <w:rFonts w:hint="eastAsia" w:ascii="宋体"/>
                <w:sz w:val="18"/>
                <w:szCs w:val="18"/>
              </w:rPr>
              <w:t xml:space="preserve"> </w:t>
            </w:r>
            <w:r>
              <w:rPr>
                <w:rFonts w:hint="eastAsia"/>
                <w:sz w:val="18"/>
                <w:szCs w:val="18"/>
              </w:rPr>
              <w:t>tCO</w:t>
            </w:r>
            <w:r>
              <w:rPr>
                <w:rFonts w:hint="eastAsia"/>
                <w:sz w:val="18"/>
                <w:szCs w:val="18"/>
                <w:vertAlign w:val="subscript"/>
              </w:rPr>
              <w:t>2</w:t>
            </w:r>
            <w:r>
              <w:rPr>
                <w:rFonts w:hint="eastAsia"/>
                <w:sz w:val="18"/>
                <w:szCs w:val="18"/>
              </w:rPr>
              <w:t>排放量，注销</w:t>
            </w:r>
            <w:r>
              <w:rPr>
                <w:rFonts w:hint="eastAsia" w:ascii="宋体"/>
                <w:sz w:val="18"/>
                <w:szCs w:val="18"/>
              </w:rPr>
              <w:t>某某项目</w:t>
            </w:r>
            <w:r>
              <w:rPr>
                <w:rFonts w:hint="eastAsia" w:ascii="宋体"/>
                <w:sz w:val="18"/>
                <w:szCs w:val="18"/>
                <w:lang w:val="en-US" w:eastAsia="zh-CN"/>
              </w:rPr>
              <w:t>463</w:t>
            </w:r>
            <w:r>
              <w:rPr>
                <w:rFonts w:hint="eastAsia" w:ascii="宋体"/>
                <w:sz w:val="18"/>
                <w:szCs w:val="18"/>
              </w:rPr>
              <w:t>t包头林草碳票</w:t>
            </w:r>
            <w:r>
              <w:rPr>
                <w:rFonts w:hint="eastAsia" w:ascii="宋体"/>
                <w:sz w:val="18"/>
                <w:szCs w:val="18"/>
                <w:lang w:val="en-US" w:eastAsia="zh-CN"/>
              </w:rPr>
              <w:t>和</w:t>
            </w:r>
            <w:r>
              <w:rPr>
                <w:rFonts w:hint="eastAsia"/>
                <w:sz w:val="18"/>
                <w:szCs w:val="18"/>
              </w:rPr>
              <w:t>某某</w:t>
            </w:r>
            <w:r>
              <w:rPr>
                <w:rFonts w:hint="eastAsia"/>
                <w:sz w:val="18"/>
                <w:szCs w:val="18"/>
                <w:lang w:val="en-US" w:eastAsia="zh-CN"/>
              </w:rPr>
              <w:t>碳汇类</w:t>
            </w:r>
            <w:r>
              <w:rPr>
                <w:rFonts w:hint="eastAsia" w:ascii="宋体"/>
                <w:sz w:val="18"/>
                <w:szCs w:val="18"/>
              </w:rPr>
              <w:t>CCER</w:t>
            </w:r>
            <w:r>
              <w:rPr>
                <w:rFonts w:hint="eastAsia"/>
                <w:sz w:val="18"/>
                <w:szCs w:val="18"/>
              </w:rPr>
              <w:t>项目</w:t>
            </w:r>
            <w:r>
              <w:rPr>
                <w:rFonts w:hint="eastAsia" w:ascii="宋体"/>
                <w:sz w:val="18"/>
                <w:szCs w:val="18"/>
                <w:lang w:val="en-US" w:eastAsia="zh-CN"/>
              </w:rPr>
              <w:t>400</w:t>
            </w:r>
            <w:r>
              <w:rPr>
                <w:rFonts w:hint="eastAsia" w:ascii="宋体"/>
                <w:sz w:val="18"/>
                <w:szCs w:val="18"/>
              </w:rPr>
              <w:t>t进行足额抵消实现碳中和。</w:t>
            </w:r>
          </w:p>
        </w:tc>
      </w:tr>
    </w:tbl>
    <w:p/>
    <w:p>
      <w:pPr>
        <w:pStyle w:val="20"/>
      </w:pPr>
    </w:p>
    <w:p>
      <w:pPr>
        <w:pStyle w:val="98"/>
        <w:numPr>
          <w:ilvl w:val="0"/>
          <w:numId w:val="0"/>
        </w:numPr>
        <w:spacing w:before="312" w:after="312"/>
      </w:pPr>
    </w:p>
    <w:p>
      <w:pPr>
        <w:pStyle w:val="20"/>
      </w:pPr>
    </w:p>
    <w:p>
      <w:pPr>
        <w:pStyle w:val="20"/>
      </w:pPr>
    </w:p>
    <w:p>
      <w:pPr>
        <w:pStyle w:val="20"/>
        <w:ind w:firstLine="0" w:firstLineChars="0"/>
      </w:pPr>
    </w:p>
    <w:p>
      <w:pPr>
        <w:pStyle w:val="20"/>
        <w:ind w:firstLine="0" w:firstLineChars="0"/>
      </w:pPr>
    </w:p>
    <w:p>
      <w:pPr>
        <w:pStyle w:val="67"/>
      </w:pPr>
      <w:bookmarkStart w:id="146" w:name="BKCKWX"/>
      <w:bookmarkStart w:id="147" w:name="_Toc24943"/>
      <w:bookmarkStart w:id="148" w:name="_Toc1962"/>
      <w:bookmarkStart w:id="149" w:name="_Toc32123"/>
      <w:bookmarkStart w:id="150" w:name="_Toc27679"/>
      <w:bookmarkStart w:id="151" w:name="_Toc141734811"/>
      <w:bookmarkStart w:id="152" w:name="_Toc22052"/>
      <w:bookmarkStart w:id="153" w:name="_Toc18877"/>
      <w:bookmarkStart w:id="154" w:name="_Toc24772"/>
      <w:r>
        <w:rPr>
          <w:rFonts w:hint="eastAsia"/>
        </w:rPr>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146"/>
      <w:bookmarkEnd w:id="147"/>
      <w:bookmarkEnd w:id="148"/>
      <w:bookmarkEnd w:id="149"/>
      <w:bookmarkEnd w:id="150"/>
      <w:bookmarkEnd w:id="151"/>
      <w:bookmarkEnd w:id="152"/>
      <w:bookmarkEnd w:id="153"/>
      <w:bookmarkEnd w:id="154"/>
    </w:p>
    <w:p>
      <w:pPr>
        <w:pStyle w:val="20"/>
        <w:numPr>
          <w:ilvl w:val="0"/>
          <w:numId w:val="38"/>
        </w:numPr>
      </w:pPr>
      <w:r>
        <w:rPr>
          <w:rFonts w:hint="eastAsia"/>
        </w:rPr>
        <w:t>GB/T 32150-2015</w:t>
      </w:r>
      <w:r>
        <w:rPr>
          <w:rFonts w:hint="eastAsia"/>
          <w:lang w:val="en-US" w:eastAsia="zh-CN"/>
        </w:rPr>
        <w:t xml:space="preserve"> </w:t>
      </w:r>
      <w:r>
        <w:rPr>
          <w:rFonts w:hint="eastAsia"/>
        </w:rPr>
        <w:t>工业企业温室气体排放核算和报告通则</w:t>
      </w:r>
    </w:p>
    <w:p>
      <w:pPr>
        <w:pStyle w:val="20"/>
        <w:numPr>
          <w:ilvl w:val="0"/>
          <w:numId w:val="38"/>
        </w:numPr>
      </w:pPr>
      <w:r>
        <w:t>GB</w:t>
      </w:r>
      <w:r>
        <w:rPr>
          <w:rFonts w:hint="eastAsia"/>
          <w:lang w:val="en-US" w:eastAsia="zh-CN"/>
        </w:rPr>
        <w:t xml:space="preserve"> </w:t>
      </w:r>
      <w:r>
        <w:t>50736-2012</w:t>
      </w:r>
      <w:r>
        <w:rPr>
          <w:rFonts w:hint="eastAsia"/>
          <w:lang w:val="en-US" w:eastAsia="zh-CN"/>
        </w:rPr>
        <w:t xml:space="preserve"> </w:t>
      </w:r>
      <w:r>
        <w:t>民用建筑供暖通风与空气调节设计规范</w:t>
      </w:r>
    </w:p>
    <w:p>
      <w:pPr>
        <w:pStyle w:val="20"/>
        <w:numPr>
          <w:ilvl w:val="0"/>
          <w:numId w:val="38"/>
        </w:numPr>
      </w:pPr>
      <w:r>
        <w:rPr>
          <w:rFonts w:hint="eastAsia"/>
        </w:rPr>
        <w:t>CJJ/T34-2022</w:t>
      </w:r>
      <w:r>
        <w:rPr>
          <w:rFonts w:hint="eastAsia"/>
          <w:lang w:val="en-US" w:eastAsia="zh-CN"/>
        </w:rPr>
        <w:t xml:space="preserve"> </w:t>
      </w:r>
      <w:r>
        <w:rPr>
          <w:rFonts w:hint="eastAsia"/>
        </w:rPr>
        <w:t>城镇供热管网设计标准</w:t>
      </w:r>
    </w:p>
    <w:p>
      <w:pPr>
        <w:pStyle w:val="20"/>
        <w:numPr>
          <w:ilvl w:val="0"/>
          <w:numId w:val="38"/>
        </w:numPr>
      </w:pPr>
      <w:r>
        <w:rPr>
          <w:rFonts w:hint="eastAsia"/>
        </w:rPr>
        <w:t>JR/T 0244-2022</w:t>
      </w:r>
      <w:r>
        <w:rPr>
          <w:rFonts w:hint="eastAsia"/>
          <w:lang w:val="en-US" w:eastAsia="zh-CN"/>
        </w:rPr>
        <w:t xml:space="preserve"> 碳金融产品</w:t>
      </w:r>
    </w:p>
    <w:p>
      <w:pPr>
        <w:pStyle w:val="20"/>
        <w:numPr>
          <w:ilvl w:val="0"/>
          <w:numId w:val="38"/>
        </w:numPr>
      </w:pPr>
      <w:r>
        <w:t>T/ACEF 031-20</w:t>
      </w:r>
      <w:r>
        <w:rPr>
          <w:rFonts w:hint="eastAsia"/>
        </w:rPr>
        <w:t>2</w:t>
      </w:r>
      <w:r>
        <w:t>2</w:t>
      </w:r>
      <w:r>
        <w:rPr>
          <w:rFonts w:hint="eastAsia"/>
        </w:rPr>
        <w:t xml:space="preserve"> </w:t>
      </w:r>
      <w:r>
        <w:t>公民绿色低碳行为温室气体减排量化导则</w:t>
      </w:r>
    </w:p>
    <w:p>
      <w:pPr>
        <w:pStyle w:val="20"/>
        <w:numPr>
          <w:ilvl w:val="0"/>
          <w:numId w:val="38"/>
        </w:numPr>
      </w:pPr>
      <w:r>
        <w:rPr>
          <w:rFonts w:hint="eastAsia" w:hAnsi="宋体"/>
        </w:rPr>
        <w:t xml:space="preserve">ISO 14064-1 </w:t>
      </w:r>
      <w:r>
        <w:rPr>
          <w:rFonts w:hAnsi="宋体"/>
        </w:rPr>
        <w:t>Greenhouse gases</w:t>
      </w:r>
      <w:r>
        <w:rPr>
          <w:rFonts w:hint="eastAsia" w:hAnsi="宋体"/>
        </w:rPr>
        <w:t>-</w:t>
      </w:r>
      <w:r>
        <w:rPr>
          <w:rFonts w:hAnsi="宋体"/>
        </w:rPr>
        <w:t>Part 1: Specification with guidance at the organization level for quantification and reporting of greenhouse gas emission and removal</w:t>
      </w:r>
      <w:r>
        <w:rPr>
          <w:rFonts w:hint="eastAsia" w:hAnsi="宋体"/>
        </w:rPr>
        <w:t>[S]</w:t>
      </w:r>
      <w:r>
        <w:rPr>
          <w:rFonts w:hAnsi="宋体"/>
        </w:rPr>
        <w:t>（</w:t>
      </w:r>
      <w:r>
        <w:rPr>
          <w:rFonts w:hint="eastAsia" w:hAnsi="宋体"/>
        </w:rPr>
        <w:t>温室气体第1部分：组织层次上对温室气体排放和清除的量化与报告的规范及指南</w:t>
      </w:r>
      <w:r>
        <w:rPr>
          <w:rFonts w:hAnsi="宋体"/>
        </w:rPr>
        <w:t>）</w:t>
      </w:r>
    </w:p>
    <w:p>
      <w:pPr>
        <w:pStyle w:val="20"/>
        <w:numPr>
          <w:ilvl w:val="0"/>
          <w:numId w:val="38"/>
        </w:numPr>
        <w:rPr>
          <w:rFonts w:hint="eastAsia"/>
        </w:rPr>
      </w:pPr>
      <w:r>
        <w:t>DB11/T1861—2021</w:t>
      </w:r>
      <w:r>
        <w:rPr>
          <w:rFonts w:hint="eastAsia"/>
        </w:rPr>
        <w:t xml:space="preserve"> </w:t>
      </w:r>
      <w:r>
        <w:t>企事业单位碳中和实施指南</w:t>
      </w:r>
    </w:p>
    <w:p>
      <w:pPr>
        <w:pStyle w:val="20"/>
        <w:numPr>
          <w:ilvl w:val="0"/>
          <w:numId w:val="38"/>
        </w:numPr>
        <w:rPr>
          <w:rFonts w:hint="eastAsia"/>
        </w:rPr>
      </w:pPr>
      <w:r>
        <w:rPr>
          <w:rFonts w:hint="eastAsia" w:hAnsi="宋体"/>
        </w:rPr>
        <w:t>环办气候函〔</w:t>
      </w:r>
      <w:r>
        <w:rPr>
          <w:rFonts w:hAnsi="宋体"/>
        </w:rPr>
        <w:t>2021〕130号</w:t>
      </w:r>
      <w:r>
        <w:rPr>
          <w:rFonts w:hint="eastAsia" w:hAnsi="宋体"/>
        </w:rPr>
        <w:t xml:space="preserve">  关于印发《企业温室气体排放报告核查指南（试行）》的通知</w:t>
      </w:r>
    </w:p>
    <w:p>
      <w:pPr>
        <w:pStyle w:val="20"/>
        <w:numPr>
          <w:ilvl w:val="0"/>
          <w:numId w:val="38"/>
        </w:numPr>
      </w:pPr>
      <w:r>
        <w:rPr>
          <w:rFonts w:hint="eastAsia" w:hAnsi="宋体"/>
        </w:rPr>
        <w:t>中华人民共和国生态环境部</w:t>
      </w:r>
      <w:r>
        <w:rPr>
          <w:rFonts w:hint="eastAsia" w:hAnsi="宋体"/>
          <w:lang w:val="en-US" w:eastAsia="zh-CN"/>
        </w:rPr>
        <w:t>令（第19号）</w:t>
      </w:r>
      <w:r>
        <w:rPr>
          <w:rFonts w:hint="eastAsia"/>
          <w:lang w:val="en-US" w:eastAsia="zh-CN"/>
        </w:rPr>
        <w:t xml:space="preserve"> </w:t>
      </w:r>
      <w:r>
        <w:t>碳排放权交易管理办法（试行）</w:t>
      </w:r>
      <w:r>
        <w:rPr>
          <w:rFonts w:hint="eastAsia"/>
          <w:lang w:val="en-US" w:eastAsia="zh-CN"/>
        </w:rPr>
        <w:t xml:space="preserve"> </w:t>
      </w:r>
    </w:p>
    <w:p>
      <w:pPr>
        <w:pStyle w:val="20"/>
        <w:numPr>
          <w:ilvl w:val="0"/>
          <w:numId w:val="38"/>
        </w:numPr>
      </w:pPr>
      <w:r>
        <w:t>IPCC. 2006 年 IPCC 国家温室气体清单指南 [R]. 2006</w:t>
      </w:r>
    </w:p>
    <w:p>
      <w:pPr>
        <w:pStyle w:val="20"/>
        <w:numPr>
          <w:ilvl w:val="0"/>
          <w:numId w:val="38"/>
        </w:numPr>
        <w:rPr>
          <w:highlight w:val="none"/>
        </w:rPr>
      </w:pPr>
      <w:r>
        <w:rPr>
          <w:rFonts w:hint="eastAsia" w:hAnsi="宋体"/>
        </w:rPr>
        <w:t>国家统计局</w:t>
      </w:r>
      <w:r>
        <w:rPr>
          <w:rFonts w:hAnsi="宋体"/>
        </w:rPr>
        <w:t xml:space="preserve">. </w:t>
      </w:r>
      <w:r>
        <w:rPr>
          <w:rFonts w:hint="eastAsia" w:hAnsi="宋体"/>
        </w:rPr>
        <w:t>2020年</w:t>
      </w:r>
      <w:r>
        <w:rPr>
          <w:rFonts w:hAnsi="宋体"/>
        </w:rPr>
        <w:t>中国能源统计年鉴</w:t>
      </w:r>
      <w:r>
        <w:rPr>
          <w:rFonts w:hint="eastAsia" w:hAnsi="宋体"/>
        </w:rPr>
        <w:t>[M].北京：</w:t>
      </w:r>
      <w:r>
        <w:rPr>
          <w:rFonts w:hAnsi="宋体"/>
        </w:rPr>
        <w:t>中国统计出版社,</w:t>
      </w:r>
      <w:r>
        <w:rPr>
          <w:rFonts w:hint="eastAsia" w:hAnsi="宋体"/>
        </w:rPr>
        <w:t>2021年</w:t>
      </w:r>
      <w:r>
        <w:rPr>
          <w:rFonts w:hAnsi="宋体"/>
        </w:rPr>
        <w:t>.</w:t>
      </w:r>
    </w:p>
    <w:p>
      <w:pPr>
        <w:pStyle w:val="20"/>
        <w:numPr>
          <w:ilvl w:val="0"/>
          <w:numId w:val="38"/>
        </w:numPr>
        <w:rPr>
          <w:highlight w:val="none"/>
        </w:rPr>
      </w:pPr>
      <w:r>
        <w:rPr>
          <w:rFonts w:hint="eastAsia" w:hAnsi="宋体"/>
        </w:rPr>
        <w:t>发改办气候〔2011〕1041号  关于印发《省级温室气体清单编制指南（试行）》的通知</w:t>
      </w:r>
    </w:p>
    <w:p>
      <w:pPr>
        <w:pStyle w:val="125"/>
        <w:framePr w:wrap="around"/>
      </w:pPr>
      <w:r>
        <w:t>_________________________________</w:t>
      </w:r>
    </w:p>
    <w:sectPr>
      <w:pgSz w:w="11906" w:h="16838"/>
      <w:pgMar w:top="567" w:right="1134" w:bottom="1134" w:left="1418"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MS UI Gothic"/>
    <w:panose1 w:val="02020609040205080304"/>
    <w:charset w:val="80"/>
    <w:family w:val="modern"/>
    <w:pitch w:val="default"/>
    <w:sig w:usb0="00000000" w:usb1="00000000" w:usb2="00000012" w:usb3="00000000" w:csb0="4002009F" w:csb1="DFD70000"/>
  </w:font>
  <w:font w:name="MS UI 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bidi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bidi w:val="0"/>
    </w:pPr>
    <w:r>
      <w:fldChar w:fldCharType="begin"/>
    </w:r>
    <w:r>
      <w:instrText xml:space="preserve"> PAGE  \* MERGEFORMAT </w:instrText>
    </w:r>
    <w:r>
      <w:fldChar w:fldCharType="separate"/>
    </w:r>
    <w: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bidi w:val="0"/>
    </w:pPr>
    <w:r>
      <w:fldChar w:fldCharType="begin"/>
    </w:r>
    <w:r>
      <w:instrText xml:space="preserve"> PAGE  \* MERGEFORMAT </w:instrText>
    </w:r>
    <w:r>
      <w:fldChar w:fldCharType="separate"/>
    </w:r>
    <w:r>
      <w:t>10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bidi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bidi w:val="0"/>
      <w:rPr>
        <w:rFonts w:hint="eastAsia"/>
        <w:lang w:eastAsia="zh-CN"/>
      </w:rPr>
    </w:pPr>
    <w:r>
      <w:rPr>
        <w:rFonts w:hint="eastAsia"/>
        <w:lang w:eastAsia="zh-CN"/>
      </w:rPr>
      <w:t>DBXX/ 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bidi w:val="0"/>
    </w:pPr>
    <w:r>
      <w:t>DBXX/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A90904"/>
    <w:multiLevelType w:val="multilevel"/>
    <w:tmpl w:val="8BA90904"/>
    <w:lvl w:ilvl="0" w:tentative="0">
      <w:start w:val="1"/>
      <w:numFmt w:val="lowerLetter"/>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
    <w:nsid w:val="CD32A815"/>
    <w:multiLevelType w:val="singleLevel"/>
    <w:tmpl w:val="CD32A815"/>
    <w:lvl w:ilvl="0" w:tentative="0">
      <w:start w:val="1"/>
      <w:numFmt w:val="decimal"/>
      <w:suff w:val="space"/>
      <w:lvlText w:val="[%1]"/>
      <w:lvlJc w:val="left"/>
    </w:lvl>
  </w:abstractNum>
  <w:abstractNum w:abstractNumId="2">
    <w:nsid w:val="D2286457"/>
    <w:multiLevelType w:val="multilevel"/>
    <w:tmpl w:val="D2286457"/>
    <w:lvl w:ilvl="0" w:tentative="0">
      <w:start w:val="1"/>
      <w:numFmt w:val="decimal"/>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F55588A9"/>
    <w:multiLevelType w:val="multilevel"/>
    <w:tmpl w:val="F55588A9"/>
    <w:lvl w:ilvl="0" w:tentative="0">
      <w:start w:val="1"/>
      <w:numFmt w:val="decimal"/>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4">
    <w:nsid w:val="0757371C"/>
    <w:multiLevelType w:val="multilevel"/>
    <w:tmpl w:val="0757371C"/>
    <w:lvl w:ilvl="0" w:tentative="0">
      <w:start w:val="1"/>
      <w:numFmt w:val="lowerLetter"/>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5">
    <w:nsid w:val="079102AD"/>
    <w:multiLevelType w:val="multilevel"/>
    <w:tmpl w:val="079102AD"/>
    <w:lvl w:ilvl="0" w:tentative="0">
      <w:start w:val="1"/>
      <w:numFmt w:val="decimal"/>
      <w:pStyle w:val="54"/>
      <w:suff w:val="nothing"/>
      <w:lvlText w:val="注%1："/>
      <w:lvlJc w:val="left"/>
      <w:pPr>
        <w:ind w:left="811" w:hanging="448"/>
      </w:pPr>
      <w:rPr>
        <w:rFonts w:hint="eastAsia" w:ascii="黑体" w:hAns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93C6778"/>
    <w:multiLevelType w:val="multilevel"/>
    <w:tmpl w:val="093C6778"/>
    <w:lvl w:ilvl="0" w:tentative="0">
      <w:start w:val="1"/>
      <w:numFmt w:val="decimal"/>
      <w:pStyle w:val="112"/>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0AE367E9"/>
    <w:multiLevelType w:val="multilevel"/>
    <w:tmpl w:val="0AE367E9"/>
    <w:lvl w:ilvl="0" w:tentative="0">
      <w:start w:val="1"/>
      <w:numFmt w:val="none"/>
      <w:pStyle w:val="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8">
    <w:nsid w:val="0DDE2B46"/>
    <w:multiLevelType w:val="multilevel"/>
    <w:tmpl w:val="0DDE2B46"/>
    <w:lvl w:ilvl="0" w:tentative="0">
      <w:start w:val="1"/>
      <w:numFmt w:val="lowerLetter"/>
      <w:pStyle w:val="117"/>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9">
    <w:nsid w:val="1E288F2E"/>
    <w:multiLevelType w:val="multilevel"/>
    <w:tmpl w:val="1E288F2E"/>
    <w:lvl w:ilvl="0" w:tentative="0">
      <w:start w:val="1"/>
      <w:numFmt w:val="lowerLetter"/>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0">
    <w:nsid w:val="1FC91163"/>
    <w:multiLevelType w:val="multilevel"/>
    <w:tmpl w:val="1FC91163"/>
    <w:lvl w:ilvl="0" w:tentative="0">
      <w:start w:val="1"/>
      <w:numFmt w:val="decimal"/>
      <w:pStyle w:val="4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8"/>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2"/>
      <w:suff w:val="nothing"/>
      <w:lvlText w:val="%1.%2.%3　"/>
      <w:lvlJc w:val="left"/>
      <w:pPr>
        <w:ind w:left="0" w:firstLine="0"/>
      </w:pPr>
      <w:rPr>
        <w:rFonts w:hint="eastAsia" w:ascii="黑体" w:hAnsi="Times New Roman" w:eastAsia="黑体"/>
        <w:b w:val="0"/>
        <w:i w:val="0"/>
        <w:sz w:val="21"/>
      </w:rPr>
    </w:lvl>
    <w:lvl w:ilvl="3" w:tentative="0">
      <w:start w:val="1"/>
      <w:numFmt w:val="decimal"/>
      <w:pStyle w:val="47"/>
      <w:suff w:val="nothing"/>
      <w:lvlText w:val="%1.%2.%3.%4　"/>
      <w:lvlJc w:val="left"/>
      <w:pPr>
        <w:ind w:left="0" w:firstLine="0"/>
      </w:pPr>
      <w:rPr>
        <w:rFonts w:hint="eastAsia" w:ascii="黑体" w:hAnsi="Times New Roman" w:eastAsia="黑体"/>
        <w:b w:val="0"/>
        <w:i w:val="0"/>
        <w:sz w:val="21"/>
      </w:rPr>
    </w:lvl>
    <w:lvl w:ilvl="4" w:tentative="0">
      <w:start w:val="1"/>
      <w:numFmt w:val="decimal"/>
      <w:pStyle w:val="51"/>
      <w:suff w:val="nothing"/>
      <w:lvlText w:val="%1.%2.%3.%4.%5　"/>
      <w:lvlJc w:val="left"/>
      <w:pPr>
        <w:ind w:left="0" w:firstLine="0"/>
      </w:pPr>
      <w:rPr>
        <w:rFonts w:hint="eastAsia" w:ascii="黑体" w:hAnsi="Times New Roman" w:eastAsia="黑体"/>
        <w:b w:val="0"/>
        <w:i w:val="0"/>
        <w:sz w:val="21"/>
      </w:rPr>
    </w:lvl>
    <w:lvl w:ilvl="5" w:tentative="0">
      <w:start w:val="1"/>
      <w:numFmt w:val="decimal"/>
      <w:pStyle w:val="5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957B119"/>
    <w:multiLevelType w:val="multilevel"/>
    <w:tmpl w:val="2957B119"/>
    <w:lvl w:ilvl="0" w:tentative="0">
      <w:start w:val="1"/>
      <w:numFmt w:val="decimal"/>
      <w:pStyle w:val="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2">
    <w:nsid w:val="2A8F7113"/>
    <w:multiLevelType w:val="multilevel"/>
    <w:tmpl w:val="2A8F7113"/>
    <w:lvl w:ilvl="0" w:tentative="0">
      <w:start w:val="1"/>
      <w:numFmt w:val="upperLetter"/>
      <w:pStyle w:val="94"/>
      <w:suff w:val="space"/>
      <w:lvlText w:val="%1"/>
      <w:lvlJc w:val="left"/>
      <w:pPr>
        <w:ind w:left="623" w:hanging="425"/>
      </w:pPr>
      <w:rPr>
        <w:rFonts w:hint="eastAsia"/>
      </w:rPr>
    </w:lvl>
    <w:lvl w:ilvl="1" w:tentative="0">
      <w:start w:val="1"/>
      <w:numFmt w:val="decimal"/>
      <w:pStyle w:val="9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3">
    <w:nsid w:val="2C5917C3"/>
    <w:multiLevelType w:val="multilevel"/>
    <w:tmpl w:val="2C5917C3"/>
    <w:lvl w:ilvl="0" w:tentative="0">
      <w:start w:val="1"/>
      <w:numFmt w:val="none"/>
      <w:pStyle w:val="44"/>
      <w:suff w:val="nothing"/>
      <w:lvlText w:val="%1——"/>
      <w:lvlJc w:val="left"/>
      <w:pPr>
        <w:ind w:left="833" w:hanging="408"/>
      </w:pPr>
      <w:rPr>
        <w:rFonts w:hint="eastAsia"/>
      </w:rPr>
    </w:lvl>
    <w:lvl w:ilvl="1" w:tentative="0">
      <w:start w:val="1"/>
      <w:numFmt w:val="bullet"/>
      <w:pStyle w:val="45"/>
      <w:lvlText w:val=""/>
      <w:lvlJc w:val="left"/>
      <w:pPr>
        <w:tabs>
          <w:tab w:val="left" w:pos="760"/>
        </w:tabs>
        <w:ind w:left="1264" w:hanging="413"/>
      </w:pPr>
      <w:rPr>
        <w:rFonts w:hint="default" w:ascii="Symbol" w:hAnsi="Symbol"/>
        <w:color w:val="auto"/>
      </w:rPr>
    </w:lvl>
    <w:lvl w:ilvl="2" w:tentative="0">
      <w:start w:val="1"/>
      <w:numFmt w:val="bullet"/>
      <w:pStyle w:val="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D733618"/>
    <w:multiLevelType w:val="multilevel"/>
    <w:tmpl w:val="3D733618"/>
    <w:lvl w:ilvl="0" w:tentative="0">
      <w:start w:val="1"/>
      <w:numFmt w:val="decimal"/>
      <w:pStyle w:val="21"/>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5">
    <w:nsid w:val="44C50F90"/>
    <w:multiLevelType w:val="multilevel"/>
    <w:tmpl w:val="44C50F90"/>
    <w:lvl w:ilvl="0" w:tentative="0">
      <w:start w:val="1"/>
      <w:numFmt w:val="lowerLetter"/>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6">
    <w:nsid w:val="47D9D937"/>
    <w:multiLevelType w:val="multilevel"/>
    <w:tmpl w:val="47D9D937"/>
    <w:lvl w:ilvl="0" w:tentative="0">
      <w:start w:val="1"/>
      <w:numFmt w:val="decimal"/>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7">
    <w:nsid w:val="4B733A5F"/>
    <w:multiLevelType w:val="multilevel"/>
    <w:tmpl w:val="4B733A5F"/>
    <w:lvl w:ilvl="0" w:tentative="0">
      <w:start w:val="1"/>
      <w:numFmt w:val="decimal"/>
      <w:pStyle w:val="58"/>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8">
    <w:nsid w:val="557C2AF5"/>
    <w:multiLevelType w:val="multilevel"/>
    <w:tmpl w:val="557C2AF5"/>
    <w:lvl w:ilvl="0" w:tentative="0">
      <w:start w:val="1"/>
      <w:numFmt w:val="decimal"/>
      <w:pStyle w:val="12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9">
    <w:nsid w:val="60B55DC2"/>
    <w:multiLevelType w:val="multilevel"/>
    <w:tmpl w:val="60B55DC2"/>
    <w:lvl w:ilvl="0" w:tentative="0">
      <w:start w:val="1"/>
      <w:numFmt w:val="upperLetter"/>
      <w:pStyle w:val="82"/>
      <w:lvlText w:val="%1"/>
      <w:lvlJc w:val="left"/>
      <w:pPr>
        <w:tabs>
          <w:tab w:val="left" w:pos="0"/>
        </w:tabs>
        <w:ind w:left="0" w:hanging="425"/>
      </w:pPr>
      <w:rPr>
        <w:rFonts w:hint="eastAsia"/>
      </w:rPr>
    </w:lvl>
    <w:lvl w:ilvl="1" w:tentative="0">
      <w:start w:val="1"/>
      <w:numFmt w:val="decimal"/>
      <w:pStyle w:val="8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0">
    <w:nsid w:val="646260FA"/>
    <w:multiLevelType w:val="multilevel"/>
    <w:tmpl w:val="646260FA"/>
    <w:lvl w:ilvl="0" w:tentative="0">
      <w:start w:val="1"/>
      <w:numFmt w:val="decimal"/>
      <w:pStyle w:val="12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1">
    <w:nsid w:val="657D3FBC"/>
    <w:multiLevelType w:val="multilevel"/>
    <w:tmpl w:val="657D3FBC"/>
    <w:lvl w:ilvl="0" w:tentative="0">
      <w:start w:val="1"/>
      <w:numFmt w:val="upperLetter"/>
      <w:pStyle w:val="8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8"/>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9"/>
      <w:suff w:val="nothing"/>
      <w:lvlText w:val="%1.%2.%3　"/>
      <w:lvlJc w:val="left"/>
      <w:pPr>
        <w:ind w:left="0" w:firstLine="0"/>
      </w:pPr>
      <w:rPr>
        <w:rFonts w:hint="eastAsia" w:ascii="黑体" w:hAnsi="Times New Roman" w:eastAsia="黑体"/>
        <w:b w:val="0"/>
        <w:i w:val="0"/>
        <w:sz w:val="21"/>
      </w:rPr>
    </w:lvl>
    <w:lvl w:ilvl="3" w:tentative="0">
      <w:start w:val="1"/>
      <w:numFmt w:val="decimal"/>
      <w:pStyle w:val="84"/>
      <w:suff w:val="nothing"/>
      <w:lvlText w:val="%1.%2.%3.%4　"/>
      <w:lvlJc w:val="left"/>
      <w:pPr>
        <w:ind w:left="0" w:firstLine="0"/>
      </w:pPr>
      <w:rPr>
        <w:rFonts w:hint="eastAsia" w:ascii="黑体" w:hAnsi="Times New Roman" w:eastAsia="黑体"/>
        <w:b w:val="0"/>
        <w:i w:val="0"/>
        <w:sz w:val="21"/>
      </w:rPr>
    </w:lvl>
    <w:lvl w:ilvl="4" w:tentative="0">
      <w:start w:val="1"/>
      <w:numFmt w:val="decimal"/>
      <w:pStyle w:val="89"/>
      <w:suff w:val="nothing"/>
      <w:lvlText w:val="%1.%2.%3.%4.%5　"/>
      <w:lvlJc w:val="left"/>
      <w:pPr>
        <w:ind w:left="0" w:firstLine="0"/>
      </w:pPr>
      <w:rPr>
        <w:rFonts w:hint="eastAsia" w:ascii="黑体" w:hAnsi="Times New Roman" w:eastAsia="黑体"/>
        <w:b w:val="0"/>
        <w:i w:val="0"/>
        <w:sz w:val="21"/>
      </w:rPr>
    </w:lvl>
    <w:lvl w:ilvl="5" w:tentative="0">
      <w:start w:val="1"/>
      <w:numFmt w:val="decimal"/>
      <w:pStyle w:val="92"/>
      <w:suff w:val="nothing"/>
      <w:lvlText w:val="%1.%2.%3.%4.%5.%6　"/>
      <w:lvlJc w:val="left"/>
      <w:pPr>
        <w:ind w:left="0" w:firstLine="0"/>
      </w:pPr>
      <w:rPr>
        <w:rFonts w:hint="eastAsia" w:ascii="黑体" w:hAnsi="Times New Roman" w:eastAsia="黑体"/>
        <w:b w:val="0"/>
        <w:i w:val="0"/>
        <w:sz w:val="21"/>
      </w:rPr>
    </w:lvl>
    <w:lvl w:ilvl="6" w:tentative="0">
      <w:start w:val="1"/>
      <w:numFmt w:val="decimal"/>
      <w:pStyle w:val="9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2">
    <w:nsid w:val="6D6C07CD"/>
    <w:multiLevelType w:val="multilevel"/>
    <w:tmpl w:val="6D6C07CD"/>
    <w:lvl w:ilvl="0" w:tentative="0">
      <w:start w:val="1"/>
      <w:numFmt w:val="lowerLetter"/>
      <w:pStyle w:val="101"/>
      <w:lvlText w:val="%1)"/>
      <w:lvlJc w:val="left"/>
      <w:pPr>
        <w:tabs>
          <w:tab w:val="left" w:pos="839"/>
        </w:tabs>
        <w:ind w:left="839" w:hanging="419"/>
      </w:pPr>
      <w:rPr>
        <w:rFonts w:hint="eastAsia" w:ascii="宋体" w:eastAsia="宋体"/>
        <w:b w:val="0"/>
        <w:i w:val="0"/>
        <w:sz w:val="21"/>
      </w:rPr>
    </w:lvl>
    <w:lvl w:ilvl="1" w:tentative="0">
      <w:start w:val="1"/>
      <w:numFmt w:val="decimal"/>
      <w:pStyle w:val="91"/>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3">
    <w:nsid w:val="6DBF04F4"/>
    <w:multiLevelType w:val="multilevel"/>
    <w:tmpl w:val="6DBF04F4"/>
    <w:lvl w:ilvl="0" w:tentative="0">
      <w:start w:val="1"/>
      <w:numFmt w:val="none"/>
      <w:pStyle w:val="5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4">
    <w:nsid w:val="76FA27DC"/>
    <w:multiLevelType w:val="multilevel"/>
    <w:tmpl w:val="76FA27DC"/>
    <w:lvl w:ilvl="0" w:tentative="0">
      <w:start w:val="1"/>
      <w:numFmt w:val="decimal"/>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25">
    <w:nsid w:val="78A1396B"/>
    <w:multiLevelType w:val="multilevel"/>
    <w:tmpl w:val="78A1396B"/>
    <w:lvl w:ilvl="0" w:tentative="0">
      <w:start w:val="1"/>
      <w:numFmt w:val="decimal"/>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26">
    <w:nsid w:val="78FB2FB5"/>
    <w:multiLevelType w:val="multilevel"/>
    <w:tmpl w:val="78FB2FB5"/>
    <w:lvl w:ilvl="0" w:tentative="0">
      <w:start w:val="1"/>
      <w:numFmt w:val="lowerLetter"/>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27">
    <w:nsid w:val="7CEDEFC9"/>
    <w:multiLevelType w:val="multilevel"/>
    <w:tmpl w:val="7CEDEFC9"/>
    <w:lvl w:ilvl="0" w:tentative="0">
      <w:start w:val="1"/>
      <w:numFmt w:val="lowerLetter"/>
      <w:pStyle w:val="55"/>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50"/>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57"/>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num w:numId="1">
    <w:abstractNumId w:val="14"/>
  </w:num>
  <w:num w:numId="2">
    <w:abstractNumId w:val="10"/>
  </w:num>
  <w:num w:numId="3">
    <w:abstractNumId w:val="13"/>
  </w:num>
  <w:num w:numId="4">
    <w:abstractNumId w:val="7"/>
  </w:num>
  <w:num w:numId="5">
    <w:abstractNumId w:val="27"/>
  </w:num>
  <w:num w:numId="6">
    <w:abstractNumId w:val="23"/>
  </w:num>
  <w:num w:numId="7">
    <w:abstractNumId w:val="5"/>
  </w:num>
  <w:num w:numId="8">
    <w:abstractNumId w:val="17"/>
  </w:num>
  <w:num w:numId="9">
    <w:abstractNumId w:val="11"/>
  </w:num>
  <w:num w:numId="10">
    <w:abstractNumId w:val="21"/>
  </w:num>
  <w:num w:numId="11">
    <w:abstractNumId w:val="19"/>
  </w:num>
  <w:num w:numId="12">
    <w:abstractNumId w:val="22"/>
  </w:num>
  <w:num w:numId="13">
    <w:abstractNumId w:val="12"/>
  </w:num>
  <w:num w:numId="14">
    <w:abstractNumId w:val="6"/>
  </w:num>
  <w:num w:numId="15">
    <w:abstractNumId w:val="8"/>
  </w:num>
  <w:num w:numId="16">
    <w:abstractNumId w:val="20"/>
  </w:num>
  <w:num w:numId="17">
    <w:abstractNumId w:val="1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attachedTemplate r:id="rId1"/>
  <w:documentProtection w:edit="forms" w:enforcement="1" w:cryptProviderType="rsaFull" w:cryptAlgorithmClass="hash" w:cryptAlgorithmType="typeAny" w:cryptAlgorithmSid="4" w:cryptSpinCount="0" w:hash="VcR6J9ALXC3eDS79BwysHq+BJIk=" w:salt="spjY/OZRt6LvoA1i8BUn2w=="/>
  <w:defaultTabStop w:val="419"/>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wOTFiNjkwNmZkZGViMDMxZGEyNTM1ZWZjMjRlZmIifQ=="/>
  </w:docVars>
  <w:rsids>
    <w:rsidRoot w:val="765C10E6"/>
    <w:rsid w:val="00000244"/>
    <w:rsid w:val="0000185F"/>
    <w:rsid w:val="0000586F"/>
    <w:rsid w:val="00013D86"/>
    <w:rsid w:val="00013E02"/>
    <w:rsid w:val="0002143C"/>
    <w:rsid w:val="00025A65"/>
    <w:rsid w:val="00026C31"/>
    <w:rsid w:val="00027280"/>
    <w:rsid w:val="000320A7"/>
    <w:rsid w:val="00035925"/>
    <w:rsid w:val="00067CDF"/>
    <w:rsid w:val="00074FBE"/>
    <w:rsid w:val="000756E7"/>
    <w:rsid w:val="00083A09"/>
    <w:rsid w:val="0009005E"/>
    <w:rsid w:val="00092857"/>
    <w:rsid w:val="000A20A9"/>
    <w:rsid w:val="000A48B1"/>
    <w:rsid w:val="000A63F2"/>
    <w:rsid w:val="000B3143"/>
    <w:rsid w:val="000C6B05"/>
    <w:rsid w:val="000C6DD6"/>
    <w:rsid w:val="000C73D4"/>
    <w:rsid w:val="000D0125"/>
    <w:rsid w:val="000D3D4C"/>
    <w:rsid w:val="000D4F51"/>
    <w:rsid w:val="000D718B"/>
    <w:rsid w:val="000E0C46"/>
    <w:rsid w:val="000F030C"/>
    <w:rsid w:val="000F129C"/>
    <w:rsid w:val="001056DE"/>
    <w:rsid w:val="001124C0"/>
    <w:rsid w:val="0013175F"/>
    <w:rsid w:val="00143561"/>
    <w:rsid w:val="001512B4"/>
    <w:rsid w:val="001620A5"/>
    <w:rsid w:val="00164E53"/>
    <w:rsid w:val="0016699D"/>
    <w:rsid w:val="00175159"/>
    <w:rsid w:val="00176208"/>
    <w:rsid w:val="0018211B"/>
    <w:rsid w:val="001840D3"/>
    <w:rsid w:val="001900F8"/>
    <w:rsid w:val="00191258"/>
    <w:rsid w:val="00192680"/>
    <w:rsid w:val="00193037"/>
    <w:rsid w:val="00193A2C"/>
    <w:rsid w:val="001970A4"/>
    <w:rsid w:val="001A288E"/>
    <w:rsid w:val="001A499B"/>
    <w:rsid w:val="001B6DC2"/>
    <w:rsid w:val="001C149C"/>
    <w:rsid w:val="001C21AC"/>
    <w:rsid w:val="001C47BA"/>
    <w:rsid w:val="001C59EA"/>
    <w:rsid w:val="001D406C"/>
    <w:rsid w:val="001D41EE"/>
    <w:rsid w:val="001E0380"/>
    <w:rsid w:val="001E13B1"/>
    <w:rsid w:val="001E70B5"/>
    <w:rsid w:val="001F3A19"/>
    <w:rsid w:val="00234467"/>
    <w:rsid w:val="00237D8D"/>
    <w:rsid w:val="00241DA2"/>
    <w:rsid w:val="00247FEE"/>
    <w:rsid w:val="00250E7D"/>
    <w:rsid w:val="002565D5"/>
    <w:rsid w:val="002622C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F1D8C"/>
    <w:rsid w:val="002F21DA"/>
    <w:rsid w:val="00301F39"/>
    <w:rsid w:val="00313478"/>
    <w:rsid w:val="003253C0"/>
    <w:rsid w:val="00325926"/>
    <w:rsid w:val="00327A8A"/>
    <w:rsid w:val="00336610"/>
    <w:rsid w:val="00343F73"/>
    <w:rsid w:val="00345060"/>
    <w:rsid w:val="0035323B"/>
    <w:rsid w:val="003609D2"/>
    <w:rsid w:val="00363F22"/>
    <w:rsid w:val="00375564"/>
    <w:rsid w:val="00383191"/>
    <w:rsid w:val="00386DED"/>
    <w:rsid w:val="003912E7"/>
    <w:rsid w:val="00393947"/>
    <w:rsid w:val="00396F23"/>
    <w:rsid w:val="003A2275"/>
    <w:rsid w:val="003A6A4F"/>
    <w:rsid w:val="003A7088"/>
    <w:rsid w:val="003B00DF"/>
    <w:rsid w:val="003B1275"/>
    <w:rsid w:val="003B1778"/>
    <w:rsid w:val="003C11CB"/>
    <w:rsid w:val="003C6CAC"/>
    <w:rsid w:val="003C75F3"/>
    <w:rsid w:val="003C78A3"/>
    <w:rsid w:val="003E1867"/>
    <w:rsid w:val="003E5729"/>
    <w:rsid w:val="003F4EE0"/>
    <w:rsid w:val="00402153"/>
    <w:rsid w:val="00402FC1"/>
    <w:rsid w:val="00425082"/>
    <w:rsid w:val="00431BFE"/>
    <w:rsid w:val="00431DEB"/>
    <w:rsid w:val="00437FCA"/>
    <w:rsid w:val="00446B29"/>
    <w:rsid w:val="00453F9A"/>
    <w:rsid w:val="00463692"/>
    <w:rsid w:val="00471E91"/>
    <w:rsid w:val="00474675"/>
    <w:rsid w:val="0047470C"/>
    <w:rsid w:val="004A35F9"/>
    <w:rsid w:val="004B24C1"/>
    <w:rsid w:val="004C292F"/>
    <w:rsid w:val="00510280"/>
    <w:rsid w:val="00513D73"/>
    <w:rsid w:val="00514A43"/>
    <w:rsid w:val="005174E5"/>
    <w:rsid w:val="00522393"/>
    <w:rsid w:val="00522620"/>
    <w:rsid w:val="00525656"/>
    <w:rsid w:val="00534C02"/>
    <w:rsid w:val="0054264B"/>
    <w:rsid w:val="00543786"/>
    <w:rsid w:val="005470AC"/>
    <w:rsid w:val="005533D7"/>
    <w:rsid w:val="005703DE"/>
    <w:rsid w:val="0058464E"/>
    <w:rsid w:val="005A01CB"/>
    <w:rsid w:val="005A58FF"/>
    <w:rsid w:val="005A5EAF"/>
    <w:rsid w:val="005A64C0"/>
    <w:rsid w:val="005B3C11"/>
    <w:rsid w:val="005B5996"/>
    <w:rsid w:val="005C1C28"/>
    <w:rsid w:val="005C6DB5"/>
    <w:rsid w:val="005D7A8F"/>
    <w:rsid w:val="005E009B"/>
    <w:rsid w:val="005E19E7"/>
    <w:rsid w:val="00602482"/>
    <w:rsid w:val="00616618"/>
    <w:rsid w:val="0061716C"/>
    <w:rsid w:val="006243A1"/>
    <w:rsid w:val="00632E56"/>
    <w:rsid w:val="00635CBA"/>
    <w:rsid w:val="0064338B"/>
    <w:rsid w:val="00646542"/>
    <w:rsid w:val="006504F4"/>
    <w:rsid w:val="006537A4"/>
    <w:rsid w:val="00654BC9"/>
    <w:rsid w:val="006552FD"/>
    <w:rsid w:val="00663AF3"/>
    <w:rsid w:val="00666B6C"/>
    <w:rsid w:val="00682682"/>
    <w:rsid w:val="00682702"/>
    <w:rsid w:val="00685575"/>
    <w:rsid w:val="00692368"/>
    <w:rsid w:val="006A2EBC"/>
    <w:rsid w:val="006A5EA0"/>
    <w:rsid w:val="006A783B"/>
    <w:rsid w:val="006A7B33"/>
    <w:rsid w:val="006B4E13"/>
    <w:rsid w:val="006B75DD"/>
    <w:rsid w:val="006C67E0"/>
    <w:rsid w:val="006C7ABA"/>
    <w:rsid w:val="006D0D60"/>
    <w:rsid w:val="006D1122"/>
    <w:rsid w:val="006D14D1"/>
    <w:rsid w:val="006D3C00"/>
    <w:rsid w:val="006E3675"/>
    <w:rsid w:val="006E4A7F"/>
    <w:rsid w:val="00704DF6"/>
    <w:rsid w:val="0070651C"/>
    <w:rsid w:val="007132A3"/>
    <w:rsid w:val="00716421"/>
    <w:rsid w:val="00724EFB"/>
    <w:rsid w:val="007419C3"/>
    <w:rsid w:val="007467A7"/>
    <w:rsid w:val="007469DD"/>
    <w:rsid w:val="0074741B"/>
    <w:rsid w:val="0074759E"/>
    <w:rsid w:val="007478EA"/>
    <w:rsid w:val="0075415C"/>
    <w:rsid w:val="00763502"/>
    <w:rsid w:val="007913AB"/>
    <w:rsid w:val="007914F7"/>
    <w:rsid w:val="00792506"/>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35142"/>
    <w:rsid w:val="00835DB3"/>
    <w:rsid w:val="0083617B"/>
    <w:rsid w:val="008371BD"/>
    <w:rsid w:val="0084356F"/>
    <w:rsid w:val="008504A8"/>
    <w:rsid w:val="0085282E"/>
    <w:rsid w:val="0087198C"/>
    <w:rsid w:val="00872C1F"/>
    <w:rsid w:val="00873B42"/>
    <w:rsid w:val="00881F60"/>
    <w:rsid w:val="008856D8"/>
    <w:rsid w:val="00892E82"/>
    <w:rsid w:val="008C1B58"/>
    <w:rsid w:val="008C39AE"/>
    <w:rsid w:val="008C590D"/>
    <w:rsid w:val="008E031B"/>
    <w:rsid w:val="008E7029"/>
    <w:rsid w:val="008E7EF6"/>
    <w:rsid w:val="008F1F98"/>
    <w:rsid w:val="008F6758"/>
    <w:rsid w:val="008F6C97"/>
    <w:rsid w:val="009040DD"/>
    <w:rsid w:val="00905B47"/>
    <w:rsid w:val="0091331C"/>
    <w:rsid w:val="009279DE"/>
    <w:rsid w:val="00930116"/>
    <w:rsid w:val="0094212C"/>
    <w:rsid w:val="00954689"/>
    <w:rsid w:val="009617C9"/>
    <w:rsid w:val="00961C93"/>
    <w:rsid w:val="00965324"/>
    <w:rsid w:val="009666E7"/>
    <w:rsid w:val="0097091E"/>
    <w:rsid w:val="009760D3"/>
    <w:rsid w:val="00977132"/>
    <w:rsid w:val="00981A4B"/>
    <w:rsid w:val="00982501"/>
    <w:rsid w:val="009877D3"/>
    <w:rsid w:val="00994E8F"/>
    <w:rsid w:val="009951DC"/>
    <w:rsid w:val="009959BB"/>
    <w:rsid w:val="00997158"/>
    <w:rsid w:val="009A3A7C"/>
    <w:rsid w:val="009B2ADB"/>
    <w:rsid w:val="009B603A"/>
    <w:rsid w:val="009C2B7F"/>
    <w:rsid w:val="009C2D0E"/>
    <w:rsid w:val="009C3DAC"/>
    <w:rsid w:val="009C42E0"/>
    <w:rsid w:val="009D5362"/>
    <w:rsid w:val="009E1415"/>
    <w:rsid w:val="009E6116"/>
    <w:rsid w:val="009E6712"/>
    <w:rsid w:val="00A02E43"/>
    <w:rsid w:val="00A065F9"/>
    <w:rsid w:val="00A07F34"/>
    <w:rsid w:val="00A22154"/>
    <w:rsid w:val="00A25C38"/>
    <w:rsid w:val="00A36BBE"/>
    <w:rsid w:val="00A4307A"/>
    <w:rsid w:val="00A47EBB"/>
    <w:rsid w:val="00A51CDD"/>
    <w:rsid w:val="00A6730D"/>
    <w:rsid w:val="00A71625"/>
    <w:rsid w:val="00A71B9B"/>
    <w:rsid w:val="00A73050"/>
    <w:rsid w:val="00A751C7"/>
    <w:rsid w:val="00A87844"/>
    <w:rsid w:val="00AA038C"/>
    <w:rsid w:val="00AA2234"/>
    <w:rsid w:val="00AA7A09"/>
    <w:rsid w:val="00AB3B50"/>
    <w:rsid w:val="00AC05B1"/>
    <w:rsid w:val="00AD356C"/>
    <w:rsid w:val="00AD4763"/>
    <w:rsid w:val="00AE0C62"/>
    <w:rsid w:val="00AE2914"/>
    <w:rsid w:val="00AE32C6"/>
    <w:rsid w:val="00AE6D15"/>
    <w:rsid w:val="00B04182"/>
    <w:rsid w:val="00B07AE3"/>
    <w:rsid w:val="00B11430"/>
    <w:rsid w:val="00B31858"/>
    <w:rsid w:val="00B353EB"/>
    <w:rsid w:val="00B42A6E"/>
    <w:rsid w:val="00B438EC"/>
    <w:rsid w:val="00B439C4"/>
    <w:rsid w:val="00B4535E"/>
    <w:rsid w:val="00B52A8C"/>
    <w:rsid w:val="00B636A8"/>
    <w:rsid w:val="00B665C6"/>
    <w:rsid w:val="00B805AF"/>
    <w:rsid w:val="00B869EC"/>
    <w:rsid w:val="00B91FE8"/>
    <w:rsid w:val="00B9397A"/>
    <w:rsid w:val="00B9633D"/>
    <w:rsid w:val="00BA2EBE"/>
    <w:rsid w:val="00BB0F28"/>
    <w:rsid w:val="00BB458A"/>
    <w:rsid w:val="00BD00D3"/>
    <w:rsid w:val="00BD165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44EA9"/>
    <w:rsid w:val="00C601D2"/>
    <w:rsid w:val="00C65BCC"/>
    <w:rsid w:val="00C66970"/>
    <w:rsid w:val="00C74222"/>
    <w:rsid w:val="00C8691C"/>
    <w:rsid w:val="00CA168A"/>
    <w:rsid w:val="00CA357E"/>
    <w:rsid w:val="00CA44F9"/>
    <w:rsid w:val="00CA4A69"/>
    <w:rsid w:val="00CC3E0C"/>
    <w:rsid w:val="00CC58D3"/>
    <w:rsid w:val="00CC784D"/>
    <w:rsid w:val="00D0337B"/>
    <w:rsid w:val="00D079B2"/>
    <w:rsid w:val="00D114E9"/>
    <w:rsid w:val="00D13B31"/>
    <w:rsid w:val="00D429C6"/>
    <w:rsid w:val="00D47748"/>
    <w:rsid w:val="00D54CC3"/>
    <w:rsid w:val="00D6041A"/>
    <w:rsid w:val="00D633EB"/>
    <w:rsid w:val="00D66598"/>
    <w:rsid w:val="00D82FF7"/>
    <w:rsid w:val="00D847FE"/>
    <w:rsid w:val="00D964EA"/>
    <w:rsid w:val="00D966D0"/>
    <w:rsid w:val="00DA0C59"/>
    <w:rsid w:val="00DA3991"/>
    <w:rsid w:val="00DB7E6C"/>
    <w:rsid w:val="00DD5A29"/>
    <w:rsid w:val="00DD5D9D"/>
    <w:rsid w:val="00DE0E8C"/>
    <w:rsid w:val="00DE35CB"/>
    <w:rsid w:val="00DE7D99"/>
    <w:rsid w:val="00DF21E9"/>
    <w:rsid w:val="00E00F14"/>
    <w:rsid w:val="00E06386"/>
    <w:rsid w:val="00E24EB4"/>
    <w:rsid w:val="00E320ED"/>
    <w:rsid w:val="00E33AFB"/>
    <w:rsid w:val="00E34218"/>
    <w:rsid w:val="00E46282"/>
    <w:rsid w:val="00E5216E"/>
    <w:rsid w:val="00E64B30"/>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5333"/>
    <w:rsid w:val="00EC680A"/>
    <w:rsid w:val="00EE2BED"/>
    <w:rsid w:val="00EE374B"/>
    <w:rsid w:val="00F11BB5"/>
    <w:rsid w:val="00F1417B"/>
    <w:rsid w:val="00F34B99"/>
    <w:rsid w:val="00F52DAB"/>
    <w:rsid w:val="00F543F0"/>
    <w:rsid w:val="00F6786E"/>
    <w:rsid w:val="00F81D29"/>
    <w:rsid w:val="00F91C4D"/>
    <w:rsid w:val="00F92FD9"/>
    <w:rsid w:val="00FA6684"/>
    <w:rsid w:val="00FA731E"/>
    <w:rsid w:val="00FB2B38"/>
    <w:rsid w:val="00FC6358"/>
    <w:rsid w:val="00FD320D"/>
    <w:rsid w:val="00FE23DE"/>
    <w:rsid w:val="01CB6B74"/>
    <w:rsid w:val="044D1198"/>
    <w:rsid w:val="05F81331"/>
    <w:rsid w:val="06521C32"/>
    <w:rsid w:val="07773D72"/>
    <w:rsid w:val="08257CA3"/>
    <w:rsid w:val="0A8552CD"/>
    <w:rsid w:val="0B372389"/>
    <w:rsid w:val="0C774C9E"/>
    <w:rsid w:val="0EDC703A"/>
    <w:rsid w:val="10051A55"/>
    <w:rsid w:val="10911716"/>
    <w:rsid w:val="11F06B12"/>
    <w:rsid w:val="12A13108"/>
    <w:rsid w:val="13AE71F7"/>
    <w:rsid w:val="145814B9"/>
    <w:rsid w:val="16176ECF"/>
    <w:rsid w:val="178153F5"/>
    <w:rsid w:val="187B3C38"/>
    <w:rsid w:val="19AF0CB4"/>
    <w:rsid w:val="19D5062E"/>
    <w:rsid w:val="1A585B9A"/>
    <w:rsid w:val="1B2723D5"/>
    <w:rsid w:val="20D06D04"/>
    <w:rsid w:val="22A12D10"/>
    <w:rsid w:val="24871921"/>
    <w:rsid w:val="27810522"/>
    <w:rsid w:val="28BD7BFD"/>
    <w:rsid w:val="29802E73"/>
    <w:rsid w:val="310B30D7"/>
    <w:rsid w:val="32447B6A"/>
    <w:rsid w:val="3AF45C37"/>
    <w:rsid w:val="3D4701D2"/>
    <w:rsid w:val="3DB54A64"/>
    <w:rsid w:val="41A36A47"/>
    <w:rsid w:val="42E45950"/>
    <w:rsid w:val="45CE76EF"/>
    <w:rsid w:val="47E0249A"/>
    <w:rsid w:val="47E113BA"/>
    <w:rsid w:val="47ED5839"/>
    <w:rsid w:val="4B411887"/>
    <w:rsid w:val="4D8C705E"/>
    <w:rsid w:val="4DFB1A7F"/>
    <w:rsid w:val="4E5C0E7C"/>
    <w:rsid w:val="4E980EAA"/>
    <w:rsid w:val="55F51961"/>
    <w:rsid w:val="56B45230"/>
    <w:rsid w:val="5A620E47"/>
    <w:rsid w:val="5AE76118"/>
    <w:rsid w:val="5AF34ABD"/>
    <w:rsid w:val="5BA90809"/>
    <w:rsid w:val="5C4B1054"/>
    <w:rsid w:val="5C657C3C"/>
    <w:rsid w:val="5ECC1EF7"/>
    <w:rsid w:val="5F3F7B1E"/>
    <w:rsid w:val="60675432"/>
    <w:rsid w:val="639E646A"/>
    <w:rsid w:val="64C1220A"/>
    <w:rsid w:val="65E47E23"/>
    <w:rsid w:val="689D7809"/>
    <w:rsid w:val="6BC31E90"/>
    <w:rsid w:val="6CBD6827"/>
    <w:rsid w:val="6D3C3B44"/>
    <w:rsid w:val="6FD07359"/>
    <w:rsid w:val="708F7FE4"/>
    <w:rsid w:val="71184ED1"/>
    <w:rsid w:val="72356DCC"/>
    <w:rsid w:val="76253251"/>
    <w:rsid w:val="765C10E6"/>
    <w:rsid w:val="76607052"/>
    <w:rsid w:val="777360E4"/>
    <w:rsid w:val="78B96EEE"/>
    <w:rsid w:val="7AA62798"/>
    <w:rsid w:val="7DF06613"/>
    <w:rsid w:val="7F1308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2"/>
      </w:tabs>
      <w:suppressAutoHyphens w:val="0"/>
      <w:ind w:firstLine="1050"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index 6"/>
    <w:basedOn w:val="1"/>
    <w:next w:val="1"/>
    <w:qFormat/>
    <w:uiPriority w:val="0"/>
    <w:pPr>
      <w:ind w:left="1260" w:hanging="210"/>
      <w:jc w:val="left"/>
    </w:pPr>
    <w:rPr>
      <w:rFonts w:ascii="Calibri" w:hAnsi="Calibri"/>
      <w:sz w:val="20"/>
      <w:szCs w:val="20"/>
    </w:rPr>
  </w:style>
  <w:style w:type="paragraph" w:styleId="8">
    <w:name w:val="index 4"/>
    <w:basedOn w:val="1"/>
    <w:next w:val="1"/>
    <w:qFormat/>
    <w:uiPriority w:val="0"/>
    <w:pPr>
      <w:ind w:left="840" w:hanging="210"/>
      <w:jc w:val="left"/>
    </w:pPr>
    <w:rPr>
      <w:rFonts w:ascii="Calibri" w:hAnsi="Calibri"/>
      <w:sz w:val="20"/>
      <w:szCs w:val="20"/>
    </w:rPr>
  </w:style>
  <w:style w:type="paragraph" w:styleId="9">
    <w:name w:val="toc 5"/>
    <w:basedOn w:val="1"/>
    <w:next w:val="1"/>
    <w:semiHidden/>
    <w:qFormat/>
    <w:uiPriority w:val="0"/>
    <w:pPr>
      <w:tabs>
        <w:tab w:val="right" w:leader="dot" w:pos="9242"/>
      </w:tabs>
      <w:suppressAutoHyphens w:val="0"/>
      <w:ind w:firstLine="630" w:firstLineChars="300"/>
      <w:jc w:val="left"/>
    </w:pPr>
    <w:rPr>
      <w:rFonts w:ascii="宋体"/>
      <w:szCs w:val="21"/>
    </w:rPr>
  </w:style>
  <w:style w:type="paragraph" w:styleId="10">
    <w:name w:val="toc 3"/>
    <w:basedOn w:val="1"/>
    <w:next w:val="1"/>
    <w:semiHidden/>
    <w:qFormat/>
    <w:uiPriority w:val="0"/>
    <w:pPr>
      <w:tabs>
        <w:tab w:val="right" w:leader="dot" w:pos="9242"/>
      </w:tabs>
      <w:suppressAutoHyphens w:val="0"/>
      <w:ind w:firstLine="210" w:firstLineChars="100"/>
      <w:jc w:val="left"/>
    </w:pPr>
    <w:rPr>
      <w:rFonts w:ascii="宋体"/>
      <w:szCs w:val="21"/>
    </w:rPr>
  </w:style>
  <w:style w:type="paragraph" w:styleId="11">
    <w:name w:val="toc 8"/>
    <w:basedOn w:val="1"/>
    <w:next w:val="1"/>
    <w:semiHidden/>
    <w:qFormat/>
    <w:uiPriority w:val="0"/>
    <w:pPr>
      <w:tabs>
        <w:tab w:val="right" w:leader="dot" w:pos="9242"/>
      </w:tabs>
      <w:suppressAutoHyphens w:val="0"/>
      <w:ind w:firstLine="1260" w:firstLineChars="600"/>
      <w:jc w:val="left"/>
    </w:pPr>
    <w:rPr>
      <w:rFonts w:ascii="宋体"/>
      <w:szCs w:val="21"/>
    </w:rPr>
  </w:style>
  <w:style w:type="paragraph" w:styleId="12">
    <w:name w:val="index 3"/>
    <w:basedOn w:val="1"/>
    <w:next w:val="1"/>
    <w:qFormat/>
    <w:uiPriority w:val="0"/>
    <w:pPr>
      <w:ind w:left="630" w:hanging="210"/>
      <w:jc w:val="left"/>
    </w:pPr>
    <w:rPr>
      <w:rFonts w:ascii="Calibri" w:hAnsi="Calibri"/>
      <w:sz w:val="20"/>
      <w:szCs w:val="20"/>
    </w:rPr>
  </w:style>
  <w:style w:type="paragraph" w:styleId="13">
    <w:name w:val="endnote text"/>
    <w:basedOn w:val="1"/>
    <w:semiHidden/>
    <w:qFormat/>
    <w:uiPriority w:val="0"/>
    <w:pPr>
      <w:snapToGrid w:val="0"/>
      <w:jc w:val="left"/>
    </w:pPr>
  </w:style>
  <w:style w:type="paragraph" w:styleId="14">
    <w:name w:val="footer"/>
    <w:basedOn w:val="1"/>
    <w:qFormat/>
    <w:uiPriority w:val="0"/>
    <w:pPr>
      <w:snapToGrid w:val="0"/>
      <w:ind w:right="210" w:rightChars="100"/>
      <w:jc w:val="right"/>
    </w:pPr>
    <w:rPr>
      <w:sz w:val="18"/>
      <w:szCs w:val="18"/>
    </w:rPr>
  </w:style>
  <w:style w:type="paragraph" w:styleId="15">
    <w:name w:val="header"/>
    <w:basedOn w:val="1"/>
    <w:qFormat/>
    <w:uiPriority w:val="0"/>
    <w:pPr>
      <w:snapToGrid w:val="0"/>
      <w:jc w:val="left"/>
    </w:pPr>
    <w:rPr>
      <w:sz w:val="18"/>
      <w:szCs w:val="18"/>
    </w:rPr>
  </w:style>
  <w:style w:type="paragraph" w:styleId="16">
    <w:name w:val="toc 1"/>
    <w:basedOn w:val="1"/>
    <w:next w:val="1"/>
    <w:qFormat/>
    <w:uiPriority w:val="39"/>
    <w:pPr>
      <w:tabs>
        <w:tab w:val="right" w:leader="dot" w:pos="9242"/>
      </w:tabs>
      <w:spacing w:before="79" w:beforeLines="25" w:after="79" w:afterLines="25"/>
      <w:jc w:val="left"/>
    </w:pPr>
    <w:rPr>
      <w:rFonts w:ascii="宋体"/>
      <w:szCs w:val="21"/>
    </w:rPr>
  </w:style>
  <w:style w:type="paragraph" w:styleId="17">
    <w:name w:val="toc 4"/>
    <w:basedOn w:val="1"/>
    <w:next w:val="1"/>
    <w:semiHidden/>
    <w:qFormat/>
    <w:uiPriority w:val="0"/>
    <w:pPr>
      <w:tabs>
        <w:tab w:val="right" w:leader="dot" w:pos="9242"/>
      </w:tabs>
      <w:suppressAutoHyphens w:val="0"/>
      <w:ind w:firstLine="420" w:firstLineChars="200"/>
      <w:jc w:val="left"/>
    </w:pPr>
    <w:rPr>
      <w:rFonts w:ascii="宋体"/>
      <w:szCs w:val="21"/>
    </w:rPr>
  </w:style>
  <w:style w:type="paragraph" w:styleId="18">
    <w:name w:val="index heading"/>
    <w:basedOn w:val="1"/>
    <w:next w:val="19"/>
    <w:qFormat/>
    <w:uiPriority w:val="0"/>
    <w:pPr>
      <w:spacing w:before="120" w:after="120"/>
      <w:jc w:val="center"/>
    </w:pPr>
    <w:rPr>
      <w:rFonts w:ascii="Calibri" w:hAnsi="Calibri"/>
      <w:b/>
      <w:bCs/>
      <w:iCs/>
      <w:szCs w:val="20"/>
    </w:rPr>
  </w:style>
  <w:style w:type="paragraph" w:styleId="19">
    <w:name w:val="index 1"/>
    <w:basedOn w:val="1"/>
    <w:next w:val="20"/>
    <w:qFormat/>
    <w:uiPriority w:val="0"/>
    <w:pPr>
      <w:tabs>
        <w:tab w:val="right" w:leader="dot" w:pos="9299"/>
      </w:tabs>
      <w:jc w:val="left"/>
    </w:pPr>
    <w:rPr>
      <w:rFonts w:ascii="宋体"/>
      <w:szCs w:val="21"/>
    </w:rPr>
  </w:style>
  <w:style w:type="paragraph" w:customStyle="1" w:styleId="20">
    <w:name w:val="段"/>
    <w:link w:val="3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1">
    <w:name w:val="footnote text"/>
    <w:basedOn w:val="1"/>
    <w:qFormat/>
    <w:uiPriority w:val="0"/>
    <w:pPr>
      <w:numPr>
        <w:ilvl w:val="0"/>
        <w:numId w:val="1"/>
      </w:numPr>
      <w:snapToGrid w:val="0"/>
      <w:jc w:val="left"/>
    </w:pPr>
    <w:rPr>
      <w:rFonts w:ascii="宋体"/>
      <w:sz w:val="18"/>
      <w:szCs w:val="18"/>
    </w:rPr>
  </w:style>
  <w:style w:type="paragraph" w:styleId="22">
    <w:name w:val="toc 6"/>
    <w:basedOn w:val="1"/>
    <w:next w:val="1"/>
    <w:semiHidden/>
    <w:qFormat/>
    <w:uiPriority w:val="0"/>
    <w:pPr>
      <w:tabs>
        <w:tab w:val="right" w:leader="dot" w:pos="9242"/>
      </w:tabs>
      <w:suppressAutoHyphens w:val="0"/>
      <w:ind w:firstLine="840" w:firstLineChars="400"/>
      <w:jc w:val="left"/>
    </w:pPr>
    <w:rPr>
      <w:rFonts w:ascii="宋体"/>
      <w:szCs w:val="21"/>
    </w:rPr>
  </w:style>
  <w:style w:type="paragraph" w:styleId="23">
    <w:name w:val="index 7"/>
    <w:basedOn w:val="1"/>
    <w:next w:val="1"/>
    <w:qFormat/>
    <w:uiPriority w:val="0"/>
    <w:pPr>
      <w:ind w:left="1470" w:hanging="210"/>
      <w:jc w:val="left"/>
    </w:pPr>
    <w:rPr>
      <w:rFonts w:ascii="Calibri" w:hAnsi="Calibri"/>
      <w:sz w:val="20"/>
      <w:szCs w:val="20"/>
    </w:rPr>
  </w:style>
  <w:style w:type="paragraph" w:styleId="24">
    <w:name w:val="index 9"/>
    <w:basedOn w:val="1"/>
    <w:next w:val="1"/>
    <w:qFormat/>
    <w:uiPriority w:val="0"/>
    <w:pPr>
      <w:ind w:left="1890" w:hanging="210"/>
      <w:jc w:val="left"/>
    </w:pPr>
    <w:rPr>
      <w:rFonts w:ascii="Calibri" w:hAnsi="Calibri"/>
      <w:sz w:val="20"/>
      <w:szCs w:val="20"/>
    </w:rPr>
  </w:style>
  <w:style w:type="paragraph" w:styleId="25">
    <w:name w:val="toc 2"/>
    <w:basedOn w:val="1"/>
    <w:next w:val="1"/>
    <w:semiHidden/>
    <w:qFormat/>
    <w:uiPriority w:val="0"/>
    <w:pPr>
      <w:tabs>
        <w:tab w:val="right" w:leader="dot" w:pos="9242"/>
      </w:tabs>
    </w:pPr>
    <w:rPr>
      <w:rFonts w:ascii="宋体"/>
      <w:szCs w:val="21"/>
    </w:rPr>
  </w:style>
  <w:style w:type="paragraph" w:styleId="26">
    <w:name w:val="toc 9"/>
    <w:basedOn w:val="1"/>
    <w:next w:val="1"/>
    <w:semiHidden/>
    <w:qFormat/>
    <w:uiPriority w:val="0"/>
    <w:pPr>
      <w:ind w:left="1470"/>
      <w:jc w:val="left"/>
    </w:pPr>
    <w:rPr>
      <w:sz w:val="20"/>
      <w:szCs w:val="20"/>
    </w:rPr>
  </w:style>
  <w:style w:type="paragraph" w:styleId="27">
    <w:name w:val="index 2"/>
    <w:basedOn w:val="1"/>
    <w:next w:val="1"/>
    <w:qFormat/>
    <w:uiPriority w:val="0"/>
    <w:pPr>
      <w:ind w:left="420" w:hanging="210"/>
      <w:jc w:val="left"/>
    </w:pPr>
    <w:rPr>
      <w:rFonts w:ascii="Calibri" w:hAnsi="Calibri"/>
      <w:sz w:val="20"/>
      <w:szCs w:val="20"/>
    </w:rPr>
  </w:style>
  <w:style w:type="table" w:styleId="29">
    <w:name w:val="Table Grid"/>
    <w:basedOn w:val="28"/>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basedOn w:val="30"/>
    <w:qFormat/>
    <w:uiPriority w:val="0"/>
    <w:rPr>
      <w:b/>
    </w:rPr>
  </w:style>
  <w:style w:type="character" w:styleId="32">
    <w:name w:val="endnote reference"/>
    <w:basedOn w:val="30"/>
    <w:semiHidden/>
    <w:qFormat/>
    <w:uiPriority w:val="0"/>
    <w:rPr>
      <w:vertAlign w:val="superscript"/>
    </w:rPr>
  </w:style>
  <w:style w:type="character" w:styleId="33">
    <w:name w:val="page number"/>
    <w:basedOn w:val="30"/>
    <w:qFormat/>
    <w:uiPriority w:val="0"/>
    <w:rPr>
      <w:rFonts w:ascii="Times New Roman" w:hAnsi="Times New Roman" w:eastAsia="宋体"/>
      <w:sz w:val="18"/>
    </w:rPr>
  </w:style>
  <w:style w:type="character" w:styleId="34">
    <w:name w:val="FollowedHyperlink"/>
    <w:basedOn w:val="30"/>
    <w:qFormat/>
    <w:uiPriority w:val="0"/>
    <w:rPr>
      <w:color w:val="800080"/>
      <w:u w:val="single"/>
    </w:rPr>
  </w:style>
  <w:style w:type="character" w:styleId="35">
    <w:name w:val="Hyperlink"/>
    <w:basedOn w:val="30"/>
    <w:qFormat/>
    <w:uiPriority w:val="99"/>
    <w:rPr>
      <w:color w:val="0000FF"/>
      <w:spacing w:val="0"/>
      <w:w w:val="100"/>
      <w:szCs w:val="21"/>
      <w:u w:val="single"/>
    </w:rPr>
  </w:style>
  <w:style w:type="character" w:styleId="36">
    <w:name w:val="footnote reference"/>
    <w:basedOn w:val="30"/>
    <w:semiHidden/>
    <w:qFormat/>
    <w:uiPriority w:val="0"/>
    <w:rPr>
      <w:vertAlign w:val="superscript"/>
    </w:rPr>
  </w:style>
  <w:style w:type="character" w:customStyle="1" w:styleId="37">
    <w:name w:val="段 Char"/>
    <w:basedOn w:val="30"/>
    <w:link w:val="20"/>
    <w:qFormat/>
    <w:uiPriority w:val="0"/>
    <w:rPr>
      <w:rFonts w:ascii="宋体"/>
      <w:sz w:val="21"/>
      <w:lang w:val="en-US" w:eastAsia="zh-CN" w:bidi="ar-SA"/>
    </w:rPr>
  </w:style>
  <w:style w:type="paragraph" w:customStyle="1" w:styleId="38">
    <w:name w:val="一级条标题"/>
    <w:next w:val="20"/>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1">
    <w:name w:val="章标题"/>
    <w:next w:val="20"/>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2">
    <w:name w:val="二级条标题"/>
    <w:basedOn w:val="38"/>
    <w:next w:val="20"/>
    <w:qFormat/>
    <w:uiPriority w:val="0"/>
    <w:pPr>
      <w:numPr>
        <w:ilvl w:val="2"/>
      </w:numPr>
      <w:spacing w:before="50" w:after="50"/>
      <w:outlineLvl w:val="3"/>
    </w:pPr>
  </w:style>
  <w:style w:type="paragraph" w:customStyle="1" w:styleId="4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4">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5">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6">
    <w:name w:val="目次、标准名称标题"/>
    <w:basedOn w:val="1"/>
    <w:next w:val="2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7">
    <w:name w:val="三级条标题"/>
    <w:basedOn w:val="42"/>
    <w:next w:val="20"/>
    <w:qFormat/>
    <w:uiPriority w:val="0"/>
    <w:pPr>
      <w:numPr>
        <w:ilvl w:val="3"/>
      </w:numPr>
      <w:outlineLvl w:val="4"/>
    </w:pPr>
  </w:style>
  <w:style w:type="paragraph" w:customStyle="1" w:styleId="48">
    <w:name w:val="示例"/>
    <w:next w:val="49"/>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49">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0">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1">
    <w:name w:val="四级条标题"/>
    <w:basedOn w:val="47"/>
    <w:next w:val="20"/>
    <w:qFormat/>
    <w:uiPriority w:val="0"/>
    <w:pPr>
      <w:numPr>
        <w:ilvl w:val="4"/>
      </w:numPr>
      <w:outlineLvl w:val="5"/>
    </w:pPr>
  </w:style>
  <w:style w:type="paragraph" w:customStyle="1" w:styleId="52">
    <w:name w:val="五级条标题"/>
    <w:basedOn w:val="51"/>
    <w:next w:val="20"/>
    <w:qFormat/>
    <w:uiPriority w:val="0"/>
    <w:pPr>
      <w:numPr>
        <w:ilvl w:val="5"/>
      </w:numPr>
      <w:outlineLvl w:val="6"/>
    </w:pPr>
  </w:style>
  <w:style w:type="paragraph" w:customStyle="1" w:styleId="53">
    <w:name w:val="注："/>
    <w:next w:val="20"/>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4">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5">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6">
    <w:name w:val="列项◆（三级）"/>
    <w:basedOn w:val="1"/>
    <w:qFormat/>
    <w:uiPriority w:val="0"/>
    <w:pPr>
      <w:numPr>
        <w:ilvl w:val="2"/>
        <w:numId w:val="3"/>
      </w:numPr>
    </w:pPr>
    <w:rPr>
      <w:rFonts w:ascii="宋体"/>
      <w:szCs w:val="21"/>
    </w:rPr>
  </w:style>
  <w:style w:type="paragraph" w:customStyle="1" w:styleId="57">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58">
    <w:name w:val="示例×："/>
    <w:basedOn w:val="41"/>
    <w:qFormat/>
    <w:uiPriority w:val="0"/>
    <w:pPr>
      <w:numPr>
        <w:numId w:val="8"/>
      </w:numPr>
      <w:spacing w:beforeLines="0" w:afterLines="0"/>
      <w:outlineLvl w:val="9"/>
    </w:pPr>
    <w:rPr>
      <w:rFonts w:ascii="宋体" w:eastAsia="宋体"/>
      <w:sz w:val="18"/>
      <w:szCs w:val="18"/>
    </w:rPr>
  </w:style>
  <w:style w:type="paragraph" w:customStyle="1" w:styleId="59">
    <w:name w:val="二级无"/>
    <w:basedOn w:val="42"/>
    <w:qFormat/>
    <w:uiPriority w:val="0"/>
    <w:pPr>
      <w:spacing w:beforeLines="0" w:afterLines="0"/>
    </w:pPr>
    <w:rPr>
      <w:rFonts w:ascii="宋体" w:eastAsia="宋体"/>
    </w:rPr>
  </w:style>
  <w:style w:type="paragraph" w:customStyle="1" w:styleId="60">
    <w:name w:val="注：（正文）"/>
    <w:basedOn w:val="53"/>
    <w:next w:val="20"/>
    <w:qFormat/>
    <w:uiPriority w:val="0"/>
  </w:style>
  <w:style w:type="paragraph" w:customStyle="1" w:styleId="61">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3">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4">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5">
    <w:name w:val="标准书眉_偶数页"/>
    <w:basedOn w:val="40"/>
    <w:next w:val="1"/>
    <w:qFormat/>
    <w:uiPriority w:val="0"/>
    <w:pPr>
      <w:jc w:val="left"/>
    </w:pPr>
  </w:style>
  <w:style w:type="paragraph" w:customStyle="1" w:styleId="66">
    <w:name w:val="标准书眉一"/>
    <w:qFormat/>
    <w:uiPriority w:val="0"/>
    <w:pPr>
      <w:jc w:val="both"/>
    </w:pPr>
    <w:rPr>
      <w:rFonts w:ascii="Times New Roman" w:hAnsi="Times New Roman" w:eastAsia="宋体" w:cs="Times New Roman"/>
      <w:lang w:val="en-US" w:eastAsia="zh-CN" w:bidi="ar-SA"/>
    </w:rPr>
  </w:style>
  <w:style w:type="paragraph" w:customStyle="1" w:styleId="67">
    <w:name w:val="参考文献"/>
    <w:basedOn w:val="1"/>
    <w:next w:val="20"/>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8">
    <w:name w:val="参考文献、索引标题"/>
    <w:basedOn w:val="1"/>
    <w:next w:val="20"/>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69">
    <w:name w:val="发布"/>
    <w:basedOn w:val="30"/>
    <w:qFormat/>
    <w:uiPriority w:val="0"/>
    <w:rPr>
      <w:rFonts w:ascii="黑体" w:eastAsia="黑体"/>
      <w:spacing w:val="85"/>
      <w:w w:val="100"/>
      <w:position w:val="3"/>
      <w:sz w:val="28"/>
      <w:szCs w:val="28"/>
    </w:rPr>
  </w:style>
  <w:style w:type="paragraph" w:customStyle="1" w:styleId="70">
    <w:name w:val="发布部门"/>
    <w:next w:val="20"/>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1">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2">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5">
    <w:name w:val="封面标准英文名称"/>
    <w:basedOn w:val="74"/>
    <w:qFormat/>
    <w:uiPriority w:val="0"/>
    <w:pPr>
      <w:framePr w:wrap="around"/>
      <w:spacing w:before="370" w:line="400" w:lineRule="exact"/>
    </w:pPr>
    <w:rPr>
      <w:rFonts w:ascii="Times New Roman"/>
      <w:sz w:val="28"/>
      <w:szCs w:val="28"/>
    </w:rPr>
  </w:style>
  <w:style w:type="paragraph" w:customStyle="1" w:styleId="76">
    <w:name w:val="封面一致性程度标识"/>
    <w:basedOn w:val="75"/>
    <w:qFormat/>
    <w:uiPriority w:val="0"/>
    <w:pPr>
      <w:framePr w:wrap="around"/>
      <w:spacing w:before="440"/>
    </w:pPr>
    <w:rPr>
      <w:rFonts w:ascii="宋体" w:eastAsia="宋体"/>
    </w:rPr>
  </w:style>
  <w:style w:type="paragraph" w:customStyle="1" w:styleId="77">
    <w:name w:val="封面标准文稿类别"/>
    <w:basedOn w:val="76"/>
    <w:qFormat/>
    <w:uiPriority w:val="0"/>
    <w:pPr>
      <w:framePr w:wrap="around"/>
      <w:spacing w:after="160" w:line="240" w:lineRule="auto"/>
    </w:pPr>
    <w:rPr>
      <w:sz w:val="24"/>
    </w:rPr>
  </w:style>
  <w:style w:type="paragraph" w:customStyle="1" w:styleId="78">
    <w:name w:val="封面标准文稿编辑信息"/>
    <w:basedOn w:val="77"/>
    <w:qFormat/>
    <w:uiPriority w:val="0"/>
    <w:pPr>
      <w:framePr w:wrap="around"/>
      <w:spacing w:before="180" w:line="180" w:lineRule="exact"/>
    </w:pPr>
    <w:rPr>
      <w:sz w:val="21"/>
    </w:rPr>
  </w:style>
  <w:style w:type="paragraph" w:customStyle="1" w:styleId="79">
    <w:name w:val="封面正文"/>
    <w:qFormat/>
    <w:uiPriority w:val="0"/>
    <w:pPr>
      <w:jc w:val="both"/>
    </w:pPr>
    <w:rPr>
      <w:rFonts w:ascii="Times New Roman" w:hAnsi="Times New Roman" w:eastAsia="宋体" w:cs="Times New Roman"/>
      <w:lang w:val="en-US" w:eastAsia="zh-CN" w:bidi="ar-SA"/>
    </w:rPr>
  </w:style>
  <w:style w:type="paragraph" w:customStyle="1" w:styleId="80">
    <w:name w:val="附录标识"/>
    <w:basedOn w:val="1"/>
    <w:next w:val="20"/>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1">
    <w:name w:val="附录标题"/>
    <w:basedOn w:val="20"/>
    <w:next w:val="20"/>
    <w:qFormat/>
    <w:uiPriority w:val="0"/>
    <w:pPr>
      <w:ind w:firstLine="0" w:firstLineChars="0"/>
      <w:jc w:val="center"/>
    </w:pPr>
    <w:rPr>
      <w:rFonts w:ascii="黑体" w:eastAsia="黑体"/>
    </w:rPr>
  </w:style>
  <w:style w:type="paragraph" w:customStyle="1" w:styleId="82">
    <w:name w:val="附录表标号"/>
    <w:basedOn w:val="1"/>
    <w:next w:val="20"/>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3">
    <w:name w:val="附录表标题"/>
    <w:basedOn w:val="1"/>
    <w:next w:val="20"/>
    <w:qFormat/>
    <w:uiPriority w:val="0"/>
    <w:pPr>
      <w:numPr>
        <w:ilvl w:val="1"/>
        <w:numId w:val="11"/>
      </w:numPr>
      <w:tabs>
        <w:tab w:val="left" w:pos="180"/>
      </w:tabs>
      <w:spacing w:beforeLines="50" w:afterLines="50"/>
      <w:ind w:left="0" w:firstLine="0"/>
      <w:jc w:val="center"/>
    </w:pPr>
    <w:rPr>
      <w:rFonts w:ascii="黑体" w:eastAsia="黑体"/>
      <w:szCs w:val="21"/>
    </w:rPr>
  </w:style>
  <w:style w:type="paragraph" w:customStyle="1" w:styleId="84">
    <w:name w:val="附录二级条标题"/>
    <w:basedOn w:val="1"/>
    <w:next w:val="20"/>
    <w:qFormat/>
    <w:uiPriority w:val="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5">
    <w:name w:val="附录二级无"/>
    <w:basedOn w:val="84"/>
    <w:qFormat/>
    <w:uiPriority w:val="0"/>
    <w:pPr>
      <w:tabs>
        <w:tab w:val="clear" w:pos="360"/>
      </w:tabs>
      <w:spacing w:beforeLines="0" w:afterLines="0"/>
    </w:pPr>
    <w:rPr>
      <w:rFonts w:ascii="宋体" w:eastAsia="宋体"/>
      <w:szCs w:val="21"/>
    </w:rPr>
  </w:style>
  <w:style w:type="paragraph" w:customStyle="1" w:styleId="86">
    <w:name w:val="附录公式"/>
    <w:basedOn w:val="20"/>
    <w:next w:val="20"/>
    <w:link w:val="87"/>
    <w:qFormat/>
    <w:uiPriority w:val="0"/>
  </w:style>
  <w:style w:type="character" w:customStyle="1" w:styleId="87">
    <w:name w:val="附录公式 Char"/>
    <w:basedOn w:val="37"/>
    <w:link w:val="86"/>
    <w:qFormat/>
    <w:uiPriority w:val="0"/>
  </w:style>
  <w:style w:type="paragraph" w:customStyle="1" w:styleId="88">
    <w:name w:val="附录公式编号制表符"/>
    <w:basedOn w:val="1"/>
    <w:next w:val="20"/>
    <w:qFormat/>
    <w:uiPriority w:val="0"/>
    <w:pPr>
      <w:widowControl/>
      <w:tabs>
        <w:tab w:val="center" w:pos="4201"/>
        <w:tab w:val="right" w:leader="dot" w:pos="9298"/>
      </w:tabs>
      <w:autoSpaceDE w:val="0"/>
      <w:autoSpaceDN w:val="0"/>
    </w:pPr>
    <w:rPr>
      <w:rFonts w:ascii="宋体"/>
      <w:kern w:val="0"/>
      <w:szCs w:val="20"/>
    </w:rPr>
  </w:style>
  <w:style w:type="paragraph" w:customStyle="1" w:styleId="89">
    <w:name w:val="附录三级条标题"/>
    <w:basedOn w:val="84"/>
    <w:next w:val="20"/>
    <w:qFormat/>
    <w:uiPriority w:val="0"/>
    <w:pPr>
      <w:numPr>
        <w:ilvl w:val="4"/>
      </w:numPr>
      <w:outlineLvl w:val="4"/>
    </w:pPr>
  </w:style>
  <w:style w:type="paragraph" w:customStyle="1" w:styleId="90">
    <w:name w:val="附录三级无"/>
    <w:basedOn w:val="89"/>
    <w:qFormat/>
    <w:uiPriority w:val="0"/>
    <w:pPr>
      <w:tabs>
        <w:tab w:val="clear" w:pos="360"/>
      </w:tabs>
      <w:spacing w:beforeLines="0" w:afterLines="0"/>
    </w:pPr>
    <w:rPr>
      <w:rFonts w:ascii="宋体" w:eastAsia="宋体"/>
      <w:szCs w:val="21"/>
    </w:rPr>
  </w:style>
  <w:style w:type="paragraph" w:customStyle="1" w:styleId="91">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2">
    <w:name w:val="附录四级条标题"/>
    <w:basedOn w:val="89"/>
    <w:next w:val="20"/>
    <w:qFormat/>
    <w:uiPriority w:val="0"/>
    <w:pPr>
      <w:numPr>
        <w:ilvl w:val="5"/>
      </w:numPr>
      <w:outlineLvl w:val="5"/>
    </w:pPr>
  </w:style>
  <w:style w:type="paragraph" w:customStyle="1" w:styleId="93">
    <w:name w:val="附录四级无"/>
    <w:basedOn w:val="92"/>
    <w:qFormat/>
    <w:uiPriority w:val="0"/>
    <w:pPr>
      <w:tabs>
        <w:tab w:val="clear" w:pos="360"/>
      </w:tabs>
      <w:spacing w:beforeLines="0" w:afterLines="0"/>
    </w:pPr>
    <w:rPr>
      <w:rFonts w:ascii="宋体" w:eastAsia="宋体"/>
      <w:szCs w:val="21"/>
    </w:rPr>
  </w:style>
  <w:style w:type="paragraph" w:customStyle="1" w:styleId="94">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95">
    <w:name w:val="附录图标题"/>
    <w:basedOn w:val="1"/>
    <w:next w:val="20"/>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96">
    <w:name w:val="附录五级条标题"/>
    <w:basedOn w:val="92"/>
    <w:next w:val="20"/>
    <w:qFormat/>
    <w:uiPriority w:val="0"/>
    <w:pPr>
      <w:numPr>
        <w:ilvl w:val="6"/>
      </w:numPr>
      <w:outlineLvl w:val="6"/>
    </w:pPr>
  </w:style>
  <w:style w:type="paragraph" w:customStyle="1" w:styleId="97">
    <w:name w:val="附录五级无"/>
    <w:basedOn w:val="96"/>
    <w:qFormat/>
    <w:uiPriority w:val="0"/>
    <w:pPr>
      <w:tabs>
        <w:tab w:val="clear" w:pos="360"/>
      </w:tabs>
      <w:spacing w:beforeLines="0" w:afterLines="0"/>
    </w:pPr>
    <w:rPr>
      <w:rFonts w:ascii="宋体" w:eastAsia="宋体"/>
      <w:szCs w:val="21"/>
    </w:rPr>
  </w:style>
  <w:style w:type="paragraph" w:customStyle="1" w:styleId="98">
    <w:name w:val="附录章标题"/>
    <w:next w:val="20"/>
    <w:qFormat/>
    <w:uiPriority w:val="0"/>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99">
    <w:name w:val="附录一级条标题"/>
    <w:basedOn w:val="98"/>
    <w:next w:val="20"/>
    <w:qFormat/>
    <w:uiPriority w:val="0"/>
    <w:pPr>
      <w:numPr>
        <w:ilvl w:val="2"/>
      </w:numPr>
      <w:autoSpaceDN w:val="0"/>
      <w:spacing w:beforeLines="50" w:afterLines="50"/>
      <w:outlineLvl w:val="2"/>
    </w:pPr>
  </w:style>
  <w:style w:type="paragraph" w:customStyle="1" w:styleId="100">
    <w:name w:val="附录一级无"/>
    <w:basedOn w:val="99"/>
    <w:qFormat/>
    <w:uiPriority w:val="0"/>
    <w:pPr>
      <w:tabs>
        <w:tab w:val="clear" w:pos="360"/>
      </w:tabs>
      <w:spacing w:beforeLines="0" w:afterLines="0"/>
    </w:pPr>
    <w:rPr>
      <w:rFonts w:ascii="宋体" w:eastAsia="宋体"/>
      <w:szCs w:val="21"/>
    </w:rPr>
  </w:style>
  <w:style w:type="paragraph" w:customStyle="1" w:styleId="101">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2">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3">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5">
    <w:name w:val="其他标准标志"/>
    <w:basedOn w:val="62"/>
    <w:qFormat/>
    <w:uiPriority w:val="0"/>
    <w:pPr>
      <w:framePr w:w="6101" w:wrap="around" w:vAnchor="page" w:hAnchor="page" w:x="4673" w:y="942"/>
    </w:pPr>
    <w:rPr>
      <w:w w:val="130"/>
    </w:rPr>
  </w:style>
  <w:style w:type="paragraph" w:customStyle="1" w:styleId="10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7">
    <w:name w:val="其他发布部门"/>
    <w:basedOn w:val="70"/>
    <w:qFormat/>
    <w:uiPriority w:val="0"/>
    <w:pPr>
      <w:framePr w:wrap="around" w:y="15310"/>
      <w:spacing w:line="0" w:lineRule="atLeast"/>
    </w:pPr>
    <w:rPr>
      <w:rFonts w:ascii="黑体" w:eastAsia="黑体"/>
      <w:b w:val="0"/>
    </w:rPr>
  </w:style>
  <w:style w:type="paragraph" w:customStyle="1" w:styleId="108">
    <w:name w:val="前言、引言标题"/>
    <w:next w:val="20"/>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09">
    <w:name w:val="三级无"/>
    <w:basedOn w:val="47"/>
    <w:qFormat/>
    <w:uiPriority w:val="0"/>
    <w:pPr>
      <w:spacing w:beforeLines="0" w:afterLines="0"/>
    </w:pPr>
    <w:rPr>
      <w:rFonts w:ascii="宋体" w:eastAsia="宋体"/>
    </w:rPr>
  </w:style>
  <w:style w:type="paragraph" w:customStyle="1" w:styleId="110">
    <w:name w:val="实施日期"/>
    <w:basedOn w:val="71"/>
    <w:qFormat/>
    <w:uiPriority w:val="0"/>
    <w:pPr>
      <w:framePr w:wrap="around" w:vAnchor="page"/>
      <w:jc w:val="right"/>
    </w:pPr>
  </w:style>
  <w:style w:type="paragraph" w:customStyle="1" w:styleId="111">
    <w:name w:val="示例后文字"/>
    <w:basedOn w:val="20"/>
    <w:next w:val="20"/>
    <w:qFormat/>
    <w:uiPriority w:val="0"/>
    <w:pPr>
      <w:ind w:firstLine="360"/>
    </w:pPr>
    <w:rPr>
      <w:sz w:val="18"/>
    </w:rPr>
  </w:style>
  <w:style w:type="paragraph" w:customStyle="1" w:styleId="112">
    <w:name w:val="首示例"/>
    <w:next w:val="20"/>
    <w:link w:val="113"/>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3">
    <w:name w:val="首示例 Char"/>
    <w:basedOn w:val="30"/>
    <w:link w:val="112"/>
    <w:qFormat/>
    <w:uiPriority w:val="0"/>
    <w:rPr>
      <w:rFonts w:ascii="宋体" w:hAnsi="宋体"/>
      <w:kern w:val="2"/>
      <w:sz w:val="18"/>
      <w:szCs w:val="18"/>
      <w:lang w:val="en-US" w:eastAsia="zh-CN" w:bidi="ar-SA"/>
    </w:rPr>
  </w:style>
  <w:style w:type="paragraph" w:customStyle="1" w:styleId="114">
    <w:name w:val="四级无"/>
    <w:basedOn w:val="51"/>
    <w:qFormat/>
    <w:uiPriority w:val="0"/>
    <w:pPr>
      <w:spacing w:beforeLines="0" w:afterLines="0"/>
    </w:pPr>
    <w:rPr>
      <w:rFonts w:ascii="宋体" w:eastAsia="宋体"/>
    </w:rPr>
  </w:style>
  <w:style w:type="paragraph" w:customStyle="1" w:styleId="115">
    <w:name w:val="条文脚注"/>
    <w:basedOn w:val="21"/>
    <w:qFormat/>
    <w:uiPriority w:val="0"/>
    <w:pPr>
      <w:numPr>
        <w:numId w:val="0"/>
      </w:numPr>
      <w:tabs>
        <w:tab w:val="clear" w:pos="0"/>
      </w:tabs>
      <w:jc w:val="both"/>
    </w:pPr>
  </w:style>
  <w:style w:type="paragraph" w:customStyle="1" w:styleId="116">
    <w:name w:val="图标脚注说明"/>
    <w:basedOn w:val="20"/>
    <w:qFormat/>
    <w:uiPriority w:val="0"/>
    <w:pPr>
      <w:ind w:left="840" w:hanging="420" w:firstLineChars="0"/>
    </w:pPr>
    <w:rPr>
      <w:sz w:val="18"/>
      <w:szCs w:val="18"/>
    </w:rPr>
  </w:style>
  <w:style w:type="paragraph" w:customStyle="1" w:styleId="117">
    <w:name w:val="图表脚注说明"/>
    <w:basedOn w:val="1"/>
    <w:qFormat/>
    <w:uiPriority w:val="0"/>
    <w:pPr>
      <w:numPr>
        <w:ilvl w:val="0"/>
        <w:numId w:val="15"/>
      </w:numPr>
    </w:pPr>
    <w:rPr>
      <w:rFonts w:ascii="宋体"/>
      <w:sz w:val="18"/>
      <w:szCs w:val="18"/>
    </w:rPr>
  </w:style>
  <w:style w:type="paragraph" w:customStyle="1" w:styleId="118">
    <w:name w:val="图的脚注"/>
    <w:next w:val="20"/>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0">
    <w:name w:val="五级无"/>
    <w:basedOn w:val="52"/>
    <w:qFormat/>
    <w:uiPriority w:val="0"/>
    <w:pPr>
      <w:spacing w:beforeLines="0" w:afterLines="0"/>
    </w:pPr>
    <w:rPr>
      <w:rFonts w:ascii="宋体" w:eastAsia="宋体"/>
    </w:rPr>
  </w:style>
  <w:style w:type="paragraph" w:customStyle="1" w:styleId="121">
    <w:name w:val="一级无"/>
    <w:basedOn w:val="38"/>
    <w:qFormat/>
    <w:uiPriority w:val="0"/>
    <w:pPr>
      <w:spacing w:beforeLines="0" w:afterLines="0"/>
    </w:pPr>
    <w:rPr>
      <w:rFonts w:ascii="宋体" w:eastAsia="宋体"/>
    </w:rPr>
  </w:style>
  <w:style w:type="paragraph" w:customStyle="1" w:styleId="122">
    <w:name w:val="正文表标题"/>
    <w:next w:val="20"/>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3">
    <w:name w:val="正文公式编号制表符"/>
    <w:basedOn w:val="20"/>
    <w:next w:val="20"/>
    <w:qFormat/>
    <w:uiPriority w:val="0"/>
    <w:pPr>
      <w:ind w:firstLine="0" w:firstLineChars="0"/>
    </w:pPr>
  </w:style>
  <w:style w:type="paragraph" w:customStyle="1" w:styleId="124">
    <w:name w:val="正文图标题"/>
    <w:next w:val="20"/>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5">
    <w:name w:val="终结线"/>
    <w:basedOn w:val="1"/>
    <w:qFormat/>
    <w:uiPriority w:val="0"/>
    <w:pPr>
      <w:framePr w:hSpace="181" w:vSpace="181" w:wrap="around" w:vAnchor="text" w:hAnchor="margin" w:xAlign="center" w:y="285"/>
    </w:pPr>
  </w:style>
  <w:style w:type="paragraph" w:customStyle="1" w:styleId="126">
    <w:name w:val="其他发布日期"/>
    <w:basedOn w:val="71"/>
    <w:qFormat/>
    <w:uiPriority w:val="0"/>
    <w:pPr>
      <w:framePr w:wrap="around" w:vAnchor="page" w:x="1419"/>
    </w:pPr>
  </w:style>
  <w:style w:type="paragraph" w:customStyle="1" w:styleId="127">
    <w:name w:val="其他实施日期"/>
    <w:basedOn w:val="110"/>
    <w:qFormat/>
    <w:uiPriority w:val="0"/>
    <w:pPr>
      <w:framePr w:wrap="around"/>
    </w:pPr>
  </w:style>
  <w:style w:type="paragraph" w:customStyle="1" w:styleId="128">
    <w:name w:val="封面标准名称2"/>
    <w:basedOn w:val="74"/>
    <w:qFormat/>
    <w:uiPriority w:val="0"/>
    <w:pPr>
      <w:framePr w:wrap="around" w:y="4469"/>
      <w:spacing w:beforeLines="630"/>
    </w:pPr>
  </w:style>
  <w:style w:type="paragraph" w:customStyle="1" w:styleId="129">
    <w:name w:val="封面标准英文名称2"/>
    <w:basedOn w:val="75"/>
    <w:qFormat/>
    <w:uiPriority w:val="0"/>
    <w:pPr>
      <w:framePr w:wrap="around" w:y="4469"/>
    </w:pPr>
  </w:style>
  <w:style w:type="paragraph" w:customStyle="1" w:styleId="130">
    <w:name w:val="封面一致性程度标识2"/>
    <w:basedOn w:val="76"/>
    <w:qFormat/>
    <w:uiPriority w:val="0"/>
    <w:pPr>
      <w:framePr w:wrap="around" w:y="4469"/>
    </w:pPr>
  </w:style>
  <w:style w:type="paragraph" w:customStyle="1" w:styleId="131">
    <w:name w:val="封面标准文稿类别2"/>
    <w:basedOn w:val="77"/>
    <w:qFormat/>
    <w:uiPriority w:val="0"/>
    <w:pPr>
      <w:framePr w:wrap="around" w:y="4469"/>
    </w:pPr>
  </w:style>
  <w:style w:type="paragraph" w:customStyle="1" w:styleId="132">
    <w:name w:val="封面标准文稿编辑信息2"/>
    <w:basedOn w:val="78"/>
    <w:qFormat/>
    <w:uiPriority w:val="0"/>
    <w:pPr>
      <w:framePr w:wrap="around" w:y="4469"/>
    </w:pPr>
  </w:style>
  <w:style w:type="paragraph" w:customStyle="1" w:styleId="133">
    <w:name w:val="BodyText"/>
    <w:next w:val="1"/>
    <w:qFormat/>
    <w:uiPriority w:val="0"/>
    <w:pPr>
      <w:widowControl w:val="0"/>
      <w:spacing w:after="120"/>
      <w:jc w:val="both"/>
      <w:textAlignment w:val="baseline"/>
    </w:pPr>
    <w:rPr>
      <w:rFonts w:ascii="等线" w:hAnsi="等线" w:eastAsia="等线" w:cs="Arial"/>
      <w:kern w:val="2"/>
      <w:sz w:val="21"/>
      <w:szCs w:val="24"/>
      <w:lang w:val="en-US" w:eastAsia="zh-CN" w:bidi="ar-SA"/>
    </w:rPr>
  </w:style>
  <w:style w:type="paragraph" w:customStyle="1" w:styleId="13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12289;&#39033;&#30446;&#25191;&#34892;\2023&#24180;\1&#12289;&#26519;&#33609;&#24066;&#22495;&#30899;&#20013;&#21644;&#26631;&#20934;&#39033;&#30446;\&#25104;&#26524;&#25991;&#26412;\&#26426;&#20851;&#20107;&#19994;&#21333;&#20301;&#26085;&#24120;&#36816;&#33829;&#30899;&#20013;&#21644;\1&#12289;8.1%20%20TCS&#36719;&#20214;&#32534;&#36753;--&#22522;&#20110;&#26519;&#33609;&#30899;&#27719;&#30340;&#26426;&#20851;&#20107;&#19994;&#21333;&#20301;&#26085;&#24120;&#36816;&#33829;&#30899;&#20013;&#21644;&#23454;&#26045;&#25351;&#21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1、8.1  TCS软件编辑--基于林草碳汇的机关事业单位日常运营碳中和实施指南.dot</Template>
  <Pages>20</Pages>
  <Words>9890</Words>
  <Characters>11574</Characters>
  <Lines>95</Lines>
  <Paragraphs>27</Paragraphs>
  <TotalTime>1</TotalTime>
  <ScaleCrop>false</ScaleCrop>
  <LinksUpToDate>false</LinksUpToDate>
  <CharactersWithSpaces>11861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2023-08-10T08:05:00Z</dcterms:created>
  <dc:creator>阿檬</dc:creator>
  <cp:lastModifiedBy>酱酱酱_</cp:lastModifiedBy>
  <dcterms:modified xsi:type="dcterms:W3CDTF">2023-11-13T03:09:48Z</dcterms:modified>
  <dc:title>标准名称</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A2D7ADE039604F76ACADA7A7E4943C1D_13</vt:lpwstr>
  </property>
</Properties>
</file>