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rPr>
          <w:rFonts w:hint="eastAsia" w:ascii="方正小标宋简体" w:eastAsia="方正小标宋简体"/>
          <w:sz w:val="48"/>
          <w:szCs w:val="48"/>
        </w:rPr>
      </w:pPr>
      <w:r>
        <w:rPr>
          <w:rFonts w:hint="eastAsia" w:ascii="方正小标宋简体" w:eastAsia="方正小标宋简体"/>
          <w:sz w:val="48"/>
          <w:szCs w:val="48"/>
        </w:rPr>
        <w:t>《基于林草碳汇的</w:t>
      </w:r>
      <w:r>
        <w:rPr>
          <w:rFonts w:hint="eastAsia" w:ascii="方正小标宋简体" w:eastAsia="方正小标宋简体"/>
          <w:sz w:val="48"/>
          <w:szCs w:val="48"/>
          <w:lang w:val="en-US" w:eastAsia="zh-CN"/>
        </w:rPr>
        <w:t>大型活动</w:t>
      </w:r>
      <w:r>
        <w:rPr>
          <w:rFonts w:hint="eastAsia" w:ascii="方正小标宋简体" w:eastAsia="方正小标宋简体"/>
          <w:sz w:val="48"/>
          <w:szCs w:val="48"/>
        </w:rPr>
        <w:t>碳中和实施指南》编制说明</w:t>
      </w:r>
      <w:bookmarkStart w:id="0" w:name="_Toc16798"/>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rPr>
          <w:rFonts w:hint="eastAsia" w:ascii="方正小标宋简体" w:eastAsia="方正小标宋简体"/>
          <w:sz w:val="48"/>
          <w:szCs w:val="48"/>
        </w:rPr>
      </w:pPr>
    </w:p>
    <w:p>
      <w:pPr>
        <w:pStyle w:val="2"/>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一、工作简况</w:t>
      </w:r>
      <w:bookmarkEnd w:id="0"/>
    </w:p>
    <w:p>
      <w:pPr>
        <w:pStyle w:val="3"/>
        <w:pageBreakBefore w:val="0"/>
        <w:kinsoku/>
        <w:wordWrap/>
        <w:overflowPunct/>
        <w:topLinePunct w:val="0"/>
        <w:autoSpaceDE/>
        <w:autoSpaceDN/>
        <w:bidi w:val="0"/>
        <w:adjustRightInd/>
        <w:snapToGrid/>
        <w:spacing w:line="578" w:lineRule="exact"/>
        <w:ind w:left="0" w:leftChars="0" w:firstLine="643" w:firstLineChars="200"/>
        <w:textAlignment w:val="auto"/>
        <w:rPr>
          <w:rFonts w:hint="eastAsia" w:ascii="Times New Roman" w:hAnsi="Times New Roman" w:eastAsia="仿宋_GB2312" w:cstheme="minorBidi"/>
          <w:b w:val="0"/>
          <w:bCs w:val="0"/>
          <w:kern w:val="2"/>
          <w:sz w:val="32"/>
          <w:szCs w:val="22"/>
          <w:lang w:val="en-US" w:eastAsia="zh-CN" w:bidi="ar-SA"/>
        </w:rPr>
      </w:pPr>
      <w:bookmarkStart w:id="1" w:name="_Toc5179"/>
      <w:r>
        <w:rPr>
          <w:rFonts w:hint="eastAsia"/>
        </w:rPr>
        <w:t>（一）</w:t>
      </w:r>
      <w:bookmarkEnd w:id="1"/>
      <w:r>
        <w:rPr>
          <w:rFonts w:hint="eastAsia"/>
          <w:lang w:val="en-US" w:eastAsia="zh-CN"/>
        </w:rPr>
        <w:t>立项情况。</w:t>
      </w:r>
      <w:r>
        <w:rPr>
          <w:rFonts w:hint="eastAsia" w:ascii="Times New Roman" w:hAnsi="Times New Roman" w:eastAsia="仿宋_GB2312" w:cstheme="minorBidi"/>
          <w:b w:val="0"/>
          <w:bCs w:val="0"/>
          <w:kern w:val="2"/>
          <w:sz w:val="32"/>
          <w:szCs w:val="22"/>
          <w:lang w:val="en-US" w:eastAsia="zh-CN" w:bidi="ar-SA"/>
        </w:rPr>
        <w:t>2023年7月，根据《包头市市场监督管理局关于下达包头市地方标准制修订项目计划的通知》，《基于林草碳汇的大型活动碳中和实施指南》（以下简称《实施指南》）已列入2023年第三批包头市地方标准制修订项目。</w:t>
      </w:r>
      <w:bookmarkStart w:id="2" w:name="_Toc1911"/>
    </w:p>
    <w:p>
      <w:pPr>
        <w:pStyle w:val="3"/>
        <w:pageBreakBefore w:val="0"/>
        <w:kinsoku/>
        <w:wordWrap/>
        <w:overflowPunct/>
        <w:topLinePunct w:val="0"/>
        <w:autoSpaceDE/>
        <w:autoSpaceDN/>
        <w:bidi w:val="0"/>
        <w:adjustRightInd/>
        <w:snapToGrid/>
        <w:spacing w:line="578" w:lineRule="exact"/>
        <w:textAlignment w:val="auto"/>
        <w:rPr>
          <w:rFonts w:hint="default" w:ascii="Times New Roman" w:hAnsi="Times New Roman" w:eastAsia="仿宋_GB2312" w:cstheme="minorBidi"/>
          <w:b w:val="0"/>
          <w:bCs w:val="0"/>
          <w:kern w:val="2"/>
          <w:sz w:val="32"/>
          <w:szCs w:val="22"/>
          <w:lang w:val="en-US" w:eastAsia="zh-CN" w:bidi="ar-SA"/>
        </w:rPr>
      </w:pPr>
      <w:r>
        <w:rPr>
          <w:rFonts w:hint="eastAsia"/>
          <w:lang w:val="en-US" w:eastAsia="zh-CN"/>
        </w:rPr>
        <w:t>（二）提出单位</w:t>
      </w:r>
      <w:bookmarkEnd w:id="2"/>
      <w:r>
        <w:rPr>
          <w:rFonts w:hint="eastAsia"/>
          <w:lang w:val="en-US" w:eastAsia="zh-CN"/>
        </w:rPr>
        <w:t>。</w:t>
      </w:r>
      <w:r>
        <w:rPr>
          <w:rFonts w:hint="default" w:ascii="Times New Roman" w:hAnsi="Times New Roman" w:eastAsia="仿宋_GB2312" w:cstheme="minorBidi"/>
          <w:b w:val="0"/>
          <w:bCs w:val="0"/>
          <w:kern w:val="2"/>
          <w:sz w:val="32"/>
          <w:szCs w:val="22"/>
          <w:lang w:val="en-US" w:eastAsia="zh-CN" w:bidi="ar-SA"/>
        </w:rPr>
        <w:t>《实施指南》由包头市林业和草原局提出</w:t>
      </w:r>
      <w:r>
        <w:rPr>
          <w:rFonts w:hint="eastAsia" w:ascii="Times New Roman" w:hAnsi="Times New Roman" w:eastAsia="仿宋_GB2312" w:cstheme="minorBidi"/>
          <w:b w:val="0"/>
          <w:bCs w:val="0"/>
          <w:kern w:val="2"/>
          <w:sz w:val="32"/>
          <w:szCs w:val="22"/>
          <w:lang w:val="en-US" w:eastAsia="zh-CN" w:bidi="ar-SA"/>
        </w:rPr>
        <w:t>。</w:t>
      </w:r>
    </w:p>
    <w:p>
      <w:pPr>
        <w:pStyle w:val="3"/>
        <w:pageBreakBefore w:val="0"/>
        <w:kinsoku/>
        <w:wordWrap/>
        <w:overflowPunct/>
        <w:topLinePunct w:val="0"/>
        <w:autoSpaceDE/>
        <w:autoSpaceDN/>
        <w:bidi w:val="0"/>
        <w:adjustRightInd/>
        <w:snapToGrid/>
        <w:spacing w:line="578" w:lineRule="exact"/>
        <w:textAlignment w:val="auto"/>
        <w:rPr>
          <w:rFonts w:hint="default" w:ascii="Times New Roman" w:hAnsi="Times New Roman" w:eastAsia="仿宋_GB2312" w:cstheme="minorBidi"/>
          <w:b w:val="0"/>
          <w:bCs w:val="0"/>
          <w:kern w:val="2"/>
          <w:sz w:val="32"/>
          <w:szCs w:val="22"/>
          <w:lang w:val="en-US" w:eastAsia="zh-CN" w:bidi="ar-SA"/>
        </w:rPr>
      </w:pPr>
      <w:bookmarkStart w:id="3" w:name="_Toc5436"/>
      <w:r>
        <w:rPr>
          <w:rFonts w:hint="eastAsia"/>
          <w:lang w:val="en-US" w:eastAsia="zh-CN"/>
        </w:rPr>
        <w:t>（三）归口单位</w:t>
      </w:r>
      <w:bookmarkEnd w:id="3"/>
      <w:r>
        <w:rPr>
          <w:rFonts w:hint="eastAsia"/>
          <w:lang w:val="en-US" w:eastAsia="zh-CN"/>
        </w:rPr>
        <w:t>。</w:t>
      </w:r>
      <w:r>
        <w:rPr>
          <w:rFonts w:hint="default" w:ascii="Times New Roman" w:hAnsi="Times New Roman" w:eastAsia="仿宋_GB2312" w:cstheme="minorBidi"/>
          <w:b w:val="0"/>
          <w:bCs w:val="0"/>
          <w:kern w:val="2"/>
          <w:sz w:val="32"/>
          <w:szCs w:val="22"/>
          <w:lang w:val="en-US" w:eastAsia="zh-CN" w:bidi="ar-SA"/>
        </w:rPr>
        <w:t>《实施指南》由包头市林业和草原局</w:t>
      </w:r>
      <w:r>
        <w:rPr>
          <w:rFonts w:hint="eastAsia" w:ascii="Times New Roman" w:hAnsi="Times New Roman" w:eastAsia="仿宋_GB2312" w:cstheme="minorBidi"/>
          <w:b w:val="0"/>
          <w:bCs w:val="0"/>
          <w:kern w:val="2"/>
          <w:sz w:val="32"/>
          <w:szCs w:val="22"/>
          <w:lang w:val="en-US" w:eastAsia="zh-CN" w:bidi="ar-SA"/>
        </w:rPr>
        <w:t>归口。</w:t>
      </w:r>
    </w:p>
    <w:p>
      <w:pPr>
        <w:pStyle w:val="3"/>
        <w:pageBreakBefore w:val="0"/>
        <w:kinsoku/>
        <w:wordWrap/>
        <w:overflowPunct/>
        <w:topLinePunct w:val="0"/>
        <w:autoSpaceDE/>
        <w:autoSpaceDN/>
        <w:bidi w:val="0"/>
        <w:adjustRightInd/>
        <w:snapToGrid/>
        <w:spacing w:line="578" w:lineRule="exact"/>
        <w:textAlignment w:val="auto"/>
        <w:rPr>
          <w:rFonts w:hint="default" w:ascii="Times New Roman" w:hAnsi="Times New Roman" w:eastAsia="仿宋_GB2312" w:cstheme="minorBidi"/>
          <w:b w:val="0"/>
          <w:bCs w:val="0"/>
          <w:kern w:val="2"/>
          <w:sz w:val="32"/>
          <w:szCs w:val="22"/>
          <w:lang w:val="en-US" w:eastAsia="zh-CN" w:bidi="ar-SA"/>
        </w:rPr>
      </w:pPr>
      <w:bookmarkStart w:id="4" w:name="_Toc31601"/>
      <w:r>
        <w:rPr>
          <w:rFonts w:hint="eastAsia"/>
          <w:lang w:val="en-US" w:eastAsia="zh-CN"/>
        </w:rPr>
        <w:t>（四）起草单位</w:t>
      </w:r>
      <w:bookmarkEnd w:id="4"/>
      <w:r>
        <w:rPr>
          <w:rFonts w:hint="eastAsia"/>
          <w:lang w:val="en-US" w:eastAsia="zh-CN"/>
        </w:rPr>
        <w:t>。</w:t>
      </w:r>
      <w:r>
        <w:rPr>
          <w:rFonts w:hint="default" w:ascii="Times New Roman" w:hAnsi="Times New Roman" w:eastAsia="仿宋_GB2312" w:cstheme="minorBidi"/>
          <w:b w:val="0"/>
          <w:bCs w:val="0"/>
          <w:kern w:val="2"/>
          <w:sz w:val="32"/>
          <w:szCs w:val="22"/>
          <w:lang w:val="en-US" w:eastAsia="zh-CN" w:bidi="ar-SA"/>
        </w:rPr>
        <w:t>《实施指南》</w:t>
      </w:r>
      <w:r>
        <w:rPr>
          <w:rFonts w:hint="eastAsia" w:ascii="Times New Roman" w:hAnsi="Times New Roman" w:eastAsia="仿宋_GB2312" w:cstheme="minorBidi"/>
          <w:b w:val="0"/>
          <w:bCs w:val="0"/>
          <w:kern w:val="2"/>
          <w:sz w:val="32"/>
          <w:szCs w:val="22"/>
          <w:lang w:val="en-US" w:eastAsia="zh-CN" w:bidi="ar-SA"/>
        </w:rPr>
        <w:t>的</w:t>
      </w:r>
      <w:r>
        <w:rPr>
          <w:rFonts w:hint="default" w:ascii="Times New Roman" w:hAnsi="Times New Roman" w:eastAsia="仿宋_GB2312" w:cstheme="minorBidi"/>
          <w:b w:val="0"/>
          <w:bCs w:val="0"/>
          <w:kern w:val="2"/>
          <w:sz w:val="32"/>
          <w:szCs w:val="22"/>
          <w:lang w:val="en-US" w:eastAsia="zh-CN" w:bidi="ar-SA"/>
        </w:rPr>
        <w:t>起草单位</w:t>
      </w:r>
      <w:r>
        <w:rPr>
          <w:rFonts w:hint="eastAsia" w:ascii="Times New Roman" w:hAnsi="Times New Roman" w:eastAsia="仿宋_GB2312" w:cstheme="minorBidi"/>
          <w:b w:val="0"/>
          <w:bCs w:val="0"/>
          <w:kern w:val="2"/>
          <w:sz w:val="32"/>
          <w:szCs w:val="22"/>
          <w:lang w:val="en-US" w:eastAsia="zh-CN" w:bidi="ar-SA"/>
        </w:rPr>
        <w:t>包括</w:t>
      </w:r>
      <w:r>
        <w:rPr>
          <w:rFonts w:hint="default" w:ascii="Times New Roman" w:hAnsi="Times New Roman" w:eastAsia="仿宋_GB2312" w:cstheme="minorBidi"/>
          <w:b w:val="0"/>
          <w:bCs w:val="0"/>
          <w:kern w:val="2"/>
          <w:sz w:val="32"/>
          <w:szCs w:val="22"/>
          <w:lang w:val="en-US" w:eastAsia="zh-CN" w:bidi="ar-SA"/>
        </w:rPr>
        <w:t>包头市林业和草原工作站</w:t>
      </w:r>
      <w:r>
        <w:rPr>
          <w:rFonts w:hint="eastAsia" w:ascii="Times New Roman" w:hAnsi="Times New Roman" w:eastAsia="仿宋_GB2312" w:cstheme="minorBidi"/>
          <w:b w:val="0"/>
          <w:bCs w:val="0"/>
          <w:kern w:val="2"/>
          <w:sz w:val="32"/>
          <w:szCs w:val="22"/>
          <w:lang w:val="en-US" w:eastAsia="zh-CN" w:bidi="ar-SA"/>
        </w:rPr>
        <w:t>、</w:t>
      </w:r>
      <w:r>
        <w:rPr>
          <w:rFonts w:hint="default" w:ascii="Times New Roman" w:hAnsi="Times New Roman" w:eastAsia="仿宋_GB2312" w:cstheme="minorBidi"/>
          <w:b w:val="0"/>
          <w:bCs w:val="0"/>
          <w:kern w:val="2"/>
          <w:sz w:val="32"/>
          <w:szCs w:val="22"/>
          <w:lang w:val="en-US" w:eastAsia="zh-CN" w:bidi="ar-SA"/>
        </w:rPr>
        <w:t>杭州超腾能源技术股份有限公司</w:t>
      </w:r>
      <w:r>
        <w:rPr>
          <w:rFonts w:hint="eastAsia" w:ascii="Times New Roman" w:hAnsi="Times New Roman" w:eastAsia="仿宋_GB2312" w:cstheme="minorBidi"/>
          <w:b w:val="0"/>
          <w:bCs w:val="0"/>
          <w:kern w:val="2"/>
          <w:sz w:val="32"/>
          <w:szCs w:val="22"/>
          <w:lang w:val="en-US" w:eastAsia="zh-CN" w:bidi="ar-SA"/>
        </w:rPr>
        <w:t>、</w:t>
      </w:r>
      <w:r>
        <w:rPr>
          <w:rFonts w:hint="default" w:ascii="Times New Roman" w:hAnsi="Times New Roman" w:eastAsia="仿宋_GB2312" w:cstheme="minorBidi"/>
          <w:b w:val="0"/>
          <w:bCs w:val="0"/>
          <w:kern w:val="2"/>
          <w:sz w:val="32"/>
          <w:szCs w:val="22"/>
          <w:lang w:val="en-US" w:eastAsia="zh-CN" w:bidi="ar-SA"/>
        </w:rPr>
        <w:t>包头市国发低碳发展碳排放权交易服务有限公司、包头市检验检测中心。</w:t>
      </w:r>
    </w:p>
    <w:p>
      <w:pPr>
        <w:pStyle w:val="3"/>
        <w:pageBreakBefore w:val="0"/>
        <w:kinsoku/>
        <w:wordWrap/>
        <w:overflowPunct/>
        <w:topLinePunct w:val="0"/>
        <w:autoSpaceDE/>
        <w:autoSpaceDN/>
        <w:bidi w:val="0"/>
        <w:adjustRightInd/>
        <w:snapToGrid/>
        <w:spacing w:line="578" w:lineRule="exact"/>
        <w:textAlignment w:val="auto"/>
        <w:rPr>
          <w:rFonts w:hint="eastAsia" w:ascii="Times New Roman" w:hAnsi="Times New Roman" w:eastAsia="仿宋_GB2312" w:cstheme="minorBidi"/>
          <w:b w:val="0"/>
          <w:bCs w:val="0"/>
          <w:kern w:val="2"/>
          <w:sz w:val="32"/>
          <w:szCs w:val="22"/>
          <w:lang w:val="en-US" w:eastAsia="zh-CN" w:bidi="ar-SA"/>
        </w:rPr>
      </w:pPr>
      <w:bookmarkStart w:id="5" w:name="_Toc2161"/>
      <w:r>
        <w:rPr>
          <w:rFonts w:hint="eastAsia"/>
          <w:lang w:val="en-US" w:eastAsia="zh-CN"/>
        </w:rPr>
        <w:t>（五）起草人</w:t>
      </w:r>
      <w:bookmarkEnd w:id="5"/>
      <w:r>
        <w:rPr>
          <w:rFonts w:hint="eastAsia"/>
          <w:lang w:val="en-US" w:eastAsia="zh-CN"/>
        </w:rPr>
        <w:t>。</w:t>
      </w:r>
      <w:r>
        <w:rPr>
          <w:rFonts w:hint="default" w:ascii="Times New Roman" w:hAnsi="Times New Roman" w:eastAsia="仿宋_GB2312" w:cstheme="minorBidi"/>
          <w:b w:val="0"/>
          <w:bCs w:val="0"/>
          <w:kern w:val="2"/>
          <w:sz w:val="32"/>
          <w:szCs w:val="22"/>
          <w:lang w:val="en-US" w:eastAsia="zh-CN" w:bidi="ar-SA"/>
        </w:rPr>
        <w:t>《实施指南》</w:t>
      </w:r>
      <w:r>
        <w:rPr>
          <w:rFonts w:hint="eastAsia" w:ascii="Times New Roman" w:hAnsi="Times New Roman" w:eastAsia="仿宋_GB2312" w:cstheme="minorBidi"/>
          <w:b w:val="0"/>
          <w:bCs w:val="0"/>
          <w:kern w:val="2"/>
          <w:sz w:val="32"/>
          <w:szCs w:val="22"/>
          <w:lang w:val="en-US" w:eastAsia="zh-CN" w:bidi="ar-SA"/>
        </w:rPr>
        <w:t>的</w:t>
      </w:r>
      <w:r>
        <w:rPr>
          <w:rFonts w:hint="default" w:ascii="Times New Roman" w:hAnsi="Times New Roman" w:eastAsia="仿宋_GB2312" w:cstheme="minorBidi"/>
          <w:b w:val="0"/>
          <w:bCs w:val="0"/>
          <w:kern w:val="2"/>
          <w:sz w:val="32"/>
          <w:szCs w:val="22"/>
          <w:lang w:val="en-US" w:eastAsia="zh-CN" w:bidi="ar-SA"/>
        </w:rPr>
        <w:t>起草</w:t>
      </w:r>
      <w:r>
        <w:rPr>
          <w:rFonts w:hint="eastAsia" w:ascii="Times New Roman" w:hAnsi="Times New Roman" w:eastAsia="仿宋_GB2312" w:cstheme="minorBidi"/>
          <w:b w:val="0"/>
          <w:bCs w:val="0"/>
          <w:kern w:val="2"/>
          <w:sz w:val="32"/>
          <w:szCs w:val="22"/>
          <w:lang w:val="en-US" w:eastAsia="zh-CN" w:bidi="ar-SA"/>
        </w:rPr>
        <w:t>人包括张文英、张欢、格根塔娜、朱学友、黄梅、吕可、施炜、张文辽、肖雪、戴圣炎、刘遮、尚国云，赵雪峰、赵振宇、冯小东、郭华、丁志军、焦智斌、闫婧。</w:t>
      </w:r>
      <w:bookmarkStart w:id="19" w:name="_GoBack"/>
      <w:bookmarkEnd w:id="19"/>
    </w:p>
    <w:p>
      <w:pPr>
        <w:pStyle w:val="2"/>
        <w:pageBreakBefore w:val="0"/>
        <w:kinsoku/>
        <w:wordWrap/>
        <w:overflowPunct/>
        <w:topLinePunct w:val="0"/>
        <w:autoSpaceDE/>
        <w:autoSpaceDN/>
        <w:bidi w:val="0"/>
        <w:adjustRightInd/>
        <w:snapToGrid/>
        <w:spacing w:line="578" w:lineRule="exact"/>
        <w:textAlignment w:val="auto"/>
        <w:rPr>
          <w:rFonts w:hint="eastAsia"/>
        </w:rPr>
      </w:pPr>
      <w:bookmarkStart w:id="6" w:name="_Toc6149"/>
      <w:r>
        <w:rPr>
          <w:rFonts w:hint="eastAsia"/>
          <w:lang w:val="en-US" w:eastAsia="zh-CN"/>
        </w:rPr>
        <w:t>二、制定标准的</w:t>
      </w:r>
      <w:r>
        <w:t>目的</w:t>
      </w:r>
      <w:r>
        <w:rPr>
          <w:rFonts w:hint="eastAsia"/>
          <w:lang w:val="en-US" w:eastAsia="zh-CN"/>
        </w:rPr>
        <w:t>和</w:t>
      </w:r>
      <w:r>
        <w:t>意义</w:t>
      </w:r>
      <w:bookmarkEnd w:id="6"/>
    </w:p>
    <w:p>
      <w:pPr>
        <w:pageBreakBefore w:val="0"/>
        <w:kinsoku/>
        <w:wordWrap/>
        <w:overflowPunct/>
        <w:topLinePunct w:val="0"/>
        <w:autoSpaceDE/>
        <w:autoSpaceDN/>
        <w:bidi w:val="0"/>
        <w:adjustRightInd/>
        <w:snapToGrid/>
        <w:spacing w:line="578" w:lineRule="exact"/>
        <w:textAlignment w:val="auto"/>
        <w:rPr>
          <w:rFonts w:hint="eastAsia"/>
        </w:rPr>
      </w:pPr>
      <w:r>
        <w:rPr>
          <w:rFonts w:hint="eastAsia"/>
        </w:rPr>
        <w:t>中共中央、国务院《关于完整准确全面贯彻新发展理念做好碳达峰碳中和工作的意见》明确提出，要“建立健全碳达峰、碳中和标准计量体系”；2022年10月18日国家市场监督管理总局等部门联合印发《建立健全碳达峰碳中和标准计量体系实施方案》，对推动碳达峰碳中和领域计量、标准工作</w:t>
      </w:r>
      <w:r>
        <w:rPr>
          <w:rFonts w:hint="eastAsia"/>
          <w:lang w:eastAsia="zh-CN"/>
        </w:rPr>
        <w:t>作出</w:t>
      </w:r>
      <w:r>
        <w:rPr>
          <w:rFonts w:hint="eastAsia"/>
        </w:rPr>
        <w:t>全面部署。</w:t>
      </w:r>
      <w:r>
        <w:rPr>
          <w:rFonts w:hint="eastAsia"/>
          <w:lang w:eastAsia="zh-CN"/>
        </w:rPr>
        <w:t>为积极稳妥推进包头林草碳汇试点示范，有力推进基于林草碳汇的市域碳中和，市林草局组织相关单位编制了</w:t>
      </w:r>
      <w:r>
        <w:rPr>
          <w:rFonts w:hint="eastAsia"/>
        </w:rPr>
        <w:t>《实施指南》</w:t>
      </w:r>
      <w:r>
        <w:rPr>
          <w:rFonts w:hint="eastAsia"/>
          <w:lang w:eastAsia="zh-CN"/>
        </w:rPr>
        <w:t>，</w:t>
      </w:r>
      <w:r>
        <w:rPr>
          <w:rFonts w:hint="eastAsia"/>
        </w:rPr>
        <w:t>以标准化促进区域大型活动在谋划、实施和收尾阶段节能减排，为大型活动碳减排、碳中和关键量值可测、可溯源，以及绿色低碳和成果应用提供基础支撑，在生产生活方式绿色变革中发挥着重要作用</w:t>
      </w:r>
    </w:p>
    <w:p>
      <w:pPr>
        <w:pStyle w:val="2"/>
        <w:pageBreakBefore w:val="0"/>
        <w:kinsoku/>
        <w:wordWrap/>
        <w:overflowPunct/>
        <w:topLinePunct w:val="0"/>
        <w:autoSpaceDE/>
        <w:autoSpaceDN/>
        <w:bidi w:val="0"/>
        <w:adjustRightInd/>
        <w:snapToGrid/>
        <w:spacing w:line="578" w:lineRule="exact"/>
        <w:textAlignment w:val="auto"/>
        <w:rPr>
          <w:rFonts w:hint="default"/>
          <w:lang w:val="en-US"/>
        </w:rPr>
      </w:pPr>
      <w:bookmarkStart w:id="7" w:name="_Toc9535"/>
      <w:r>
        <w:rPr>
          <w:rFonts w:hint="eastAsia"/>
          <w:lang w:val="en-US" w:eastAsia="zh-CN"/>
        </w:rPr>
        <w:t>三、编制过程</w:t>
      </w:r>
      <w:bookmarkEnd w:id="7"/>
    </w:p>
    <w:p>
      <w:pPr>
        <w:pageBreakBefore w:val="0"/>
        <w:kinsoku/>
        <w:wordWrap/>
        <w:overflowPunct/>
        <w:topLinePunct w:val="0"/>
        <w:autoSpaceDE/>
        <w:autoSpaceDN/>
        <w:bidi w:val="0"/>
        <w:adjustRightInd/>
        <w:snapToGrid/>
        <w:spacing w:line="578" w:lineRule="exact"/>
        <w:textAlignment w:val="auto"/>
        <w:rPr>
          <w:rFonts w:hint="eastAsia"/>
        </w:rPr>
      </w:pPr>
      <w:r>
        <w:rPr>
          <w:rFonts w:hint="eastAsia" w:ascii="Times New Roman" w:hAnsi="Times New Roman" w:eastAsia="楷体_GB2312" w:cstheme="majorBidi"/>
          <w:b/>
          <w:bCs/>
          <w:kern w:val="2"/>
          <w:sz w:val="32"/>
          <w:szCs w:val="32"/>
          <w:lang w:val="en-US" w:eastAsia="zh-CN" w:bidi="ar-SA"/>
        </w:rPr>
        <w:t>（一）分工情况。</w:t>
      </w:r>
      <w:r>
        <w:rPr>
          <w:rFonts w:hint="eastAsia"/>
          <w:lang w:val="en-US" w:eastAsia="zh-CN"/>
        </w:rPr>
        <w:t>由包头市林业和草原局负责统筹，包头市市场监督管理局负责立项并组织标准编制培训，</w:t>
      </w:r>
      <w:r>
        <w:rPr>
          <w:rFonts w:hint="default"/>
          <w:lang w:val="en-US" w:eastAsia="zh-CN"/>
        </w:rPr>
        <w:t>包头市林业和草原工作站</w:t>
      </w:r>
      <w:r>
        <w:rPr>
          <w:rFonts w:hint="eastAsia"/>
          <w:lang w:val="en-US" w:eastAsia="zh-CN"/>
        </w:rPr>
        <w:t>、</w:t>
      </w:r>
      <w:r>
        <w:rPr>
          <w:rFonts w:hint="default"/>
          <w:lang w:val="en-US" w:eastAsia="zh-CN"/>
        </w:rPr>
        <w:t>杭州超腾能源技术股份有限公司</w:t>
      </w:r>
      <w:r>
        <w:rPr>
          <w:rFonts w:hint="eastAsia"/>
          <w:lang w:val="en-US" w:eastAsia="zh-CN"/>
        </w:rPr>
        <w:t>、包头市国发低碳发展碳排放权交易服务有限公司、包头市检验检测中心等单位负责</w:t>
      </w:r>
      <w:r>
        <w:rPr>
          <w:rFonts w:hint="eastAsia"/>
          <w:highlight w:val="none"/>
          <w:lang w:val="en-US" w:eastAsia="zh-CN"/>
        </w:rPr>
        <w:t>《实施指南》</w:t>
      </w:r>
      <w:r>
        <w:rPr>
          <w:rFonts w:hint="eastAsia"/>
          <w:lang w:val="en-US" w:eastAsia="zh-CN"/>
        </w:rPr>
        <w:t>研究及正文编制。</w:t>
      </w:r>
    </w:p>
    <w:p>
      <w:pPr>
        <w:pageBreakBefore w:val="0"/>
        <w:kinsoku/>
        <w:wordWrap/>
        <w:overflowPunct/>
        <w:topLinePunct w:val="0"/>
        <w:autoSpaceDE/>
        <w:autoSpaceDN/>
        <w:bidi w:val="0"/>
        <w:adjustRightInd/>
        <w:snapToGrid/>
        <w:spacing w:line="578" w:lineRule="exact"/>
        <w:textAlignment w:val="auto"/>
        <w:rPr>
          <w:rFonts w:hint="default" w:eastAsia="仿宋_GB2312"/>
          <w:lang w:val="en-US" w:eastAsia="zh-CN"/>
        </w:rPr>
      </w:pPr>
      <w:r>
        <w:rPr>
          <w:rFonts w:hint="eastAsia" w:ascii="Times New Roman" w:hAnsi="Times New Roman" w:eastAsia="楷体_GB2312" w:cstheme="majorBidi"/>
          <w:b/>
          <w:bCs/>
          <w:kern w:val="2"/>
          <w:sz w:val="32"/>
          <w:szCs w:val="32"/>
          <w:lang w:val="en-US" w:eastAsia="zh-CN" w:bidi="ar-SA"/>
        </w:rPr>
        <w:t>（二）起草阶段。</w:t>
      </w:r>
      <w:r>
        <w:rPr>
          <w:rFonts w:hint="eastAsia"/>
          <w:lang w:val="en-US" w:eastAsia="zh-CN"/>
        </w:rPr>
        <w:t>2022 年 12月，成立起草工作组，初步梳理了《实施指南》的结构和内容，确定下一步工作方向。2023年2月～7月，起草工作组通过线上、线下相结合的方式，组织内部研讨会，完成《实施指南》草案。2023年7月，《实施指南》列入包头市市场监督管理局2023年第三批地方标准制修订项目。</w:t>
      </w:r>
    </w:p>
    <w:p>
      <w:pPr>
        <w:pageBreakBefore w:val="0"/>
        <w:kinsoku/>
        <w:wordWrap/>
        <w:overflowPunct/>
        <w:topLinePunct w:val="0"/>
        <w:autoSpaceDE/>
        <w:autoSpaceDN/>
        <w:bidi w:val="0"/>
        <w:adjustRightInd/>
        <w:snapToGrid/>
        <w:spacing w:line="578" w:lineRule="exact"/>
        <w:textAlignment w:val="auto"/>
        <w:rPr>
          <w:rFonts w:hint="eastAsia"/>
          <w:lang w:eastAsia="zh-CN"/>
        </w:rPr>
      </w:pPr>
      <w:r>
        <w:rPr>
          <w:rFonts w:hint="eastAsia" w:ascii="Times New Roman" w:hAnsi="Times New Roman" w:eastAsia="楷体_GB2312" w:cstheme="majorBidi"/>
          <w:b/>
          <w:bCs/>
          <w:kern w:val="2"/>
          <w:sz w:val="32"/>
          <w:szCs w:val="32"/>
          <w:lang w:val="en-US" w:eastAsia="zh-CN" w:bidi="ar-SA"/>
        </w:rPr>
        <w:t>（三）征求意见阶段。</w:t>
      </w:r>
      <w:r>
        <w:rPr>
          <w:rFonts w:hint="eastAsia"/>
          <w:lang w:val="en-US" w:eastAsia="zh-CN"/>
        </w:rPr>
        <w:t>2023年8月～9月，进行参编单位专家研讨并征集意见，对《实施指南》</w:t>
      </w:r>
      <w:r>
        <w:rPr>
          <w:rFonts w:hint="eastAsia"/>
          <w:highlight w:val="none"/>
          <w:lang w:val="en-US" w:eastAsia="zh-CN"/>
        </w:rPr>
        <w:t>草案进</w:t>
      </w:r>
      <w:r>
        <w:rPr>
          <w:rFonts w:hint="eastAsia"/>
          <w:lang w:val="en-US" w:eastAsia="zh-CN"/>
        </w:rPr>
        <w:t>行进一步完善，形成征求意见稿。2023年11月，</w:t>
      </w:r>
      <w:r>
        <w:rPr>
          <w:rFonts w:hint="eastAsia"/>
          <w:lang w:eastAsia="zh-CN"/>
        </w:rPr>
        <w:t>向有关行业主管部门以及企业事业组织、社会团体、消费者和教育、科研机构等</w:t>
      </w:r>
      <w:r>
        <w:rPr>
          <w:rFonts w:hint="eastAsia"/>
          <w:lang w:val="en-US" w:eastAsia="zh-CN"/>
        </w:rPr>
        <w:t>公开征集</w:t>
      </w:r>
      <w:r>
        <w:rPr>
          <w:rFonts w:hint="eastAsia"/>
          <w:lang w:eastAsia="zh-CN"/>
        </w:rPr>
        <w:t>意见。</w:t>
      </w:r>
    </w:p>
    <w:p>
      <w:pPr>
        <w:pStyle w:val="9"/>
        <w:pageBreakBefore w:val="0"/>
        <w:kinsoku/>
        <w:wordWrap/>
        <w:overflowPunct/>
        <w:topLinePunct w:val="0"/>
        <w:autoSpaceDE/>
        <w:autoSpaceDN/>
        <w:bidi w:val="0"/>
        <w:adjustRightInd/>
        <w:snapToGrid/>
        <w:spacing w:line="578" w:lineRule="exact"/>
        <w:textAlignment w:val="auto"/>
        <w:rPr>
          <w:rFonts w:hint="eastAsia"/>
          <w:lang w:eastAsia="zh-CN"/>
        </w:rPr>
      </w:pPr>
      <w:r>
        <w:rPr>
          <w:rFonts w:hint="eastAsia" w:ascii="Times New Roman" w:hAnsi="Times New Roman" w:eastAsia="楷体_GB2312" w:cstheme="majorBidi"/>
          <w:b/>
          <w:bCs/>
          <w:kern w:val="2"/>
          <w:sz w:val="32"/>
          <w:szCs w:val="32"/>
          <w:lang w:val="en-US" w:eastAsia="zh-CN" w:bidi="ar-SA"/>
        </w:rPr>
        <w:t>（四）送审阶段。</w:t>
      </w:r>
      <w:r>
        <w:rPr>
          <w:rFonts w:hint="eastAsia"/>
          <w:lang w:val="en-US" w:eastAsia="zh-CN"/>
        </w:rPr>
        <w:t>由</w:t>
      </w:r>
      <w:r>
        <w:rPr>
          <w:rFonts w:hint="eastAsia"/>
          <w:lang w:eastAsia="zh-CN"/>
        </w:rPr>
        <w:t>起草单位根据各方意见对《</w:t>
      </w:r>
      <w:r>
        <w:rPr>
          <w:rFonts w:hint="eastAsia"/>
          <w:lang w:val="en-US" w:eastAsia="zh-CN"/>
        </w:rPr>
        <w:t>实施指南</w:t>
      </w:r>
      <w:r>
        <w:rPr>
          <w:rFonts w:hint="eastAsia"/>
          <w:lang w:eastAsia="zh-CN"/>
        </w:rPr>
        <w:t>》进行修改完善形成送审稿，</w:t>
      </w:r>
      <w:r>
        <w:rPr>
          <w:rFonts w:hint="eastAsia"/>
          <w:lang w:val="en-US" w:eastAsia="zh-CN"/>
        </w:rPr>
        <w:t>将《实施指南》</w:t>
      </w:r>
      <w:r>
        <w:rPr>
          <w:rFonts w:hint="eastAsia"/>
          <w:lang w:eastAsia="zh-CN"/>
        </w:rPr>
        <w:t>编制说明、有关行业主管部门意见、征求意见汇总处理表、建议专家信息等材料一并报送标准化行政主管部门审查。</w:t>
      </w:r>
    </w:p>
    <w:p>
      <w:pPr>
        <w:keepNext w:val="0"/>
        <w:keepLines w:val="0"/>
        <w:pageBreakBefore w:val="0"/>
        <w:widowControl/>
        <w:suppressLineNumbers w:val="0"/>
        <w:kinsoku/>
        <w:wordWrap/>
        <w:overflowPunct/>
        <w:topLinePunct w:val="0"/>
        <w:autoSpaceDE/>
        <w:autoSpaceDN/>
        <w:bidi w:val="0"/>
        <w:adjustRightInd/>
        <w:snapToGrid/>
        <w:spacing w:line="578" w:lineRule="exact"/>
        <w:jc w:val="left"/>
        <w:textAlignment w:val="auto"/>
      </w:pPr>
      <w:r>
        <w:rPr>
          <w:rFonts w:hint="eastAsia" w:ascii="Times New Roman" w:hAnsi="Times New Roman" w:eastAsia="楷体_GB2312" w:cstheme="majorBidi"/>
          <w:b/>
          <w:bCs/>
          <w:kern w:val="2"/>
          <w:sz w:val="32"/>
          <w:szCs w:val="32"/>
          <w:lang w:val="en-US" w:eastAsia="zh-CN" w:bidi="ar-SA"/>
        </w:rPr>
        <w:t>（五）报批阶段。</w:t>
      </w:r>
      <w:r>
        <w:rPr>
          <w:rFonts w:hint="eastAsia"/>
          <w:lang w:val="en-US" w:eastAsia="zh-CN"/>
        </w:rPr>
        <w:t>起草单位根据</w:t>
      </w:r>
      <w:r>
        <w:rPr>
          <w:rFonts w:hint="eastAsia"/>
          <w:lang w:eastAsia="zh-CN"/>
        </w:rPr>
        <w:t>标准化行政主管部门</w:t>
      </w:r>
      <w:r>
        <w:rPr>
          <w:rFonts w:hint="eastAsia"/>
          <w:lang w:val="en-US" w:eastAsia="zh-CN"/>
        </w:rPr>
        <w:t>技术</w:t>
      </w:r>
      <w:r>
        <w:rPr>
          <w:rFonts w:hint="eastAsia"/>
          <w:lang w:eastAsia="zh-CN"/>
        </w:rPr>
        <w:t>审查</w:t>
      </w:r>
      <w:r>
        <w:rPr>
          <w:rFonts w:hint="eastAsia"/>
          <w:lang w:val="en-US" w:eastAsia="zh-CN"/>
        </w:rPr>
        <w:t>意见修改完善《实施指南》，</w:t>
      </w:r>
      <w:r>
        <w:rPr>
          <w:rFonts w:ascii="仿宋_GB2312" w:hAnsi="宋体" w:eastAsia="仿宋_GB2312" w:cs="仿宋_GB2312"/>
          <w:color w:val="000000"/>
          <w:kern w:val="0"/>
          <w:sz w:val="31"/>
          <w:szCs w:val="31"/>
          <w:lang w:val="en-US" w:eastAsia="zh-CN" w:bidi="ar"/>
        </w:rPr>
        <w:t>报送标准化行政主管部门</w:t>
      </w:r>
      <w:r>
        <w:rPr>
          <w:rFonts w:hint="eastAsia" w:ascii="仿宋_GB2312" w:hAnsi="宋体" w:cs="仿宋_GB2312"/>
          <w:color w:val="000000"/>
          <w:kern w:val="0"/>
          <w:sz w:val="31"/>
          <w:szCs w:val="31"/>
          <w:lang w:val="en-US" w:eastAsia="zh-CN" w:bidi="ar"/>
        </w:rPr>
        <w:t>，等待批复</w:t>
      </w:r>
      <w:r>
        <w:rPr>
          <w:rFonts w:ascii="仿宋_GB2312" w:hAnsi="宋体" w:eastAsia="仿宋_GB2312" w:cs="仿宋_GB2312"/>
          <w:color w:val="000000"/>
          <w:kern w:val="0"/>
          <w:sz w:val="31"/>
          <w:szCs w:val="31"/>
          <w:lang w:val="en-US" w:eastAsia="zh-CN" w:bidi="ar"/>
        </w:rPr>
        <w:t>。</w:t>
      </w:r>
    </w:p>
    <w:p>
      <w:pPr>
        <w:pStyle w:val="2"/>
        <w:pageBreakBefore w:val="0"/>
        <w:kinsoku/>
        <w:wordWrap/>
        <w:overflowPunct/>
        <w:topLinePunct w:val="0"/>
        <w:autoSpaceDE/>
        <w:autoSpaceDN/>
        <w:bidi w:val="0"/>
        <w:adjustRightInd/>
        <w:snapToGrid/>
        <w:spacing w:line="578" w:lineRule="exact"/>
        <w:textAlignment w:val="auto"/>
        <w:rPr>
          <w:rFonts w:hint="default" w:eastAsia="黑体"/>
          <w:lang w:val="en-US" w:eastAsia="zh-CN"/>
        </w:rPr>
      </w:pPr>
      <w:bookmarkStart w:id="8" w:name="_Toc27301"/>
      <w:r>
        <w:rPr>
          <w:rFonts w:hint="eastAsia"/>
          <w:lang w:val="en-US" w:eastAsia="zh-CN"/>
        </w:rPr>
        <w:t>四</w:t>
      </w:r>
      <w:r>
        <w:rPr>
          <w:rFonts w:hint="eastAsia"/>
        </w:rPr>
        <w:t>、制定标准的原则和依据，与现行法律、法规、标准的关系</w:t>
      </w:r>
      <w:bookmarkEnd w:id="8"/>
    </w:p>
    <w:p>
      <w:pPr>
        <w:pStyle w:val="3"/>
        <w:pageBreakBefore w:val="0"/>
        <w:kinsoku/>
        <w:wordWrap/>
        <w:overflowPunct/>
        <w:topLinePunct w:val="0"/>
        <w:autoSpaceDE/>
        <w:autoSpaceDN/>
        <w:bidi w:val="0"/>
        <w:adjustRightInd/>
        <w:snapToGrid/>
        <w:spacing w:line="578" w:lineRule="exact"/>
        <w:textAlignment w:val="auto"/>
        <w:rPr>
          <w:rFonts w:hint="eastAsia"/>
        </w:rPr>
      </w:pPr>
      <w:bookmarkStart w:id="9" w:name="_Toc12385"/>
      <w:r>
        <w:t>（一）</w:t>
      </w:r>
      <w:r>
        <w:rPr>
          <w:rFonts w:hint="eastAsia"/>
          <w:lang w:val="en-US" w:eastAsia="zh-CN"/>
        </w:rPr>
        <w:t>制定标准的</w:t>
      </w:r>
      <w:r>
        <w:t>原则</w:t>
      </w:r>
      <w:bookmarkEnd w:id="9"/>
      <w:r>
        <w:rPr>
          <w:rFonts w:hint="eastAsia"/>
          <w:lang w:eastAsia="zh-CN"/>
        </w:rPr>
        <w:t>。</w:t>
      </w:r>
      <w:r>
        <w:rPr>
          <w:rFonts w:hint="eastAsia" w:ascii="Times New Roman" w:hAnsi="Times New Roman" w:eastAsia="仿宋_GB2312" w:cstheme="minorBidi"/>
          <w:b w:val="0"/>
          <w:bCs w:val="0"/>
          <w:kern w:val="2"/>
          <w:sz w:val="32"/>
          <w:szCs w:val="22"/>
          <w:lang w:val="en-US" w:eastAsia="zh-CN" w:bidi="ar-SA"/>
        </w:rPr>
        <w:t>充分考虑最新技术水平和当前包头市碳市场情况，认真分析碳核算和碳中和领域的标准化需求；准确把握标准实施对象，科学确定基于林草碳汇的大型活动碳中和行动规范性要素，合理设置碳中和实施措施。</w:t>
      </w:r>
    </w:p>
    <w:p>
      <w:pPr>
        <w:pStyle w:val="3"/>
        <w:pageBreakBefore w:val="0"/>
        <w:kinsoku/>
        <w:wordWrap/>
        <w:overflowPunct/>
        <w:topLinePunct w:val="0"/>
        <w:autoSpaceDE/>
        <w:autoSpaceDN/>
        <w:bidi w:val="0"/>
        <w:adjustRightInd/>
        <w:snapToGrid/>
        <w:spacing w:line="578" w:lineRule="exact"/>
        <w:textAlignment w:val="auto"/>
      </w:pPr>
      <w:bookmarkStart w:id="10" w:name="_Toc17872"/>
      <w:r>
        <w:t>（</w:t>
      </w:r>
      <w:r>
        <w:rPr>
          <w:rFonts w:hint="eastAsia"/>
          <w:lang w:val="en-US" w:eastAsia="zh-CN"/>
        </w:rPr>
        <w:t>二</w:t>
      </w:r>
      <w:r>
        <w:t>）</w:t>
      </w:r>
      <w:r>
        <w:rPr>
          <w:rFonts w:hint="eastAsia"/>
          <w:lang w:val="en-US" w:eastAsia="zh-CN"/>
        </w:rPr>
        <w:t>制定</w:t>
      </w:r>
      <w:r>
        <w:t>标准的依据</w:t>
      </w:r>
      <w:bookmarkEnd w:id="10"/>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lang w:val="en-US" w:eastAsia="zh-CN"/>
        </w:rPr>
      </w:pPr>
      <w:r>
        <w:rPr>
          <w:rFonts w:hint="eastAsia"/>
          <w:lang w:val="en-US" w:eastAsia="zh-CN"/>
        </w:rPr>
        <w:t>《中华人民共和国标准化法》(2017修订）；</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lang w:val="en-US" w:eastAsia="zh-CN"/>
        </w:rPr>
      </w:pPr>
      <w:r>
        <w:rPr>
          <w:rFonts w:hint="eastAsia"/>
          <w:lang w:val="en-US" w:eastAsia="zh-CN"/>
        </w:rPr>
        <w:t>《大型群众性活动安全管理条例》（国务院令第505号）；</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lang w:val="en-US" w:eastAsia="zh-CN"/>
        </w:rPr>
      </w:pPr>
      <w:r>
        <w:rPr>
          <w:rFonts w:hint="eastAsia"/>
          <w:lang w:val="en-US" w:eastAsia="zh-CN"/>
        </w:rPr>
        <w:t>《大型活动碳中和实施指南（试行）》中华人民共和国生态环境部公告（2019年第19号）；</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lang w:val="en-US" w:eastAsia="zh-CN"/>
        </w:rPr>
      </w:pPr>
      <w:r>
        <w:rPr>
          <w:rFonts w:hint="eastAsia"/>
          <w:lang w:val="en-US" w:eastAsia="zh-CN"/>
        </w:rPr>
        <w:t>《企业温室气体排放报告核查指南（试行）》生态环境部办公厅；</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lang w:val="en-US" w:eastAsia="zh-CN"/>
        </w:rPr>
      </w:pPr>
      <w:r>
        <w:rPr>
          <w:rFonts w:hint="eastAsia"/>
          <w:lang w:val="en-US" w:eastAsia="zh-CN"/>
        </w:rPr>
        <w:t>国家发展改革委办公厅关于印发首批10个行业企业温室气体排放核算方法与报告指南(试行）的通知（发改办气候〔2013〕2526号）；</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lang w:val="en-US" w:eastAsia="zh-CN"/>
        </w:rPr>
      </w:pPr>
      <w:r>
        <w:rPr>
          <w:rFonts w:hint="eastAsia"/>
          <w:lang w:val="en-US" w:eastAsia="zh-CN"/>
        </w:rPr>
        <w:t>国家发展改革委办公厅关于印发第二批4个行业企业温室气体排放核算方法与报告指南（试行）的通知(发改办气候〔2014〕2920号）；</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lang w:val="en-US" w:eastAsia="zh-CN"/>
        </w:rPr>
      </w:pPr>
      <w:r>
        <w:rPr>
          <w:rFonts w:hint="eastAsia"/>
          <w:lang w:val="en-US" w:eastAsia="zh-CN"/>
        </w:rPr>
        <w:t>国家发展改革委办公厅关于印发第三批10个行业企业温室气体核算方法与报告指南（试行）的通知(发改办气候〔2015〕1722号）；</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lang w:val="en-US" w:eastAsia="zh-CN"/>
        </w:rPr>
      </w:pPr>
      <w:r>
        <w:rPr>
          <w:rFonts w:hint="eastAsia"/>
          <w:lang w:val="en-US" w:eastAsia="zh-CN"/>
        </w:rPr>
        <w:t>《内蒙古自治区地方标准管理办法》；</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lang w:val="en-US" w:eastAsia="zh-CN"/>
        </w:rPr>
      </w:pPr>
      <w:r>
        <w:rPr>
          <w:rFonts w:hint="eastAsia"/>
          <w:lang w:val="en-US" w:eastAsia="zh-CN"/>
        </w:rPr>
        <w:t>《内蒙古自治区标准化条例》。</w:t>
      </w:r>
    </w:p>
    <w:p>
      <w:pPr>
        <w:pStyle w:val="3"/>
        <w:pageBreakBefore w:val="0"/>
        <w:kinsoku/>
        <w:wordWrap/>
        <w:overflowPunct/>
        <w:topLinePunct w:val="0"/>
        <w:autoSpaceDE/>
        <w:autoSpaceDN/>
        <w:bidi w:val="0"/>
        <w:adjustRightInd/>
        <w:snapToGrid/>
        <w:spacing w:line="578" w:lineRule="exact"/>
        <w:textAlignment w:val="auto"/>
        <w:rPr>
          <w:rFonts w:hint="default" w:ascii="Times New Roman" w:hAnsi="Times New Roman" w:eastAsia="仿宋_GB2312" w:cstheme="minorBidi"/>
          <w:b w:val="0"/>
          <w:bCs w:val="0"/>
          <w:kern w:val="2"/>
          <w:sz w:val="32"/>
          <w:szCs w:val="22"/>
          <w:lang w:val="en-US" w:eastAsia="zh-CN" w:bidi="ar-SA"/>
        </w:rPr>
      </w:pPr>
      <w:bookmarkStart w:id="11" w:name="_Toc6221"/>
      <w:r>
        <w:rPr>
          <w:rFonts w:hint="eastAsia"/>
          <w:lang w:val="en-US" w:eastAsia="zh-CN"/>
        </w:rPr>
        <w:t>（三）</w:t>
      </w:r>
      <w:r>
        <w:t>与现行法律、法规和标准的关系</w:t>
      </w:r>
      <w:bookmarkEnd w:id="11"/>
      <w:r>
        <w:rPr>
          <w:rFonts w:hint="eastAsia"/>
          <w:lang w:eastAsia="zh-CN"/>
        </w:rPr>
        <w:t>。</w:t>
      </w:r>
      <w:r>
        <w:rPr>
          <w:rFonts w:hint="eastAsia" w:ascii="Times New Roman" w:hAnsi="Times New Roman" w:eastAsia="仿宋_GB2312" w:cstheme="minorBidi"/>
          <w:b w:val="0"/>
          <w:bCs w:val="0"/>
          <w:kern w:val="2"/>
          <w:sz w:val="32"/>
          <w:szCs w:val="22"/>
          <w:lang w:val="en-US" w:eastAsia="zh-CN" w:bidi="ar-SA"/>
        </w:rPr>
        <w:t>本文件内容符合国家及内蒙古自治区现行法律法规要求。</w:t>
      </w:r>
    </w:p>
    <w:p>
      <w:pPr>
        <w:pStyle w:val="2"/>
        <w:pageBreakBefore w:val="0"/>
        <w:kinsoku/>
        <w:wordWrap/>
        <w:overflowPunct/>
        <w:topLinePunct w:val="0"/>
        <w:autoSpaceDE/>
        <w:autoSpaceDN/>
        <w:bidi w:val="0"/>
        <w:adjustRightInd/>
        <w:snapToGrid/>
        <w:spacing w:line="578" w:lineRule="exact"/>
        <w:textAlignment w:val="auto"/>
        <w:rPr>
          <w:rFonts w:hint="default"/>
          <w:lang w:val="en-US" w:eastAsia="zh-CN"/>
        </w:rPr>
      </w:pPr>
      <w:bookmarkStart w:id="12" w:name="_Toc21609"/>
      <w:r>
        <w:rPr>
          <w:rFonts w:hint="eastAsia"/>
          <w:lang w:val="en-US" w:eastAsia="zh-CN"/>
        </w:rPr>
        <w:t>五、主要条款说明，</w:t>
      </w:r>
      <w:r>
        <w:rPr>
          <w:lang w:val="en-US" w:eastAsia="zh-CN"/>
        </w:rPr>
        <w:t>主要技术指标、参数、试验验证的论</w:t>
      </w:r>
      <w:r>
        <w:rPr>
          <w:rFonts w:hint="eastAsia"/>
          <w:lang w:val="en-US" w:eastAsia="zh-CN"/>
        </w:rPr>
        <w:t>述</w:t>
      </w:r>
      <w:bookmarkEnd w:id="12"/>
    </w:p>
    <w:p>
      <w:pPr>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本《实施指南》主要包括10个章节内容、4个附录和参考文献。</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（1）范围</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本文件规定了基于林草碳汇的大型活动碳中和基本要求和原则，确立了基于林草碳汇的大型活动碳中和实施流程，提供了基于林草碳汇的大型活动碳中和实施计划制定与发布、碳减排行动实施、碳排放核算、碳中和实现和碳中和评价及声明的指南。</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本文件适用于大型活动组织者购买包头林草碳票或碳汇类碳信用、新建碳汇林的林草碳汇类抵消方式实现大型活动碳中和。</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本文件不适用于大型活动组织者购买非包头林草碳票、非碳汇类碳信用、碳配额等其他非林草碳汇类抵消方式实现大型活动碳中和。</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（2）规范性引用文件</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本章节列明了本标准引用的规范性文件。</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（3）术语和定义</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本章节确定了15个术语和定义。</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（4）基本要求和原则</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基本要求：做出碳中和承诺或宣传的大型活动，其组织者应结合大型活动的实际情况，优先实施控制温室气体排放行动，再通过碳抵消等手段中和大型活动实际产生的温室气体排放量，实现碳中和。</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实施原则：核算大型活动温室气体排放应遵循完整性、规范性和准确性原则并做到公开透明。</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（5）基于林草碳汇的碳中和实施流程</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本章节确定了基于林草碳汇的大型活动碳中和实施流程。</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（6）基于林草碳汇的碳中和实施计划制定与发布</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本章节确定了碳中和实施计划制定与发布内容，其中碳中和实施计划主要包括碳中和承诺、碳排放估算、拟实施的碳减排措施、拟采用的碳抵消项目类型及组合方式、预期实现碳中和的时间和拟采用的评价形式等内容。</w:t>
      </w:r>
    </w:p>
    <w:p>
      <w:pPr>
        <w:pStyle w:val="9"/>
        <w:pageBreakBefore w:val="0"/>
        <w:kinsoku/>
        <w:wordWrap/>
        <w:overflowPunct/>
        <w:topLinePunct w:val="0"/>
        <w:autoSpaceDE/>
        <w:autoSpaceDN/>
        <w:bidi w:val="0"/>
        <w:adjustRightInd/>
        <w:snapToGrid/>
        <w:spacing w:line="578" w:lineRule="exact"/>
        <w:textAlignment w:val="auto"/>
        <w:rPr>
          <w:rFonts w:hint="default"/>
          <w:lang w:val="en-US" w:eastAsia="zh-CN"/>
        </w:rPr>
      </w:pPr>
      <w:r>
        <w:rPr>
          <w:rFonts w:hint="eastAsia"/>
          <w:lang w:val="en-US" w:eastAsia="zh-CN"/>
        </w:rPr>
        <w:t>（7）基于林草碳汇的碳减排行动实施</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本章节规定了基于林草碳汇的碳中和减排措施的实施要求和减排措施类型。</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（8）基于林草碳汇的大型活动碳排放核算</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本章节主要规定了大型活动碳排放核算的核算程序、核算边界、核算方法和核算报告。</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（9）基于林草碳汇的碳中和实现</w:t>
      </w:r>
    </w:p>
    <w:p>
      <w:pPr>
        <w:pStyle w:val="9"/>
        <w:pageBreakBefore w:val="0"/>
        <w:kinsoku/>
        <w:wordWrap/>
        <w:overflowPunct/>
        <w:topLinePunct w:val="0"/>
        <w:autoSpaceDE/>
        <w:autoSpaceDN/>
        <w:bidi w:val="0"/>
        <w:adjustRightInd/>
        <w:snapToGrid/>
        <w:spacing w:line="578" w:lineRule="exact"/>
        <w:textAlignment w:val="auto"/>
        <w:rPr>
          <w:rFonts w:hint="default"/>
          <w:lang w:val="en-US" w:eastAsia="zh-CN"/>
        </w:rPr>
      </w:pPr>
      <w:r>
        <w:rPr>
          <w:rFonts w:hint="eastAsia"/>
          <w:lang w:val="en-US" w:eastAsia="zh-CN"/>
        </w:rPr>
        <w:t>本章节规定了碳中和实现基本要求，拟定了购买包头市林草碳票进行抵消、购买碳汇类碳信用进行抵消和新建碳汇林进行抵消三种抵消方式的选择、组合方式与要求。</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（10）基于林草碳汇的碳中和评价及声明</w:t>
      </w:r>
    </w:p>
    <w:p>
      <w:pPr>
        <w:pStyle w:val="9"/>
        <w:pageBreakBefore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本章节确定了碳中和评价的主要要求与内容，给出了碳中和评价声明要求及渠道。</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lang w:val="en-US" w:eastAsia="zh-CN"/>
        </w:rPr>
      </w:pPr>
      <w:r>
        <w:rPr>
          <w:rFonts w:hint="eastAsia"/>
          <w:lang w:val="en-US" w:eastAsia="zh-CN"/>
        </w:rPr>
        <w:t>（11）附录</w:t>
      </w:r>
    </w:p>
    <w:p>
      <w:pPr>
        <w:pStyle w:val="9"/>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附录A为资料性附录，主要给出了基于林草碳汇的大型活动碳中和实施计划模板。附录B为资料性附录，给出了大型活动碳排放核算方法和碳排放核算的相关因子推荐值</w:t>
      </w:r>
      <w:r>
        <w:rPr>
          <w:rFonts w:hint="eastAsia"/>
          <w:lang w:eastAsia="zh-CN"/>
        </w:rPr>
        <w:t>。</w:t>
      </w:r>
      <w:r>
        <w:rPr>
          <w:rFonts w:hint="eastAsia"/>
          <w:lang w:val="en-US" w:eastAsia="zh-CN"/>
        </w:rPr>
        <w:t>附录C为资料性附录，给出了大型活动碳排放核算报告模板。附录D为资料性附录，给出了基于林草碳汇的大型活动碳中和评价报告模板。</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lang w:val="en-US" w:eastAsia="zh-CN"/>
        </w:rPr>
        <w:t>（12）参考文献</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lang w:val="en-US" w:eastAsia="zh-CN"/>
        </w:rPr>
      </w:pPr>
      <w:r>
        <w:rPr>
          <w:rFonts w:hint="eastAsia"/>
          <w:lang w:val="en-US" w:eastAsia="zh-CN"/>
        </w:rPr>
        <w:t>列出了《实施指南》在研究及编制过程中主要参考与借鉴的国际国内标准、行业标准、期刊论文、著作等参考文献内容。</w:t>
      </w:r>
    </w:p>
    <w:p>
      <w:pPr>
        <w:pStyle w:val="2"/>
        <w:pageBreakBefore w:val="0"/>
        <w:kinsoku/>
        <w:wordWrap/>
        <w:overflowPunct/>
        <w:topLinePunct w:val="0"/>
        <w:autoSpaceDE/>
        <w:autoSpaceDN/>
        <w:bidi w:val="0"/>
        <w:adjustRightInd/>
        <w:snapToGrid/>
        <w:spacing w:line="578" w:lineRule="exact"/>
        <w:textAlignment w:val="auto"/>
      </w:pPr>
      <w:bookmarkStart w:id="13" w:name="_Toc399"/>
      <w:r>
        <w:rPr>
          <w:rFonts w:hint="eastAsia"/>
          <w:lang w:val="en-US" w:eastAsia="zh-CN"/>
        </w:rPr>
        <w:t>六</w:t>
      </w:r>
      <w:r>
        <w:rPr>
          <w:rFonts w:hint="eastAsia"/>
        </w:rPr>
        <w:t>、重大意见分歧的处理依据和结果</w:t>
      </w:r>
      <w:bookmarkEnd w:id="13"/>
    </w:p>
    <w:p>
      <w:pPr>
        <w:pageBreakBefore w:val="0"/>
        <w:kinsoku/>
        <w:wordWrap/>
        <w:overflowPunct/>
        <w:topLinePunct w:val="0"/>
        <w:autoSpaceDE/>
        <w:autoSpaceDN/>
        <w:bidi w:val="0"/>
        <w:adjustRightInd/>
        <w:snapToGrid/>
        <w:spacing w:line="578" w:lineRule="exact"/>
        <w:textAlignment w:val="auto"/>
        <w:rPr>
          <w:rFonts w:hint="default" w:eastAsia="仿宋_GB2312"/>
          <w:lang w:val="en-US" w:eastAsia="zh-CN"/>
        </w:rPr>
      </w:pPr>
      <w:r>
        <w:rPr>
          <w:rFonts w:hint="eastAsia"/>
          <w:lang w:val="en-US" w:eastAsia="zh-CN"/>
        </w:rPr>
        <w:t>本文件的制定过程中未出现重大的分歧意见。</w:t>
      </w:r>
    </w:p>
    <w:p>
      <w:pPr>
        <w:pStyle w:val="2"/>
        <w:pageBreakBefore w:val="0"/>
        <w:kinsoku/>
        <w:wordWrap/>
        <w:overflowPunct/>
        <w:topLinePunct w:val="0"/>
        <w:autoSpaceDE/>
        <w:autoSpaceDN/>
        <w:bidi w:val="0"/>
        <w:adjustRightInd/>
        <w:snapToGrid/>
        <w:spacing w:line="578" w:lineRule="exact"/>
        <w:textAlignment w:val="auto"/>
        <w:rPr>
          <w:rFonts w:hint="eastAsia"/>
        </w:rPr>
      </w:pPr>
      <w:bookmarkStart w:id="14" w:name="_Toc8472"/>
      <w:r>
        <w:rPr>
          <w:rFonts w:hint="eastAsia"/>
          <w:lang w:val="en-US" w:eastAsia="zh-CN"/>
        </w:rPr>
        <w:t>七</w:t>
      </w:r>
      <w:r>
        <w:rPr>
          <w:rFonts w:hint="eastAsia"/>
        </w:rPr>
        <w:t>、</w:t>
      </w:r>
      <w:r>
        <w:t>采用国际标准或国外先进标准的情况</w:t>
      </w:r>
      <w:bookmarkEnd w:id="14"/>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lang w:val="en-US" w:eastAsia="zh-CN"/>
        </w:rPr>
      </w:pPr>
      <w:r>
        <w:rPr>
          <w:rFonts w:hint="default"/>
          <w:lang w:val="en-US" w:eastAsia="zh-CN"/>
        </w:rPr>
        <w:t>国际社会发布的碳中和指南，主要为英国标准协会（BSI）发布的《PAS：2060 碳中和证明规范》，该标准本规范适用于任何实体，包括地方或地方政府、社区、组织/公司或组织的部分、社会团体、家庭或个人，适用于任何主题碳中和评价，但该规范比较系统，操作难度较大，</w:t>
      </w:r>
      <w:r>
        <w:rPr>
          <w:rFonts w:hint="eastAsia"/>
          <w:lang w:val="en-US" w:eastAsia="zh-CN"/>
        </w:rPr>
        <w:t>不适用于包头市。因此，本《实施指南》主要借鉴国内现有标准，并结合包头市实际情况进行研究与编制，未采用</w:t>
      </w:r>
      <w:r>
        <w:t>国际标准或国外先进标准</w:t>
      </w:r>
      <w:r>
        <w:rPr>
          <w:rFonts w:hint="eastAsia"/>
          <w:lang w:val="en-US" w:eastAsia="zh-CN"/>
        </w:rPr>
        <w:t>。</w:t>
      </w:r>
    </w:p>
    <w:p>
      <w:pPr>
        <w:pStyle w:val="2"/>
        <w:pageBreakBefore w:val="0"/>
        <w:kinsoku/>
        <w:wordWrap/>
        <w:overflowPunct/>
        <w:topLinePunct w:val="0"/>
        <w:autoSpaceDE/>
        <w:autoSpaceDN/>
        <w:bidi w:val="0"/>
        <w:adjustRightInd/>
        <w:snapToGrid/>
        <w:spacing w:line="578" w:lineRule="exact"/>
        <w:textAlignment w:val="auto"/>
      </w:pPr>
      <w:bookmarkStart w:id="15" w:name="_Toc11067"/>
      <w:r>
        <w:rPr>
          <w:rFonts w:hint="eastAsia"/>
          <w:lang w:val="en-US" w:eastAsia="zh-CN"/>
        </w:rPr>
        <w:t>八</w:t>
      </w:r>
      <w:r>
        <w:t>、</w:t>
      </w:r>
      <w:r>
        <w:rPr>
          <w:rFonts w:hint="eastAsia"/>
        </w:rPr>
        <w:t>推广实施</w:t>
      </w:r>
      <w:bookmarkEnd w:id="15"/>
    </w:p>
    <w:p>
      <w:pPr>
        <w:pStyle w:val="3"/>
        <w:pageBreakBefore w:val="0"/>
        <w:kinsoku/>
        <w:wordWrap/>
        <w:overflowPunct/>
        <w:topLinePunct w:val="0"/>
        <w:autoSpaceDE/>
        <w:autoSpaceDN/>
        <w:bidi w:val="0"/>
        <w:adjustRightInd/>
        <w:snapToGrid/>
        <w:spacing w:line="578" w:lineRule="exact"/>
        <w:textAlignment w:val="auto"/>
        <w:rPr>
          <w:rFonts w:hint="default"/>
          <w:lang w:val="en-US" w:eastAsia="zh-CN"/>
        </w:rPr>
      </w:pPr>
      <w:bookmarkStart w:id="16" w:name="_Toc31115"/>
      <w:r>
        <w:rPr>
          <w:rFonts w:hint="eastAsia"/>
          <w:lang w:val="en-US" w:eastAsia="zh-CN"/>
        </w:rPr>
        <w:t>（一）实施措施</w:t>
      </w:r>
      <w:bookmarkEnd w:id="16"/>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b/>
          <w:bCs/>
          <w:lang w:val="en-US" w:eastAsia="zh-CN"/>
        </w:rPr>
        <w:t>一是组织学习。</w:t>
      </w:r>
      <w:r>
        <w:rPr>
          <w:rFonts w:hint="eastAsia"/>
          <w:lang w:val="en-US" w:eastAsia="zh-CN"/>
        </w:rPr>
        <w:t>由本文件提出部门和编制单位组织参与《实施指南》的要素内容学习，做到全体人员能够掌握《实施指南》的碳中和流程与要求，能在具体的推行过程中自觉运用本文件。</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lang w:val="en-US" w:eastAsia="zh-CN"/>
        </w:rPr>
      </w:pPr>
      <w:r>
        <w:rPr>
          <w:rFonts w:hint="eastAsia"/>
          <w:b/>
          <w:bCs/>
          <w:lang w:val="en-US" w:eastAsia="zh-CN"/>
        </w:rPr>
        <w:t>二是严格审核。</w:t>
      </w:r>
      <w:r>
        <w:rPr>
          <w:rFonts w:hint="eastAsia"/>
          <w:lang w:val="en-US" w:eastAsia="zh-CN"/>
        </w:rPr>
        <w:t>以本文件规定严格细致地进行大型活动实施计划、碳排放核算报告以及碳中和评价报告把关，从计划制定、实施碳减排行动、核算碳排放量、实现碳中和以及碳中和评价及声明等方面，严格对照本文件规定与要求，通过与大型活动组织者、主管部门、第三方机构（若有）及时沟通，保证大型活动碳中和满足本文件要求。</w:t>
      </w:r>
    </w:p>
    <w:p>
      <w:pPr>
        <w:pStyle w:val="3"/>
        <w:pageBreakBefore w:val="0"/>
        <w:kinsoku/>
        <w:wordWrap/>
        <w:overflowPunct/>
        <w:topLinePunct w:val="0"/>
        <w:autoSpaceDE/>
        <w:autoSpaceDN/>
        <w:bidi w:val="0"/>
        <w:adjustRightInd/>
        <w:snapToGrid/>
        <w:spacing w:line="578" w:lineRule="exact"/>
        <w:textAlignment w:val="auto"/>
        <w:rPr>
          <w:rFonts w:hint="eastAsia"/>
          <w:lang w:val="en-US" w:eastAsia="zh-CN"/>
        </w:rPr>
      </w:pPr>
      <w:bookmarkStart w:id="17" w:name="_Toc5023"/>
      <w:r>
        <w:rPr>
          <w:rFonts w:hint="eastAsia"/>
          <w:lang w:val="en-US" w:eastAsia="zh-CN"/>
        </w:rPr>
        <w:t>（二）实施方向</w:t>
      </w:r>
      <w:bookmarkEnd w:id="17"/>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lang w:val="en-US" w:eastAsia="zh-CN"/>
        </w:rPr>
      </w:pPr>
      <w:r>
        <w:rPr>
          <w:rFonts w:hint="eastAsia"/>
          <w:lang w:val="en-US" w:eastAsia="zh-CN"/>
        </w:rPr>
        <w:t>包头市行政区域内大型活动组织者若通过购买包头林草碳票或碳汇类碳信用、新建碳汇林的林草碳汇类抵消方式实现大型活动碳中和，可以本文件为依据，开展大型活动碳排放核算与实现碳中和。</w:t>
      </w:r>
    </w:p>
    <w:p>
      <w:pPr>
        <w:pStyle w:val="2"/>
        <w:pageBreakBefore w:val="0"/>
        <w:kinsoku/>
        <w:wordWrap/>
        <w:overflowPunct/>
        <w:topLinePunct w:val="0"/>
        <w:autoSpaceDE/>
        <w:autoSpaceDN/>
        <w:bidi w:val="0"/>
        <w:adjustRightInd/>
        <w:snapToGrid/>
        <w:spacing w:line="578" w:lineRule="exact"/>
        <w:textAlignment w:val="auto"/>
        <w:rPr>
          <w:rFonts w:hint="default"/>
          <w:lang w:val="en-US" w:eastAsia="zh-CN"/>
        </w:rPr>
      </w:pPr>
      <w:bookmarkStart w:id="18" w:name="_Toc5317"/>
      <w:r>
        <w:rPr>
          <w:rFonts w:hint="eastAsia"/>
          <w:lang w:val="en-US" w:eastAsia="zh-CN"/>
        </w:rPr>
        <w:t>九、其他应说明的事项</w:t>
      </w:r>
      <w:bookmarkEnd w:id="18"/>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lang w:val="en-US" w:eastAsia="zh-CN"/>
        </w:rPr>
      </w:pPr>
      <w:r>
        <w:rPr>
          <w:rFonts w:hint="eastAsia"/>
          <w:lang w:val="en-US" w:eastAsia="zh-CN"/>
        </w:rPr>
        <w:t>本文件编制工作组将在参编单位内试运行《基于林草碳汇的大型活动碳中和实施指南》征求意见稿，进一步分析标准内容的适宜性和合理性，必要时进行技术内容的修编。</w:t>
      </w: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037C3A-551C-4B68-ADD8-5B1E1309DEC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95198EE2-5CB0-4A08-994D-79C9A9240508}"/>
  </w:font>
  <w:font w:name="楷体_GB2312">
    <w:panose1 w:val="02010609030101010101"/>
    <w:charset w:val="86"/>
    <w:family w:val="auto"/>
    <w:pitch w:val="default"/>
    <w:sig w:usb0="00000001" w:usb1="080E0000" w:usb2="00000000" w:usb3="00000000" w:csb0="00040000" w:csb1="00000000"/>
    <w:embedRegular r:id="rId3" w:fontKey="{E61D745F-C055-4062-8499-1A2E35A90BE3}"/>
  </w:font>
  <w:font w:name="方正小标宋简体">
    <w:altName w:val="仿宋_GB2312"/>
    <w:panose1 w:val="02010601030101010101"/>
    <w:charset w:val="86"/>
    <w:family w:val="script"/>
    <w:pitch w:val="default"/>
    <w:sig w:usb0="00000000" w:usb1="00000000" w:usb2="00000000" w:usb3="00000000" w:csb0="00040000" w:csb1="00000000"/>
    <w:embedRegular r:id="rId4" w:fontKey="{3E796756-A099-461C-B4EE-A2CC1C5D1F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DD799C"/>
    <w:multiLevelType w:val="singleLevel"/>
    <w:tmpl w:val="C1DD799C"/>
    <w:lvl w:ilvl="0" w:tentative="0">
      <w:start w:val="1"/>
      <w:numFmt w:val="decimal"/>
      <w:suff w:val="nothing"/>
      <w:lvlText w:val="（%1）"/>
      <w:lvlJc w:val="left"/>
      <w:pPr>
        <w:ind w:left="0" w:firstLine="0"/>
      </w:pPr>
      <w:rPr>
        <w:rFonts w:hint="default"/>
      </w:rPr>
    </w:lvl>
  </w:abstractNum>
  <w:abstractNum w:abstractNumId="1">
    <w:nsid w:val="1FC91163"/>
    <w:multiLevelType w:val="multilevel"/>
    <w:tmpl w:val="1FC91163"/>
    <w:lvl w:ilvl="0" w:tentative="0">
      <w:start w:val="1"/>
      <w:numFmt w:val="decimal"/>
      <w:pStyle w:val="1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7"/>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44C50F90"/>
    <w:multiLevelType w:val="multilevel"/>
    <w:tmpl w:val="44C50F90"/>
    <w:lvl w:ilvl="0" w:tentative="0">
      <w:start w:val="1"/>
      <w:numFmt w:val="lowerLetter"/>
      <w:pStyle w:val="19"/>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wOTFiNjkwNmZkZGViMDMxZGEyNTM1ZWZjMjRlZmIifQ=="/>
  </w:docVars>
  <w:rsids>
    <w:rsidRoot w:val="00E44D7F"/>
    <w:rsid w:val="000013ED"/>
    <w:rsid w:val="0000492A"/>
    <w:rsid w:val="00015E44"/>
    <w:rsid w:val="00017675"/>
    <w:rsid w:val="00033E70"/>
    <w:rsid w:val="00035200"/>
    <w:rsid w:val="00051EF2"/>
    <w:rsid w:val="00070E9E"/>
    <w:rsid w:val="000B7094"/>
    <w:rsid w:val="000C37F5"/>
    <w:rsid w:val="00120547"/>
    <w:rsid w:val="001926DA"/>
    <w:rsid w:val="001C0D42"/>
    <w:rsid w:val="001D2EAF"/>
    <w:rsid w:val="001F4004"/>
    <w:rsid w:val="002034F3"/>
    <w:rsid w:val="002047CC"/>
    <w:rsid w:val="002109E0"/>
    <w:rsid w:val="0024727F"/>
    <w:rsid w:val="00250225"/>
    <w:rsid w:val="00273C2A"/>
    <w:rsid w:val="0029764F"/>
    <w:rsid w:val="002A6159"/>
    <w:rsid w:val="002B1F36"/>
    <w:rsid w:val="002B795A"/>
    <w:rsid w:val="002C0BEF"/>
    <w:rsid w:val="002C315A"/>
    <w:rsid w:val="003231ED"/>
    <w:rsid w:val="003416E1"/>
    <w:rsid w:val="003551B3"/>
    <w:rsid w:val="00362BF0"/>
    <w:rsid w:val="00387B25"/>
    <w:rsid w:val="003914CA"/>
    <w:rsid w:val="00394EA2"/>
    <w:rsid w:val="003C2C51"/>
    <w:rsid w:val="003F2439"/>
    <w:rsid w:val="00426B1A"/>
    <w:rsid w:val="00433BC5"/>
    <w:rsid w:val="0046186B"/>
    <w:rsid w:val="00463CCB"/>
    <w:rsid w:val="004A195E"/>
    <w:rsid w:val="004A4964"/>
    <w:rsid w:val="004F11CC"/>
    <w:rsid w:val="00500D57"/>
    <w:rsid w:val="005438C0"/>
    <w:rsid w:val="0056202D"/>
    <w:rsid w:val="00567182"/>
    <w:rsid w:val="005C04DE"/>
    <w:rsid w:val="005C5A81"/>
    <w:rsid w:val="005D6938"/>
    <w:rsid w:val="005D70B1"/>
    <w:rsid w:val="005F7404"/>
    <w:rsid w:val="00601DD0"/>
    <w:rsid w:val="00610C46"/>
    <w:rsid w:val="006177B4"/>
    <w:rsid w:val="00627175"/>
    <w:rsid w:val="00642CFA"/>
    <w:rsid w:val="006C0CDE"/>
    <w:rsid w:val="006C3709"/>
    <w:rsid w:val="006E0779"/>
    <w:rsid w:val="00711C8C"/>
    <w:rsid w:val="00722103"/>
    <w:rsid w:val="00736CD7"/>
    <w:rsid w:val="00755829"/>
    <w:rsid w:val="00761CA1"/>
    <w:rsid w:val="007638B1"/>
    <w:rsid w:val="00770FF0"/>
    <w:rsid w:val="007721DC"/>
    <w:rsid w:val="00780A04"/>
    <w:rsid w:val="007A7012"/>
    <w:rsid w:val="007D499F"/>
    <w:rsid w:val="007F5CAD"/>
    <w:rsid w:val="00811C13"/>
    <w:rsid w:val="00835A3F"/>
    <w:rsid w:val="00842C95"/>
    <w:rsid w:val="00853ADC"/>
    <w:rsid w:val="00881200"/>
    <w:rsid w:val="008D37C9"/>
    <w:rsid w:val="008E2B3E"/>
    <w:rsid w:val="008F2C0A"/>
    <w:rsid w:val="009138DC"/>
    <w:rsid w:val="009139DA"/>
    <w:rsid w:val="00916715"/>
    <w:rsid w:val="0098140C"/>
    <w:rsid w:val="00981D7D"/>
    <w:rsid w:val="009B472D"/>
    <w:rsid w:val="009D0D42"/>
    <w:rsid w:val="009D1EB5"/>
    <w:rsid w:val="009E758A"/>
    <w:rsid w:val="00A03D2E"/>
    <w:rsid w:val="00A04C64"/>
    <w:rsid w:val="00A33B03"/>
    <w:rsid w:val="00A445AE"/>
    <w:rsid w:val="00A747FB"/>
    <w:rsid w:val="00A75571"/>
    <w:rsid w:val="00A90EE0"/>
    <w:rsid w:val="00AA7271"/>
    <w:rsid w:val="00AA739D"/>
    <w:rsid w:val="00AC77CB"/>
    <w:rsid w:val="00AE2673"/>
    <w:rsid w:val="00AE3748"/>
    <w:rsid w:val="00AF07BE"/>
    <w:rsid w:val="00B24C6F"/>
    <w:rsid w:val="00B30DD9"/>
    <w:rsid w:val="00B63E3C"/>
    <w:rsid w:val="00BB47DA"/>
    <w:rsid w:val="00BB5D33"/>
    <w:rsid w:val="00BF4834"/>
    <w:rsid w:val="00C45E60"/>
    <w:rsid w:val="00C60641"/>
    <w:rsid w:val="00C60F17"/>
    <w:rsid w:val="00C66B8B"/>
    <w:rsid w:val="00C74134"/>
    <w:rsid w:val="00C7416F"/>
    <w:rsid w:val="00C84FF2"/>
    <w:rsid w:val="00C93CC7"/>
    <w:rsid w:val="00CA5B99"/>
    <w:rsid w:val="00D1046E"/>
    <w:rsid w:val="00D14356"/>
    <w:rsid w:val="00D42D0D"/>
    <w:rsid w:val="00D70207"/>
    <w:rsid w:val="00DD2A2B"/>
    <w:rsid w:val="00DE0D69"/>
    <w:rsid w:val="00DE75FF"/>
    <w:rsid w:val="00DF0947"/>
    <w:rsid w:val="00E44239"/>
    <w:rsid w:val="00E44D7F"/>
    <w:rsid w:val="00E66598"/>
    <w:rsid w:val="00E66BAA"/>
    <w:rsid w:val="00E7581E"/>
    <w:rsid w:val="00E93D69"/>
    <w:rsid w:val="00EC6EF6"/>
    <w:rsid w:val="00EE7882"/>
    <w:rsid w:val="00F16D8B"/>
    <w:rsid w:val="00F31936"/>
    <w:rsid w:val="00FA343F"/>
    <w:rsid w:val="00FE7D74"/>
    <w:rsid w:val="04F31D8A"/>
    <w:rsid w:val="07681E50"/>
    <w:rsid w:val="07B740AB"/>
    <w:rsid w:val="08813D8D"/>
    <w:rsid w:val="09F76422"/>
    <w:rsid w:val="0B5973A3"/>
    <w:rsid w:val="0D54277A"/>
    <w:rsid w:val="0E2C35D4"/>
    <w:rsid w:val="1036601B"/>
    <w:rsid w:val="13062682"/>
    <w:rsid w:val="16E702C2"/>
    <w:rsid w:val="18DE75FF"/>
    <w:rsid w:val="19016309"/>
    <w:rsid w:val="1C0B7651"/>
    <w:rsid w:val="1D4D72AE"/>
    <w:rsid w:val="208C266E"/>
    <w:rsid w:val="252A2995"/>
    <w:rsid w:val="29707F5B"/>
    <w:rsid w:val="29EB494C"/>
    <w:rsid w:val="2C215325"/>
    <w:rsid w:val="2C5D3FC5"/>
    <w:rsid w:val="2D436894"/>
    <w:rsid w:val="2F8B3DE2"/>
    <w:rsid w:val="30893DAC"/>
    <w:rsid w:val="33541DC5"/>
    <w:rsid w:val="37BF0FA0"/>
    <w:rsid w:val="3AC70896"/>
    <w:rsid w:val="3B235D6C"/>
    <w:rsid w:val="3D7021B3"/>
    <w:rsid w:val="3D746706"/>
    <w:rsid w:val="3D7B789B"/>
    <w:rsid w:val="42BF022A"/>
    <w:rsid w:val="44ED10A0"/>
    <w:rsid w:val="4681670A"/>
    <w:rsid w:val="46E4182B"/>
    <w:rsid w:val="483A59BA"/>
    <w:rsid w:val="49BB2948"/>
    <w:rsid w:val="49D4280C"/>
    <w:rsid w:val="49E727D4"/>
    <w:rsid w:val="4E1015F3"/>
    <w:rsid w:val="4FDF1C88"/>
    <w:rsid w:val="510767A9"/>
    <w:rsid w:val="541167D8"/>
    <w:rsid w:val="54931516"/>
    <w:rsid w:val="55A27C63"/>
    <w:rsid w:val="56187F25"/>
    <w:rsid w:val="578D0EA1"/>
    <w:rsid w:val="57902E69"/>
    <w:rsid w:val="57AC396B"/>
    <w:rsid w:val="5A297572"/>
    <w:rsid w:val="5A5625F0"/>
    <w:rsid w:val="5A9503BF"/>
    <w:rsid w:val="5ADA5BAF"/>
    <w:rsid w:val="5B0B44FC"/>
    <w:rsid w:val="5CD759BC"/>
    <w:rsid w:val="5F8C7895"/>
    <w:rsid w:val="5F9347C8"/>
    <w:rsid w:val="5F977CEE"/>
    <w:rsid w:val="604D7048"/>
    <w:rsid w:val="626764BC"/>
    <w:rsid w:val="627735A5"/>
    <w:rsid w:val="632A08DA"/>
    <w:rsid w:val="634E7FAA"/>
    <w:rsid w:val="63B84AF5"/>
    <w:rsid w:val="63F20C2F"/>
    <w:rsid w:val="64E35BA2"/>
    <w:rsid w:val="653077B7"/>
    <w:rsid w:val="68295E30"/>
    <w:rsid w:val="69633464"/>
    <w:rsid w:val="6B520BC7"/>
    <w:rsid w:val="6B6C6304"/>
    <w:rsid w:val="6B7A1CE2"/>
    <w:rsid w:val="6BDB2A14"/>
    <w:rsid w:val="6BE23F04"/>
    <w:rsid w:val="6D3451EC"/>
    <w:rsid w:val="6D9302A7"/>
    <w:rsid w:val="6F881820"/>
    <w:rsid w:val="6FF50F07"/>
    <w:rsid w:val="72135E5F"/>
    <w:rsid w:val="72364238"/>
    <w:rsid w:val="731F13A5"/>
    <w:rsid w:val="74AE541B"/>
    <w:rsid w:val="755E6196"/>
    <w:rsid w:val="760C31AA"/>
    <w:rsid w:val="76250744"/>
    <w:rsid w:val="766B0D4A"/>
    <w:rsid w:val="784B33CA"/>
    <w:rsid w:val="785160B2"/>
    <w:rsid w:val="78EF46BD"/>
    <w:rsid w:val="7BB15EFA"/>
    <w:rsid w:val="7C8F04F9"/>
    <w:rsid w:val="7CD9190C"/>
    <w:rsid w:val="7D211F4C"/>
    <w:rsid w:val="7D4F6073"/>
    <w:rsid w:val="7DB327F2"/>
    <w:rsid w:val="7EF10987"/>
    <w:rsid w:val="7F8B53A8"/>
    <w:rsid w:val="7FB80864"/>
    <w:rsid w:val="BFDEC22A"/>
    <w:rsid w:val="EF6F149A"/>
    <w:rsid w:val="F38F6913"/>
    <w:rsid w:val="FFD7F8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640" w:firstLineChars="200"/>
      <w:jc w:val="both"/>
    </w:pPr>
    <w:rPr>
      <w:rFonts w:ascii="Times New Roman" w:hAnsi="Times New Roman" w:eastAsia="仿宋_GB2312" w:cstheme="minorBidi"/>
      <w:kern w:val="2"/>
      <w:sz w:val="32"/>
      <w:szCs w:val="22"/>
      <w:lang w:val="en-US" w:eastAsia="zh-CN" w:bidi="ar-SA"/>
    </w:rPr>
  </w:style>
  <w:style w:type="paragraph" w:styleId="2">
    <w:name w:val="heading 1"/>
    <w:basedOn w:val="1"/>
    <w:next w:val="1"/>
    <w:link w:val="13"/>
    <w:qFormat/>
    <w:uiPriority w:val="9"/>
    <w:pPr>
      <w:keepNext/>
      <w:keepLines/>
      <w:spacing w:line="360" w:lineRule="auto"/>
      <w:ind w:firstLine="720" w:firstLineChars="200"/>
      <w:outlineLvl w:val="0"/>
    </w:pPr>
    <w:rPr>
      <w:rFonts w:ascii="Times New Roman" w:hAnsi="Times New Roman" w:eastAsia="黑体"/>
      <w:bCs/>
      <w:kern w:val="44"/>
      <w:szCs w:val="44"/>
    </w:rPr>
  </w:style>
  <w:style w:type="paragraph" w:styleId="3">
    <w:name w:val="heading 2"/>
    <w:basedOn w:val="1"/>
    <w:next w:val="1"/>
    <w:link w:val="14"/>
    <w:unhideWhenUsed/>
    <w:qFormat/>
    <w:uiPriority w:val="9"/>
    <w:pPr>
      <w:keepNext/>
      <w:keepLines/>
      <w:spacing w:line="360" w:lineRule="auto"/>
      <w:ind w:firstLine="720" w:firstLineChars="200"/>
      <w:outlineLvl w:val="1"/>
    </w:pPr>
    <w:rPr>
      <w:rFonts w:ascii="Times New Roman" w:hAnsi="Times New Roman" w:eastAsia="楷体_GB2312" w:cstheme="majorBidi"/>
      <w:b/>
      <w:bCs/>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4">
    <w:name w:val="footer"/>
    <w:basedOn w:val="1"/>
    <w:semiHidden/>
    <w:unhideWhenUsed/>
    <w:qFormat/>
    <w:uiPriority w:val="99"/>
    <w:pPr>
      <w:tabs>
        <w:tab w:val="center" w:pos="4153"/>
        <w:tab w:val="right" w:pos="8306"/>
      </w:tabs>
      <w:snapToGrid w:val="0"/>
      <w:jc w:val="left"/>
    </w:pPr>
    <w:rPr>
      <w:rFonts w:ascii="Times New Roman" w:hAnsi="Times New Roman" w:eastAsia="仿宋_GB2312"/>
      <w:sz w:val="24"/>
      <w:szCs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semiHidden/>
    <w:unhideWhenUsed/>
    <w:qFormat/>
    <w:uiPriority w:val="39"/>
  </w:style>
  <w:style w:type="paragraph" w:styleId="7">
    <w:name w:val="toc 2"/>
    <w:basedOn w:val="1"/>
    <w:next w:val="1"/>
    <w:semiHidden/>
    <w:unhideWhenUsed/>
    <w:qFormat/>
    <w:uiPriority w:val="39"/>
    <w:pPr>
      <w:ind w:left="420" w:leftChars="200"/>
    </w:p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9">
    <w:name w:val="Body Text First Indent 2"/>
    <w:basedOn w:val="1"/>
    <w:next w:val="1"/>
    <w:semiHidden/>
    <w:unhideWhenUsed/>
    <w:qFormat/>
    <w:uiPriority w:val="99"/>
    <w:pPr>
      <w:ind w:left="0" w:leftChars="0" w:firstLine="420"/>
    </w:p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1 Char"/>
    <w:basedOn w:val="12"/>
    <w:link w:val="2"/>
    <w:qFormat/>
    <w:uiPriority w:val="9"/>
    <w:rPr>
      <w:rFonts w:ascii="Times New Roman" w:hAnsi="Times New Roman" w:eastAsia="黑体"/>
      <w:bCs/>
      <w:kern w:val="44"/>
      <w:sz w:val="32"/>
      <w:szCs w:val="44"/>
    </w:rPr>
  </w:style>
  <w:style w:type="character" w:customStyle="1" w:styleId="14">
    <w:name w:val="标题 2 Char"/>
    <w:basedOn w:val="12"/>
    <w:link w:val="3"/>
    <w:qFormat/>
    <w:uiPriority w:val="9"/>
    <w:rPr>
      <w:rFonts w:ascii="Times New Roman" w:hAnsi="Times New Roman" w:eastAsia="楷体_GB2312" w:cstheme="majorBidi"/>
      <w:b/>
      <w:bCs/>
      <w:sz w:val="32"/>
      <w:szCs w:val="32"/>
    </w:rPr>
  </w:style>
  <w:style w:type="paragraph" w:customStyle="1" w:styleId="15">
    <w:name w:val="章标题"/>
    <w:next w:val="16"/>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一级条标题"/>
    <w:next w:val="16"/>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8">
    <w:name w:val="二级条标题"/>
    <w:basedOn w:val="17"/>
    <w:next w:val="16"/>
    <w:qFormat/>
    <w:uiPriority w:val="0"/>
    <w:pPr>
      <w:numPr>
        <w:ilvl w:val="2"/>
        <w:numId w:val="1"/>
      </w:numPr>
      <w:spacing w:before="50" w:after="50"/>
      <w:outlineLvl w:val="3"/>
    </w:pPr>
  </w:style>
  <w:style w:type="paragraph" w:customStyle="1" w:styleId="19">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character" w:customStyle="1" w:styleId="20">
    <w:name w:val="段 Char"/>
    <w:basedOn w:val="12"/>
    <w:qFormat/>
    <w:uiPriority w:val="0"/>
    <w:rPr>
      <w:rFonts w:hint="eastAsia" w:ascii="宋体" w:hAnsi="宋体" w:eastAsia="宋体" w:cs="宋体"/>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8</Pages>
  <Words>3400</Words>
  <Characters>3473</Characters>
  <Lines>1</Lines>
  <Paragraphs>1</Paragraphs>
  <TotalTime>4</TotalTime>
  <ScaleCrop>false</ScaleCrop>
  <LinksUpToDate>false</LinksUpToDate>
  <CharactersWithSpaces>3476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2023-04-13T01:13:00Z</dcterms:created>
  <dc:creator>黄梅</dc:creator>
  <cp:lastModifiedBy>酱酱酱_</cp:lastModifiedBy>
  <dcterms:modified xsi:type="dcterms:W3CDTF">2023-11-13T03:12:46Z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54A18810740D451693259FFC5A126ACE_13</vt:lpwstr>
  </property>
</Properties>
</file>