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5"/>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hint="eastAsia" w:ascii="黑体" w:hAnsi="黑体" w:eastAsia="黑体"/>
                <w:sz w:val="21"/>
                <w:szCs w:val="21"/>
                <w:lang w:val="en-US" w:eastAsia="zh-CN"/>
              </w:rPr>
              <w:t>65.020.40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64</w:t>
            </w:r>
            <w:r>
              <w:rPr>
                <w:rFonts w:ascii="黑体" w:hAnsi="黑体" w:eastAsia="黑体"/>
                <w:sz w:val="21"/>
                <w:szCs w:val="21"/>
              </w:rPr>
              <w:fldChar w:fldCharType="end"/>
            </w:r>
            <w:bookmarkEnd w:id="1"/>
          </w:p>
        </w:tc>
      </w:tr>
    </w:tbl>
    <w:tbl>
      <w:tblPr>
        <w:tblStyle w:val="45"/>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6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XX</w:t>
            </w:r>
            <w:r>
              <w:fldChar w:fldCharType="end"/>
            </w:r>
            <w:bookmarkEnd w:id="3"/>
          </w:p>
        </w:tc>
      </w:tr>
    </w:tbl>
    <w:p>
      <w:pPr>
        <w:pStyle w:val="7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包头市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21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21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70"/>
        <w:framePr w:w="9639" w:h="6976" w:hRule="exact" w:hSpace="0" w:vSpace="0" w:wrap="around" w:hAnchor="page" w:y="6408"/>
        <w:jc w:val="center"/>
        <w:rPr>
          <w:rFonts w:ascii="黑体" w:hAnsi="黑体" w:eastAsia="黑体"/>
          <w:b w:val="0"/>
          <w:bCs w:val="0"/>
          <w:w w:val="100"/>
        </w:rPr>
      </w:pPr>
    </w:p>
    <w:p>
      <w:pPr>
        <w:pStyle w:val="21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森林碳汇调查与监测技术规程 </w:t>
      </w:r>
      <w:r>
        <w:fldChar w:fldCharType="end"/>
      </w:r>
      <w:bookmarkEnd w:id="9"/>
    </w:p>
    <w:p>
      <w:pPr>
        <w:framePr w:w="9639" w:h="6974" w:hRule="exact" w:wrap="around" w:vAnchor="page" w:hAnchor="page" w:x="1419" w:y="6408" w:anchorLock="1"/>
        <w:ind w:left="-1418"/>
      </w:pPr>
    </w:p>
    <w:p>
      <w:pPr>
        <w:pStyle w:val="14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regulations for forest carbon sink measurement and monitoring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45"/>
        <w:framePr w:w="9639" w:h="6974" w:hRule="exact" w:wrap="around" w:vAnchor="page" w:hAnchor="page" w:x="1419" w:y="6408" w:anchorLock="1"/>
        <w:textAlignment w:val="bottom"/>
        <w:rPr>
          <w:rFonts w:eastAsia="黑体"/>
          <w:szCs w:val="28"/>
        </w:rPr>
      </w:pPr>
    </w:p>
    <w:p>
      <w:pPr>
        <w:pStyle w:val="14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4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4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21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21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7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包头市市场监督管理局</w:t>
      </w:r>
      <w:r>
        <w:rPr>
          <w:rFonts w:hAnsi="黑体"/>
          <w:w w:val="100"/>
          <w:sz w:val="28"/>
        </w:rPr>
        <w:fldChar w:fldCharType="end"/>
      </w:r>
      <w:bookmarkEnd w:id="20"/>
      <w:r>
        <w:rPr>
          <w:rFonts w:ascii="Times New Roman"/>
          <w:w w:val="100"/>
          <w:sz w:val="28"/>
        </w:rPr>
        <w:t>  </w:t>
      </w:r>
      <w:r>
        <w:rPr>
          <w:rStyle w:val="249"/>
          <w:rFonts w:hint="eastAsia" w:hAnsi="黑体"/>
          <w:position w:val="0"/>
        </w:rPr>
        <w:t>发</w:t>
      </w:r>
      <w:r>
        <w:rPr>
          <w:rStyle w:val="24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111"/>
        <w:spacing w:after="468"/>
      </w:pPr>
      <w:bookmarkStart w:id="21" w:name="BookMark1"/>
      <w:bookmarkStart w:id="22" w:name="_Toc142550449"/>
      <w:bookmarkStart w:id="23" w:name="_Toc146472700"/>
      <w:bookmarkStart w:id="24" w:name="_Toc142550496"/>
      <w:bookmarkStart w:id="25" w:name="_Toc149554987"/>
      <w:bookmarkStart w:id="26" w:name="_Toc146472737"/>
      <w:bookmarkStart w:id="27" w:name="_Toc146474185"/>
      <w:r>
        <w:rPr>
          <w:rFonts w:hint="eastAsia"/>
          <w:spacing w:val="320"/>
        </w:rPr>
        <w:t>目</w:t>
      </w:r>
      <w:r>
        <w:rPr>
          <w:rFonts w:hint="eastAsia"/>
        </w:rPr>
        <w:t>次</w:t>
      </w:r>
    </w:p>
    <w:p>
      <w:pPr>
        <w:pStyle w:val="3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"_Toc149749319" </w:instrText>
      </w:r>
      <w:r>
        <w:fldChar w:fldCharType="separate"/>
      </w:r>
      <w:r>
        <w:rPr>
          <w:rStyle w:val="52"/>
        </w:rPr>
        <w:t>前言</w:t>
      </w:r>
      <w:r>
        <w:tab/>
      </w:r>
      <w:r>
        <w:fldChar w:fldCharType="begin"/>
      </w:r>
      <w:r>
        <w:instrText xml:space="preserve"> PAGEREF _Toc149749319 \h </w:instrText>
      </w:r>
      <w:r>
        <w:fldChar w:fldCharType="separate"/>
      </w:r>
      <w:r>
        <w:t>II</w:t>
      </w:r>
      <w:r>
        <w:fldChar w:fldCharType="end"/>
      </w:r>
      <w:r>
        <w:fldChar w:fldCharType="end"/>
      </w:r>
    </w:p>
    <w:p>
      <w:pPr>
        <w:pStyle w:val="30"/>
        <w:tabs>
          <w:tab w:val="right" w:leader="dot" w:pos="9344"/>
        </w:tabs>
        <w:rPr>
          <w:rFonts w:asciiTheme="minorHAnsi" w:hAnsiTheme="minorHAnsi" w:eastAsiaTheme="minorEastAsia" w:cstheme="minorBidi"/>
          <w:szCs w:val="22"/>
        </w:rPr>
      </w:pPr>
      <w:r>
        <w:fldChar w:fldCharType="begin"/>
      </w:r>
      <w:r>
        <w:instrText xml:space="preserve"> HYPERLINK \l "_Toc149749320" </w:instrText>
      </w:r>
      <w:r>
        <w:fldChar w:fldCharType="separate"/>
      </w:r>
      <w:r>
        <w:rPr>
          <w:rStyle w:val="52"/>
        </w:rPr>
        <w:t>1  范围</w:t>
      </w:r>
      <w:r>
        <w:tab/>
      </w:r>
      <w:r>
        <w:fldChar w:fldCharType="begin"/>
      </w:r>
      <w:r>
        <w:instrText xml:space="preserve"> PAGEREF _Toc149749320 \h </w:instrText>
      </w:r>
      <w:r>
        <w:fldChar w:fldCharType="separate"/>
      </w:r>
      <w:r>
        <w:t>1</w:t>
      </w:r>
      <w:r>
        <w:fldChar w:fldCharType="end"/>
      </w:r>
      <w:r>
        <w:fldChar w:fldCharType="end"/>
      </w:r>
    </w:p>
    <w:p>
      <w:pPr>
        <w:pStyle w:val="30"/>
        <w:tabs>
          <w:tab w:val="right" w:leader="dot" w:pos="9344"/>
        </w:tabs>
        <w:rPr>
          <w:rFonts w:asciiTheme="minorHAnsi" w:hAnsiTheme="minorHAnsi" w:eastAsiaTheme="minorEastAsia" w:cstheme="minorBidi"/>
          <w:szCs w:val="22"/>
        </w:rPr>
      </w:pPr>
      <w:r>
        <w:fldChar w:fldCharType="begin"/>
      </w:r>
      <w:r>
        <w:instrText xml:space="preserve"> HYPERLINK \l "_Toc149749321" </w:instrText>
      </w:r>
      <w:r>
        <w:fldChar w:fldCharType="separate"/>
      </w:r>
      <w:r>
        <w:rPr>
          <w:rStyle w:val="52"/>
        </w:rPr>
        <w:t>2  规范性引用文件</w:t>
      </w:r>
      <w:r>
        <w:tab/>
      </w:r>
      <w:r>
        <w:fldChar w:fldCharType="begin"/>
      </w:r>
      <w:r>
        <w:instrText xml:space="preserve"> PAGEREF _Toc149749321 \h </w:instrText>
      </w:r>
      <w:r>
        <w:fldChar w:fldCharType="separate"/>
      </w:r>
      <w:r>
        <w:t>1</w:t>
      </w:r>
      <w:r>
        <w:fldChar w:fldCharType="end"/>
      </w:r>
      <w:r>
        <w:fldChar w:fldCharType="end"/>
      </w:r>
    </w:p>
    <w:p>
      <w:pPr>
        <w:pStyle w:val="30"/>
        <w:tabs>
          <w:tab w:val="right" w:leader="dot" w:pos="9344"/>
        </w:tabs>
        <w:rPr>
          <w:rFonts w:asciiTheme="minorHAnsi" w:hAnsiTheme="minorHAnsi" w:eastAsiaTheme="minorEastAsia" w:cstheme="minorBidi"/>
          <w:szCs w:val="22"/>
        </w:rPr>
      </w:pPr>
      <w:r>
        <w:fldChar w:fldCharType="begin"/>
      </w:r>
      <w:r>
        <w:instrText xml:space="preserve"> HYPERLINK \l "_Toc149749322" </w:instrText>
      </w:r>
      <w:r>
        <w:fldChar w:fldCharType="separate"/>
      </w:r>
      <w:r>
        <w:rPr>
          <w:rStyle w:val="52"/>
        </w:rPr>
        <w:t>3  术语和定义</w:t>
      </w:r>
      <w:r>
        <w:tab/>
      </w:r>
      <w:r>
        <w:fldChar w:fldCharType="begin"/>
      </w:r>
      <w:r>
        <w:instrText xml:space="preserve"> PAGEREF _Toc149749322 \h </w:instrText>
      </w:r>
      <w:r>
        <w:fldChar w:fldCharType="separate"/>
      </w:r>
      <w:r>
        <w:t>1</w:t>
      </w:r>
      <w:r>
        <w:fldChar w:fldCharType="end"/>
      </w:r>
      <w:r>
        <w:fldChar w:fldCharType="end"/>
      </w:r>
    </w:p>
    <w:p>
      <w:pPr>
        <w:pStyle w:val="30"/>
        <w:tabs>
          <w:tab w:val="right" w:leader="dot" w:pos="9344"/>
        </w:tabs>
        <w:rPr>
          <w:rFonts w:asciiTheme="minorHAnsi" w:hAnsiTheme="minorHAnsi" w:eastAsiaTheme="minorEastAsia" w:cstheme="minorBidi"/>
          <w:szCs w:val="22"/>
        </w:rPr>
      </w:pPr>
      <w:r>
        <w:fldChar w:fldCharType="begin"/>
      </w:r>
      <w:r>
        <w:instrText xml:space="preserve"> HYPERLINK \l "_Toc149749331" </w:instrText>
      </w:r>
      <w:r>
        <w:fldChar w:fldCharType="separate"/>
      </w:r>
      <w:r>
        <w:rPr>
          <w:rStyle w:val="52"/>
        </w:rPr>
        <w:t>4  监测对象</w:t>
      </w:r>
      <w:r>
        <w:tab/>
      </w:r>
      <w:r>
        <w:fldChar w:fldCharType="begin"/>
      </w:r>
      <w:r>
        <w:instrText xml:space="preserve"> PAGEREF _Toc149749331 \h </w:instrText>
      </w:r>
      <w:r>
        <w:fldChar w:fldCharType="separate"/>
      </w:r>
      <w:r>
        <w:t>2</w:t>
      </w:r>
      <w:r>
        <w:fldChar w:fldCharType="end"/>
      </w:r>
      <w:r>
        <w:fldChar w:fldCharType="end"/>
      </w:r>
    </w:p>
    <w:p>
      <w:pPr>
        <w:pStyle w:val="30"/>
        <w:tabs>
          <w:tab w:val="right" w:leader="dot" w:pos="9344"/>
        </w:tabs>
        <w:rPr>
          <w:rFonts w:asciiTheme="minorHAnsi" w:hAnsiTheme="minorHAnsi" w:eastAsiaTheme="minorEastAsia" w:cstheme="minorBidi"/>
          <w:szCs w:val="22"/>
        </w:rPr>
      </w:pPr>
      <w:r>
        <w:fldChar w:fldCharType="begin"/>
      </w:r>
      <w:r>
        <w:instrText xml:space="preserve"> HYPERLINK \l "_Toc149749332" </w:instrText>
      </w:r>
      <w:r>
        <w:fldChar w:fldCharType="separate"/>
      </w:r>
      <w:r>
        <w:rPr>
          <w:rStyle w:val="52"/>
        </w:rPr>
        <w:t>5  监测方法</w:t>
      </w:r>
      <w:r>
        <w:tab/>
      </w:r>
      <w:r>
        <w:fldChar w:fldCharType="begin"/>
      </w:r>
      <w:r>
        <w:instrText xml:space="preserve"> PAGEREF _Toc149749332 \h </w:instrText>
      </w:r>
      <w:r>
        <w:fldChar w:fldCharType="separate"/>
      </w:r>
      <w:r>
        <w:t>2</w:t>
      </w:r>
      <w:r>
        <w:fldChar w:fldCharType="end"/>
      </w:r>
      <w:r>
        <w:fldChar w:fldCharType="end"/>
      </w:r>
    </w:p>
    <w:p>
      <w:pPr>
        <w:pStyle w:val="39"/>
        <w:rPr>
          <w:rFonts w:asciiTheme="minorHAnsi" w:hAnsiTheme="minorHAnsi" w:eastAsiaTheme="minorEastAsia" w:cstheme="minorBidi"/>
          <w:szCs w:val="22"/>
        </w:rPr>
      </w:pPr>
      <w:r>
        <w:fldChar w:fldCharType="begin"/>
      </w:r>
      <w:r>
        <w:instrText xml:space="preserve"> HYPERLINK \l "_Toc149749333" </w:instrText>
      </w:r>
      <w:r>
        <w:fldChar w:fldCharType="separate"/>
      </w:r>
      <w:r>
        <w:rPr>
          <w:rStyle w:val="52"/>
          <w14:scene3d>
            <w14:lightRig w14:rig="threePt" w14:dir="t">
              <w14:rot w14:lat="0" w14:lon="0" w14:rev="0"/>
            </w14:lightRig>
          </w14:scene3d>
        </w:rPr>
        <w:t xml:space="preserve">5.1 </w:t>
      </w:r>
      <w:r>
        <w:rPr>
          <w:rStyle w:val="52"/>
        </w:rPr>
        <w:t xml:space="preserve"> 样地选择</w:t>
      </w:r>
      <w:r>
        <w:tab/>
      </w:r>
      <w:r>
        <w:fldChar w:fldCharType="begin"/>
      </w:r>
      <w:r>
        <w:instrText xml:space="preserve"> PAGEREF _Toc149749333 \h </w:instrText>
      </w:r>
      <w:r>
        <w:fldChar w:fldCharType="separate"/>
      </w:r>
      <w:r>
        <w:t>2</w:t>
      </w:r>
      <w:r>
        <w:fldChar w:fldCharType="end"/>
      </w:r>
      <w:r>
        <w:fldChar w:fldCharType="end"/>
      </w:r>
    </w:p>
    <w:p>
      <w:pPr>
        <w:pStyle w:val="39"/>
        <w:rPr>
          <w:rFonts w:asciiTheme="minorHAnsi" w:hAnsiTheme="minorHAnsi" w:eastAsiaTheme="minorEastAsia" w:cstheme="minorBidi"/>
          <w:szCs w:val="22"/>
        </w:rPr>
      </w:pPr>
      <w:r>
        <w:fldChar w:fldCharType="begin"/>
      </w:r>
      <w:r>
        <w:instrText xml:space="preserve"> HYPERLINK \l "_Toc149749334" </w:instrText>
      </w:r>
      <w:r>
        <w:fldChar w:fldCharType="separate"/>
      </w:r>
      <w:r>
        <w:rPr>
          <w:rStyle w:val="52"/>
          <w14:scene3d>
            <w14:lightRig w14:rig="threePt" w14:dir="t">
              <w14:rot w14:lat="0" w14:lon="0" w14:rev="0"/>
            </w14:lightRig>
          </w14:scene3d>
        </w:rPr>
        <w:t xml:space="preserve">5.2 </w:t>
      </w:r>
      <w:r>
        <w:rPr>
          <w:rStyle w:val="52"/>
        </w:rPr>
        <w:t xml:space="preserve"> 样地设置</w:t>
      </w:r>
      <w:r>
        <w:tab/>
      </w:r>
      <w:r>
        <w:fldChar w:fldCharType="begin"/>
      </w:r>
      <w:r>
        <w:instrText xml:space="preserve"> PAGEREF _Toc149749334 \h </w:instrText>
      </w:r>
      <w:r>
        <w:fldChar w:fldCharType="separate"/>
      </w:r>
      <w:r>
        <w:t>2</w:t>
      </w:r>
      <w:r>
        <w:fldChar w:fldCharType="end"/>
      </w:r>
      <w:r>
        <w:fldChar w:fldCharType="end"/>
      </w:r>
    </w:p>
    <w:p>
      <w:pPr>
        <w:pStyle w:val="39"/>
        <w:rPr>
          <w:rFonts w:asciiTheme="minorHAnsi" w:hAnsiTheme="minorHAnsi" w:eastAsiaTheme="minorEastAsia" w:cstheme="minorBidi"/>
          <w:szCs w:val="22"/>
        </w:rPr>
      </w:pPr>
      <w:r>
        <w:fldChar w:fldCharType="begin"/>
      </w:r>
      <w:r>
        <w:instrText xml:space="preserve"> HYPERLINK \l "_Toc149749335" </w:instrText>
      </w:r>
      <w:r>
        <w:fldChar w:fldCharType="separate"/>
      </w:r>
      <w:r>
        <w:rPr>
          <w:rStyle w:val="52"/>
          <w14:scene3d>
            <w14:lightRig w14:rig="threePt" w14:dir="t">
              <w14:rot w14:lat="0" w14:lon="0" w14:rev="0"/>
            </w14:lightRig>
          </w14:scene3d>
        </w:rPr>
        <w:t xml:space="preserve">5.3 </w:t>
      </w:r>
      <w:r>
        <w:rPr>
          <w:rStyle w:val="52"/>
        </w:rPr>
        <w:t xml:space="preserve"> 样地调查</w:t>
      </w:r>
      <w:r>
        <w:tab/>
      </w:r>
      <w:r>
        <w:fldChar w:fldCharType="begin"/>
      </w:r>
      <w:r>
        <w:instrText xml:space="preserve"> PAGEREF _Toc149749335 \h </w:instrText>
      </w:r>
      <w:r>
        <w:fldChar w:fldCharType="separate"/>
      </w:r>
      <w:r>
        <w:t>3</w:t>
      </w:r>
      <w:r>
        <w:fldChar w:fldCharType="end"/>
      </w:r>
      <w:r>
        <w:fldChar w:fldCharType="end"/>
      </w:r>
    </w:p>
    <w:p>
      <w:pPr>
        <w:pStyle w:val="39"/>
        <w:rPr>
          <w:rFonts w:asciiTheme="minorHAnsi" w:hAnsiTheme="minorHAnsi" w:eastAsiaTheme="minorEastAsia" w:cstheme="minorBidi"/>
          <w:szCs w:val="22"/>
        </w:rPr>
      </w:pPr>
      <w:r>
        <w:fldChar w:fldCharType="begin"/>
      </w:r>
      <w:r>
        <w:instrText xml:space="preserve"> HYPERLINK \l "_Toc149749336" </w:instrText>
      </w:r>
      <w:r>
        <w:fldChar w:fldCharType="separate"/>
      </w:r>
      <w:r>
        <w:rPr>
          <w:rStyle w:val="52"/>
          <w14:scene3d>
            <w14:lightRig w14:rig="threePt" w14:dir="t">
              <w14:rot w14:lat="0" w14:lon="0" w14:rev="0"/>
            </w14:lightRig>
          </w14:scene3d>
        </w:rPr>
        <w:t xml:space="preserve">5.4 </w:t>
      </w:r>
      <w:r>
        <w:rPr>
          <w:rStyle w:val="52"/>
        </w:rPr>
        <w:t xml:space="preserve"> 样地监测</w:t>
      </w:r>
      <w:r>
        <w:tab/>
      </w:r>
      <w:r>
        <w:fldChar w:fldCharType="begin"/>
      </w:r>
      <w:r>
        <w:instrText xml:space="preserve"> PAGEREF _Toc149749336 \h </w:instrText>
      </w:r>
      <w:r>
        <w:fldChar w:fldCharType="separate"/>
      </w:r>
      <w:r>
        <w:t>3</w:t>
      </w:r>
      <w:r>
        <w:fldChar w:fldCharType="end"/>
      </w:r>
      <w:r>
        <w:fldChar w:fldCharType="end"/>
      </w:r>
    </w:p>
    <w:p>
      <w:pPr>
        <w:pStyle w:val="39"/>
        <w:rPr>
          <w:rFonts w:asciiTheme="minorHAnsi" w:hAnsiTheme="minorHAnsi" w:eastAsiaTheme="minorEastAsia" w:cstheme="minorBidi"/>
          <w:szCs w:val="22"/>
        </w:rPr>
      </w:pPr>
      <w:r>
        <w:fldChar w:fldCharType="begin"/>
      </w:r>
      <w:r>
        <w:instrText xml:space="preserve"> HYPERLINK \l "_Toc149749337" </w:instrText>
      </w:r>
      <w:r>
        <w:fldChar w:fldCharType="separate"/>
      </w:r>
      <w:r>
        <w:rPr>
          <w:rStyle w:val="52"/>
          <w14:scene3d>
            <w14:lightRig w14:rig="threePt" w14:dir="t">
              <w14:rot w14:lat="0" w14:lon="0" w14:rev="0"/>
            </w14:lightRig>
          </w14:scene3d>
        </w:rPr>
        <w:t xml:space="preserve">5.5 </w:t>
      </w:r>
      <w:r>
        <w:rPr>
          <w:rStyle w:val="52"/>
        </w:rPr>
        <w:t xml:space="preserve"> 生物量法碳储量测定</w:t>
      </w:r>
      <w:r>
        <w:tab/>
      </w:r>
      <w:r>
        <w:fldChar w:fldCharType="begin"/>
      </w:r>
      <w:r>
        <w:instrText xml:space="preserve"> PAGEREF _Toc149749337 \h </w:instrText>
      </w:r>
      <w:r>
        <w:fldChar w:fldCharType="separate"/>
      </w:r>
      <w:r>
        <w:t>4</w:t>
      </w:r>
      <w:r>
        <w:fldChar w:fldCharType="end"/>
      </w:r>
      <w:r>
        <w:fldChar w:fldCharType="end"/>
      </w:r>
    </w:p>
    <w:p>
      <w:pPr>
        <w:pStyle w:val="39"/>
        <w:rPr>
          <w:rFonts w:asciiTheme="minorHAnsi" w:hAnsiTheme="minorHAnsi" w:eastAsiaTheme="minorEastAsia" w:cstheme="minorBidi"/>
          <w:szCs w:val="22"/>
        </w:rPr>
      </w:pPr>
      <w:r>
        <w:fldChar w:fldCharType="begin"/>
      </w:r>
      <w:r>
        <w:instrText xml:space="preserve"> HYPERLINK \l "_Toc149749338" </w:instrText>
      </w:r>
      <w:r>
        <w:fldChar w:fldCharType="separate"/>
      </w:r>
      <w:r>
        <w:rPr>
          <w:rStyle w:val="52"/>
          <w14:scene3d>
            <w14:lightRig w14:rig="threePt" w14:dir="t">
              <w14:rot w14:lat="0" w14:lon="0" w14:rev="0"/>
            </w14:lightRig>
          </w14:scene3d>
        </w:rPr>
        <w:t xml:space="preserve">5.6 </w:t>
      </w:r>
      <w:r>
        <w:rPr>
          <w:rStyle w:val="52"/>
        </w:rPr>
        <w:t xml:space="preserve"> 遥感监测</w:t>
      </w:r>
      <w:r>
        <w:tab/>
      </w:r>
      <w:r>
        <w:fldChar w:fldCharType="begin"/>
      </w:r>
      <w:r>
        <w:instrText xml:space="preserve"> PAGEREF _Toc149749338 \h </w:instrText>
      </w:r>
      <w:r>
        <w:fldChar w:fldCharType="separate"/>
      </w:r>
      <w:r>
        <w:t>7</w:t>
      </w:r>
      <w:r>
        <w:fldChar w:fldCharType="end"/>
      </w:r>
      <w:r>
        <w:fldChar w:fldCharType="end"/>
      </w:r>
    </w:p>
    <w:p>
      <w:pPr>
        <w:pStyle w:val="39"/>
        <w:rPr>
          <w:rFonts w:asciiTheme="minorHAnsi" w:hAnsiTheme="minorHAnsi" w:eastAsiaTheme="minorEastAsia" w:cstheme="minorBidi"/>
          <w:szCs w:val="22"/>
        </w:rPr>
      </w:pPr>
      <w:r>
        <w:fldChar w:fldCharType="begin"/>
      </w:r>
      <w:r>
        <w:instrText xml:space="preserve"> HYPERLINK \l "_Toc149749339" </w:instrText>
      </w:r>
      <w:r>
        <w:fldChar w:fldCharType="separate"/>
      </w:r>
      <w:r>
        <w:rPr>
          <w:rStyle w:val="52"/>
          <w14:scene3d>
            <w14:lightRig w14:rig="threePt" w14:dir="t">
              <w14:rot w14:lat="0" w14:lon="0" w14:rev="0"/>
            </w14:lightRig>
          </w14:scene3d>
        </w:rPr>
        <w:t xml:space="preserve">5.7 </w:t>
      </w:r>
      <w:r>
        <w:rPr>
          <w:rStyle w:val="52"/>
        </w:rPr>
        <w:t xml:space="preserve"> 呼吸光合法监测</w:t>
      </w:r>
      <w:r>
        <w:tab/>
      </w:r>
      <w:r>
        <w:fldChar w:fldCharType="begin"/>
      </w:r>
      <w:r>
        <w:instrText xml:space="preserve"> PAGEREF _Toc149749339 \h </w:instrText>
      </w:r>
      <w:r>
        <w:fldChar w:fldCharType="separate"/>
      </w:r>
      <w:r>
        <w:t>8</w:t>
      </w:r>
      <w:r>
        <w:fldChar w:fldCharType="end"/>
      </w:r>
      <w:r>
        <w:fldChar w:fldCharType="end"/>
      </w:r>
    </w:p>
    <w:p>
      <w:pPr>
        <w:pStyle w:val="30"/>
        <w:tabs>
          <w:tab w:val="right" w:leader="dot" w:pos="9344"/>
        </w:tabs>
        <w:rPr>
          <w:rFonts w:asciiTheme="minorHAnsi" w:hAnsiTheme="minorHAnsi" w:eastAsiaTheme="minorEastAsia" w:cstheme="minorBidi"/>
          <w:szCs w:val="22"/>
        </w:rPr>
      </w:pPr>
      <w:r>
        <w:fldChar w:fldCharType="begin"/>
      </w:r>
      <w:r>
        <w:instrText xml:space="preserve"> HYPERLINK \l "_Toc149749340" </w:instrText>
      </w:r>
      <w:r>
        <w:fldChar w:fldCharType="separate"/>
      </w:r>
      <w:r>
        <w:rPr>
          <w:rStyle w:val="52"/>
        </w:rPr>
        <w:t>6  监测结果</w:t>
      </w:r>
      <w:r>
        <w:tab/>
      </w:r>
      <w:r>
        <w:fldChar w:fldCharType="begin"/>
      </w:r>
      <w:r>
        <w:instrText xml:space="preserve"> PAGEREF _Toc149749340 \h </w:instrText>
      </w:r>
      <w:r>
        <w:fldChar w:fldCharType="separate"/>
      </w:r>
      <w:r>
        <w:t>9</w:t>
      </w:r>
      <w:r>
        <w:fldChar w:fldCharType="end"/>
      </w:r>
      <w:r>
        <w:fldChar w:fldCharType="end"/>
      </w:r>
    </w:p>
    <w:p>
      <w:pPr>
        <w:pStyle w:val="39"/>
        <w:rPr>
          <w:rFonts w:asciiTheme="minorHAnsi" w:hAnsiTheme="minorHAnsi" w:eastAsiaTheme="minorEastAsia" w:cstheme="minorBidi"/>
          <w:szCs w:val="22"/>
        </w:rPr>
      </w:pPr>
      <w:r>
        <w:fldChar w:fldCharType="begin"/>
      </w:r>
      <w:r>
        <w:instrText xml:space="preserve"> HYPERLINK \l "_Toc149749341" </w:instrText>
      </w:r>
      <w:r>
        <w:fldChar w:fldCharType="separate"/>
      </w:r>
      <w:r>
        <w:rPr>
          <w:rStyle w:val="52"/>
          <w14:scene3d>
            <w14:lightRig w14:rig="threePt" w14:dir="t">
              <w14:rot w14:lat="0" w14:lon="0" w14:rev="0"/>
            </w14:lightRig>
          </w14:scene3d>
        </w:rPr>
        <w:t xml:space="preserve">6.1 </w:t>
      </w:r>
      <w:r>
        <w:rPr>
          <w:rStyle w:val="52"/>
        </w:rPr>
        <w:t xml:space="preserve"> 监测数据库</w:t>
      </w:r>
      <w:r>
        <w:tab/>
      </w:r>
      <w:r>
        <w:fldChar w:fldCharType="begin"/>
      </w:r>
      <w:r>
        <w:instrText xml:space="preserve"> PAGEREF _Toc149749341 \h </w:instrText>
      </w:r>
      <w:r>
        <w:fldChar w:fldCharType="separate"/>
      </w:r>
      <w:r>
        <w:t>9</w:t>
      </w:r>
      <w:r>
        <w:fldChar w:fldCharType="end"/>
      </w:r>
      <w:r>
        <w:fldChar w:fldCharType="end"/>
      </w:r>
    </w:p>
    <w:p>
      <w:pPr>
        <w:pStyle w:val="39"/>
        <w:rPr>
          <w:rFonts w:asciiTheme="minorHAnsi" w:hAnsiTheme="minorHAnsi" w:eastAsiaTheme="minorEastAsia" w:cstheme="minorBidi"/>
          <w:szCs w:val="22"/>
        </w:rPr>
      </w:pPr>
      <w:r>
        <w:fldChar w:fldCharType="begin"/>
      </w:r>
      <w:r>
        <w:instrText xml:space="preserve"> HYPERLINK \l "_Toc149749342" </w:instrText>
      </w:r>
      <w:r>
        <w:fldChar w:fldCharType="separate"/>
      </w:r>
      <w:r>
        <w:rPr>
          <w:rStyle w:val="52"/>
          <w14:scene3d>
            <w14:lightRig w14:rig="threePt" w14:dir="t">
              <w14:rot w14:lat="0" w14:lon="0" w14:rev="0"/>
            </w14:lightRig>
          </w14:scene3d>
        </w:rPr>
        <w:t xml:space="preserve">6.2 </w:t>
      </w:r>
      <w:r>
        <w:rPr>
          <w:rStyle w:val="52"/>
        </w:rPr>
        <w:t xml:space="preserve"> 制作成果图</w:t>
      </w:r>
      <w:r>
        <w:tab/>
      </w:r>
      <w:r>
        <w:fldChar w:fldCharType="begin"/>
      </w:r>
      <w:r>
        <w:instrText xml:space="preserve"> PAGEREF _Toc149749342 \h </w:instrText>
      </w:r>
      <w:r>
        <w:fldChar w:fldCharType="separate"/>
      </w:r>
      <w:r>
        <w:t>9</w:t>
      </w:r>
      <w:r>
        <w:fldChar w:fldCharType="end"/>
      </w:r>
      <w:r>
        <w:fldChar w:fldCharType="end"/>
      </w:r>
    </w:p>
    <w:p>
      <w:pPr>
        <w:pStyle w:val="39"/>
        <w:rPr>
          <w:rFonts w:asciiTheme="minorHAnsi" w:hAnsiTheme="minorHAnsi" w:eastAsiaTheme="minorEastAsia" w:cstheme="minorBidi"/>
          <w:szCs w:val="22"/>
        </w:rPr>
      </w:pPr>
      <w:r>
        <w:fldChar w:fldCharType="begin"/>
      </w:r>
      <w:r>
        <w:instrText xml:space="preserve"> HYPERLINK \l "_Toc149749343" </w:instrText>
      </w:r>
      <w:r>
        <w:fldChar w:fldCharType="separate"/>
      </w:r>
      <w:r>
        <w:rPr>
          <w:rStyle w:val="52"/>
          <w14:scene3d>
            <w14:lightRig w14:rig="threePt" w14:dir="t">
              <w14:rot w14:lat="0" w14:lon="0" w14:rev="0"/>
            </w14:lightRig>
          </w14:scene3d>
        </w:rPr>
        <w:t xml:space="preserve">6.3 </w:t>
      </w:r>
      <w:r>
        <w:rPr>
          <w:rStyle w:val="52"/>
        </w:rPr>
        <w:t xml:space="preserve"> 监测报告</w:t>
      </w:r>
      <w:r>
        <w:tab/>
      </w:r>
      <w:r>
        <w:fldChar w:fldCharType="begin"/>
      </w:r>
      <w:r>
        <w:instrText xml:space="preserve"> PAGEREF _Toc149749343 \h </w:instrText>
      </w:r>
      <w:r>
        <w:fldChar w:fldCharType="separate"/>
      </w:r>
      <w:r>
        <w:t>9</w:t>
      </w:r>
      <w:r>
        <w:fldChar w:fldCharType="end"/>
      </w:r>
      <w:r>
        <w:fldChar w:fldCharType="end"/>
      </w:r>
    </w:p>
    <w:p>
      <w:pPr>
        <w:pStyle w:val="30"/>
        <w:tabs>
          <w:tab w:val="right" w:leader="dot" w:pos="9344"/>
        </w:tabs>
        <w:rPr>
          <w:rFonts w:asciiTheme="minorHAnsi" w:hAnsiTheme="minorHAnsi" w:eastAsiaTheme="minorEastAsia" w:cstheme="minorBidi"/>
          <w:szCs w:val="22"/>
        </w:rPr>
      </w:pPr>
      <w:r>
        <w:fldChar w:fldCharType="begin"/>
      </w:r>
      <w:r>
        <w:instrText xml:space="preserve"> HYPERLINK \l "_Toc149749344" </w:instrText>
      </w:r>
      <w:r>
        <w:fldChar w:fldCharType="separate"/>
      </w:r>
      <w:r>
        <w:rPr>
          <w:rStyle w:val="52"/>
        </w:rPr>
        <w:t>附录A（规范性）  标准样地调查档案</w:t>
      </w:r>
      <w:r>
        <w:tab/>
      </w:r>
      <w:r>
        <w:fldChar w:fldCharType="begin"/>
      </w:r>
      <w:r>
        <w:instrText xml:space="preserve"> PAGEREF _Toc149749344 \h </w:instrText>
      </w:r>
      <w:r>
        <w:fldChar w:fldCharType="separate"/>
      </w:r>
      <w:r>
        <w:t>10</w:t>
      </w:r>
      <w:r>
        <w:fldChar w:fldCharType="end"/>
      </w:r>
      <w:r>
        <w:fldChar w:fldCharType="end"/>
      </w:r>
    </w:p>
    <w:p>
      <w:pPr>
        <w:pStyle w:val="30"/>
        <w:tabs>
          <w:tab w:val="right" w:leader="dot" w:pos="9344"/>
        </w:tabs>
        <w:rPr>
          <w:rFonts w:asciiTheme="minorHAnsi" w:hAnsiTheme="minorHAnsi" w:eastAsiaTheme="minorEastAsia" w:cstheme="minorBidi"/>
          <w:szCs w:val="22"/>
        </w:rPr>
      </w:pPr>
      <w:r>
        <w:fldChar w:fldCharType="begin"/>
      </w:r>
      <w:r>
        <w:instrText xml:space="preserve"> HYPERLINK \l "_Toc149749345" </w:instrText>
      </w:r>
      <w:r>
        <w:fldChar w:fldCharType="separate"/>
      </w:r>
      <w:r>
        <w:rPr>
          <w:rStyle w:val="52"/>
        </w:rPr>
        <w:t>附录B（规范性）  测试、检测档案</w:t>
      </w:r>
      <w:r>
        <w:tab/>
      </w:r>
      <w:r>
        <w:fldChar w:fldCharType="begin"/>
      </w:r>
      <w:r>
        <w:instrText xml:space="preserve"> PAGEREF _Toc149749345 \h </w:instrText>
      </w:r>
      <w:r>
        <w:fldChar w:fldCharType="separate"/>
      </w:r>
      <w:r>
        <w:t>15</w:t>
      </w:r>
      <w:r>
        <w:fldChar w:fldCharType="end"/>
      </w:r>
      <w:r>
        <w:fldChar w:fldCharType="end"/>
      </w:r>
    </w:p>
    <w:p>
      <w:pPr>
        <w:pStyle w:val="30"/>
        <w:tabs>
          <w:tab w:val="right" w:leader="dot" w:pos="9344"/>
        </w:tabs>
        <w:rPr>
          <w:rFonts w:asciiTheme="minorHAnsi" w:hAnsiTheme="minorHAnsi" w:eastAsiaTheme="minorEastAsia" w:cstheme="minorBidi"/>
          <w:szCs w:val="22"/>
        </w:rPr>
      </w:pPr>
      <w:r>
        <w:fldChar w:fldCharType="begin"/>
      </w:r>
      <w:r>
        <w:instrText xml:space="preserve"> HYPERLINK \l "_Toc149749346" </w:instrText>
      </w:r>
      <w:r>
        <w:fldChar w:fldCharType="separate"/>
      </w:r>
      <w:r>
        <w:rPr>
          <w:rStyle w:val="52"/>
        </w:rPr>
        <w:t>附录C（规范性）  森林碳汇调查与监测方案模板</w:t>
      </w:r>
      <w:r>
        <w:tab/>
      </w:r>
      <w:r>
        <w:fldChar w:fldCharType="begin"/>
      </w:r>
      <w:r>
        <w:instrText xml:space="preserve"> PAGEREF _Toc149749346 \h </w:instrText>
      </w:r>
      <w:r>
        <w:fldChar w:fldCharType="separate"/>
      </w:r>
      <w:r>
        <w:t>16</w:t>
      </w:r>
      <w:r>
        <w:fldChar w:fldCharType="end"/>
      </w:r>
      <w:r>
        <w:fldChar w:fldCharType="end"/>
      </w:r>
    </w:p>
    <w:p>
      <w:pPr>
        <w:pStyle w:val="30"/>
        <w:tabs>
          <w:tab w:val="right" w:leader="dot" w:pos="9344"/>
        </w:tabs>
        <w:rPr>
          <w:rFonts w:asciiTheme="minorHAnsi" w:hAnsiTheme="minorHAnsi" w:eastAsiaTheme="minorEastAsia" w:cstheme="minorBidi"/>
          <w:szCs w:val="22"/>
        </w:rPr>
      </w:pPr>
      <w:r>
        <w:fldChar w:fldCharType="begin"/>
      </w:r>
      <w:r>
        <w:instrText xml:space="preserve"> HYPERLINK \l "_Toc149749347" </w:instrText>
      </w:r>
      <w:r>
        <w:fldChar w:fldCharType="separate"/>
      </w:r>
      <w:r>
        <w:rPr>
          <w:rStyle w:val="52"/>
        </w:rPr>
        <w:t>参考文献</w:t>
      </w:r>
      <w:r>
        <w:tab/>
      </w:r>
      <w:r>
        <w:fldChar w:fldCharType="begin"/>
      </w:r>
      <w:r>
        <w:instrText xml:space="preserve"> PAGEREF _Toc149749347 \h </w:instrText>
      </w:r>
      <w:r>
        <w:fldChar w:fldCharType="separate"/>
      </w:r>
      <w:r>
        <w:t>17</w:t>
      </w:r>
      <w:r>
        <w:fldChar w:fldCharType="end"/>
      </w:r>
      <w:r>
        <w:fldChar w:fldCharType="end"/>
      </w:r>
    </w:p>
    <w:p>
      <w:pPr>
        <w:pStyle w:val="11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109"/>
        <w:spacing w:before="900" w:after="468"/>
      </w:pPr>
      <w:bookmarkStart w:id="28" w:name="_Toc149749319"/>
      <w:bookmarkStart w:id="29" w:name="BookMark2"/>
      <w:r>
        <w:rPr>
          <w:spacing w:val="320"/>
        </w:rPr>
        <w:t>前</w:t>
      </w:r>
      <w:r>
        <w:t>言</w:t>
      </w:r>
      <w:bookmarkEnd w:id="22"/>
      <w:bookmarkEnd w:id="23"/>
      <w:bookmarkEnd w:id="24"/>
      <w:bookmarkEnd w:id="25"/>
      <w:bookmarkEnd w:id="26"/>
      <w:bookmarkEnd w:id="27"/>
      <w:bookmarkEnd w:id="28"/>
    </w:p>
    <w:p>
      <w:pPr>
        <w:pStyle w:val="76"/>
        <w:ind w:firstLine="420"/>
      </w:pPr>
      <w:r>
        <w:rPr>
          <w:rFonts w:hint="eastAsia"/>
        </w:rPr>
        <w:t>本文件按照GB/T 1.1—2020《标准化工作导则  第1部分：标准化文件的结构和起草规则》的规定起草。</w:t>
      </w:r>
    </w:p>
    <w:p>
      <w:pPr>
        <w:pStyle w:val="76"/>
        <w:ind w:firstLine="420"/>
      </w:pPr>
      <w:r>
        <w:rPr>
          <w:rFonts w:hint="eastAsia"/>
        </w:rPr>
        <w:t>本文件由包头市林业和草原局提出。</w:t>
      </w:r>
    </w:p>
    <w:p>
      <w:pPr>
        <w:pStyle w:val="76"/>
        <w:ind w:firstLine="420"/>
      </w:pPr>
      <w:r>
        <w:rPr>
          <w:rFonts w:hint="eastAsia"/>
        </w:rPr>
        <w:t>本文件起草单位：包头市林业和草原工作站</w:t>
      </w:r>
      <w:r>
        <w:rPr>
          <w:rFonts w:hint="eastAsia"/>
          <w:lang w:eastAsia="zh-CN"/>
        </w:rPr>
        <w:t>、</w:t>
      </w:r>
      <w:r>
        <w:rPr>
          <w:rFonts w:hint="eastAsia"/>
        </w:rPr>
        <w:t>内蒙古农业大学林学院、</w:t>
      </w:r>
      <w:r>
        <w:rPr>
          <w:rFonts w:hint="eastAsia"/>
          <w:lang w:val="en-US" w:eastAsia="zh-CN"/>
        </w:rPr>
        <w:t>包头市林业和草原灾害防控中心、</w:t>
      </w:r>
      <w:bookmarkStart w:id="326" w:name="_GoBack"/>
      <w:bookmarkEnd w:id="326"/>
      <w:r>
        <w:rPr>
          <w:rFonts w:hint="eastAsia"/>
        </w:rPr>
        <w:t>包头市检验检测中心。</w:t>
      </w:r>
    </w:p>
    <w:p>
      <w:pPr>
        <w:pStyle w:val="76"/>
        <w:ind w:firstLine="420"/>
        <w:rPr>
          <w:rFonts w:hint="eastAsia" w:hAnsi="Times New Roman" w:cs="Times New Roman"/>
          <w:lang w:eastAsia="zh-CN"/>
        </w:rPr>
      </w:pPr>
      <w:r>
        <w:rPr>
          <w:rFonts w:hint="eastAsia"/>
        </w:rPr>
        <w:t>本文件主要起草人：</w:t>
      </w:r>
      <w:r>
        <w:rPr>
          <w:rFonts w:hint="eastAsia" w:hAnsi="Times New Roman" w:cs="Times New Roman"/>
          <w:lang w:val="en-US" w:eastAsia="zh-CN"/>
        </w:rPr>
        <w:t>高润红、</w:t>
      </w:r>
      <w:r>
        <w:rPr>
          <w:rFonts w:hint="eastAsia" w:cs="Times New Roman"/>
          <w:lang w:val="en-US" w:eastAsia="zh-CN"/>
        </w:rPr>
        <w:t>贾彩霞、</w:t>
      </w:r>
      <w:r>
        <w:rPr>
          <w:rFonts w:hint="eastAsia" w:hAnsi="Times New Roman" w:cs="Times New Roman"/>
          <w:lang w:val="en-US" w:eastAsia="zh-CN"/>
        </w:rPr>
        <w:t>翁靖韬、韩淑敏、杨文静、郭永莉、刘文剑、李茂森、张文英、吕广霞、谢金君、</w:t>
      </w:r>
      <w:r>
        <w:rPr>
          <w:rFonts w:hint="eastAsia" w:hAnsi="Times New Roman" w:cs="Times New Roman"/>
        </w:rPr>
        <w:t>郭华、</w:t>
      </w:r>
      <w:r>
        <w:rPr>
          <w:rFonts w:hint="eastAsia" w:cs="Times New Roman"/>
          <w:lang w:val="en-US" w:eastAsia="zh-CN"/>
        </w:rPr>
        <w:t>张瑞、吕整荣、姚瑶、冯小东、</w:t>
      </w:r>
      <w:r>
        <w:rPr>
          <w:rFonts w:hint="eastAsia" w:hAnsi="Times New Roman" w:cs="Times New Roman"/>
        </w:rPr>
        <w:t>丁志军、焦智斌、闫靖、朱学友。</w:t>
      </w:r>
    </w:p>
    <w:p>
      <w:pPr>
        <w:pStyle w:val="76"/>
        <w:ind w:firstLine="420"/>
        <w:rPr>
          <w:highlight w:val="yellow"/>
        </w:rPr>
        <w:sectPr>
          <w:pgSz w:w="11906" w:h="16838"/>
          <w:pgMar w:top="1928" w:right="1134" w:bottom="1134" w:left="1134" w:header="1418" w:footer="1134" w:gutter="284"/>
          <w:pgNumType w:fmt="upperRoman"/>
          <w:cols w:space="425" w:num="1"/>
          <w:formProt w:val="0"/>
          <w:docGrid w:type="lines" w:linePitch="312" w:charSpace="0"/>
        </w:sectPr>
      </w:pPr>
    </w:p>
    <w:bookmarkEnd w:id="29"/>
    <w:p>
      <w:pPr>
        <w:spacing w:line="20" w:lineRule="exact"/>
        <w:jc w:val="center"/>
        <w:rPr>
          <w:rFonts w:ascii="黑体" w:hAnsi="黑体" w:eastAsia="黑体"/>
          <w:sz w:val="32"/>
          <w:szCs w:val="32"/>
        </w:rPr>
      </w:pPr>
      <w:bookmarkStart w:id="30" w:name="BookMark4"/>
    </w:p>
    <w:p>
      <w:pPr>
        <w:spacing w:line="20" w:lineRule="exact"/>
        <w:jc w:val="center"/>
        <w:rPr>
          <w:rFonts w:ascii="黑体" w:hAnsi="黑体" w:eastAsia="黑体"/>
          <w:sz w:val="32"/>
          <w:szCs w:val="32"/>
        </w:rPr>
      </w:pPr>
    </w:p>
    <w:sdt>
      <w:sdtPr>
        <w:tag w:val="NEW_STAND_NAME"/>
        <w:id w:val="595910757"/>
        <w:lock w:val="sdtLocked"/>
        <w:placeholder>
          <w:docPart w:val="595F987A42504EF08FFD5F2BAB414492"/>
        </w:placeholder>
      </w:sdtPr>
      <w:sdtContent>
        <w:p>
          <w:pPr>
            <w:pStyle w:val="197"/>
            <w:spacing w:before="3" w:beforeLines="1" w:after="686" w:afterLines="220"/>
          </w:pPr>
          <w:bookmarkStart w:id="31" w:name="NEW_STAND_NAME"/>
          <w:r>
            <w:rPr>
              <w:rFonts w:hint="eastAsia"/>
            </w:rPr>
            <w:t>森林碳汇调查与监测技术规程</w:t>
          </w:r>
          <w:r>
            <w:t> </w:t>
          </w:r>
        </w:p>
      </w:sdtContent>
    </w:sdt>
    <w:bookmarkEnd w:id="31"/>
    <w:p>
      <w:pPr>
        <w:pStyle w:val="124"/>
        <w:spacing w:before="312" w:after="312"/>
      </w:pPr>
      <w:bookmarkStart w:id="32" w:name="_Toc26718930"/>
      <w:bookmarkStart w:id="33" w:name="_Toc26986530"/>
      <w:bookmarkStart w:id="34" w:name="_Toc17233333"/>
      <w:bookmarkStart w:id="35" w:name="_Toc142470961"/>
      <w:bookmarkStart w:id="36" w:name="_Toc24884211"/>
      <w:bookmarkStart w:id="37" w:name="_Toc26986771"/>
      <w:bookmarkStart w:id="38" w:name="_Toc24884218"/>
      <w:bookmarkStart w:id="39" w:name="_Toc146474186"/>
      <w:bookmarkStart w:id="40" w:name="_Toc146472738"/>
      <w:bookmarkStart w:id="41" w:name="_Toc26648465"/>
      <w:bookmarkStart w:id="42" w:name="_Toc97191423"/>
      <w:bookmarkStart w:id="43" w:name="_Toc17233325"/>
      <w:bookmarkStart w:id="44" w:name="_Toc146472701"/>
      <w:bookmarkStart w:id="45" w:name="_Toc149554988"/>
      <w:bookmarkStart w:id="46" w:name="_Toc142550497"/>
      <w:bookmarkStart w:id="47" w:name="_Toc149749320"/>
      <w:bookmarkStart w:id="48" w:name="_Toc142550450"/>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Style w:val="76"/>
        <w:ind w:firstLine="420"/>
      </w:pPr>
      <w:bookmarkStart w:id="49" w:name="_Toc26648466"/>
      <w:bookmarkStart w:id="50" w:name="_Toc24884212"/>
      <w:bookmarkStart w:id="51" w:name="_Toc17233334"/>
      <w:bookmarkStart w:id="52" w:name="_Toc24884219"/>
      <w:bookmarkStart w:id="53" w:name="_Toc17233326"/>
      <w:r>
        <w:rPr>
          <w:rFonts w:hint="eastAsia"/>
        </w:rPr>
        <w:t>本文件规定了包头地区森林碳汇调查与监测的技术方法与相关要求。</w:t>
      </w:r>
    </w:p>
    <w:p>
      <w:pPr>
        <w:pStyle w:val="76"/>
        <w:ind w:firstLine="420"/>
      </w:pPr>
      <w:r>
        <w:rPr>
          <w:rFonts w:hint="eastAsia"/>
        </w:rPr>
        <w:t>本文件适用于开展森林的碳汇调查与监测工作，调查与监测包头地区森林的碳储量、年固碳量及碳汇量。</w:t>
      </w:r>
    </w:p>
    <w:p>
      <w:pPr>
        <w:pStyle w:val="124"/>
        <w:spacing w:before="312" w:after="312"/>
      </w:pPr>
      <w:bookmarkStart w:id="54" w:name="_Toc26986772"/>
      <w:bookmarkStart w:id="55" w:name="_Toc26718931"/>
      <w:bookmarkStart w:id="56" w:name="_Toc146474187"/>
      <w:bookmarkStart w:id="57" w:name="_Toc146472702"/>
      <w:bookmarkStart w:id="58" w:name="_Toc142550451"/>
      <w:bookmarkStart w:id="59" w:name="_Toc146472739"/>
      <w:bookmarkStart w:id="60" w:name="_Toc26986531"/>
      <w:bookmarkStart w:id="61" w:name="_Toc142550498"/>
      <w:bookmarkStart w:id="62" w:name="_Toc149554989"/>
      <w:bookmarkStart w:id="63" w:name="_Toc149749321"/>
      <w:bookmarkStart w:id="64" w:name="_Toc142470962"/>
      <w:bookmarkStart w:id="65" w:name="_Toc97191424"/>
      <w:r>
        <w:rPr>
          <w:rFonts w:hint="eastAsia"/>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sdt>
      <w:sdtPr>
        <w:rPr>
          <w:rFonts w:hint="eastAsia"/>
        </w:rPr>
        <w:id w:val="715848253"/>
        <w:placeholder>
          <w:docPart w:val="0ECA480BCE7A4F598670692CC7733CD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7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76"/>
        <w:ind w:firstLine="420"/>
      </w:pPr>
      <w:r>
        <w:rPr>
          <w:rFonts w:hint="eastAsia"/>
        </w:rPr>
        <w:t>LY/T 1237—1999 森林土壤有机质的测定及碳氮比的计算</w:t>
      </w:r>
    </w:p>
    <w:p>
      <w:pPr>
        <w:pStyle w:val="76"/>
        <w:ind w:firstLine="420"/>
      </w:pPr>
      <w:r>
        <w:rPr>
          <w:rFonts w:hint="eastAsia"/>
        </w:rPr>
        <w:t>LY/T 2250—2014 森林土壤调査技术规程</w:t>
      </w:r>
    </w:p>
    <w:p>
      <w:pPr>
        <w:pStyle w:val="76"/>
        <w:ind w:firstLine="420"/>
      </w:pPr>
      <w:r>
        <w:rPr>
          <w:rFonts w:hint="eastAsia"/>
        </w:rPr>
        <w:t>LY/T 2253—2014 造林项目碳汇计量监测指南</w:t>
      </w:r>
    </w:p>
    <w:p>
      <w:pPr>
        <w:pStyle w:val="76"/>
        <w:ind w:firstLine="420"/>
      </w:pPr>
      <w:r>
        <w:rPr>
          <w:rFonts w:hint="eastAsia"/>
        </w:rPr>
        <w:t>LY/T 2908—2017 主要树种龄级与龄组划分</w:t>
      </w:r>
    </w:p>
    <w:p>
      <w:pPr>
        <w:pStyle w:val="76"/>
        <w:ind w:firstLine="420"/>
      </w:pPr>
      <w:r>
        <w:rPr>
          <w:rFonts w:hint="eastAsia"/>
        </w:rPr>
        <w:t>LY/T 2988—2018 森林生态系统碳储量计量指南</w:t>
      </w:r>
    </w:p>
    <w:p>
      <w:pPr>
        <w:pStyle w:val="76"/>
        <w:ind w:firstLine="420"/>
      </w:pPr>
      <w:r>
        <w:rPr>
          <w:rFonts w:hint="eastAsia"/>
        </w:rPr>
        <w:t>DB11/T 953—2013 林业碳汇计量监测技术规程</w:t>
      </w:r>
    </w:p>
    <w:p>
      <w:pPr>
        <w:pStyle w:val="76"/>
        <w:ind w:firstLine="420"/>
      </w:pPr>
    </w:p>
    <w:p>
      <w:pPr>
        <w:pStyle w:val="124"/>
        <w:spacing w:before="312" w:after="312"/>
      </w:pPr>
      <w:bookmarkStart w:id="66" w:name="_Toc149554990"/>
      <w:bookmarkStart w:id="67" w:name="_Toc146474188"/>
      <w:bookmarkStart w:id="68" w:name="_Toc97191425"/>
      <w:bookmarkStart w:id="69" w:name="_Toc142470963"/>
      <w:bookmarkStart w:id="70" w:name="_Toc142550452"/>
      <w:bookmarkStart w:id="71" w:name="_Toc146472703"/>
      <w:bookmarkStart w:id="72" w:name="_Toc146472740"/>
      <w:bookmarkStart w:id="73" w:name="_Toc149749322"/>
      <w:bookmarkStart w:id="74" w:name="_Toc142550499"/>
      <w:r>
        <w:rPr>
          <w:rFonts w:hint="eastAsia"/>
        </w:rPr>
        <w:t>术语和定义</w:t>
      </w:r>
      <w:bookmarkEnd w:id="66"/>
      <w:bookmarkEnd w:id="67"/>
      <w:bookmarkEnd w:id="68"/>
      <w:bookmarkEnd w:id="69"/>
      <w:bookmarkEnd w:id="70"/>
      <w:bookmarkEnd w:id="71"/>
      <w:bookmarkEnd w:id="72"/>
      <w:bookmarkEnd w:id="73"/>
      <w:bookmarkEnd w:id="74"/>
    </w:p>
    <w:sdt>
      <w:sdtPr>
        <w:id w:val="-1909835108"/>
        <w:placeholder>
          <w:docPart w:val="1120B96DF0864FF6B4A568E6A06E0C0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76"/>
            <w:ind w:firstLine="420"/>
          </w:pPr>
          <w:bookmarkStart w:id="75" w:name="_Toc26986532"/>
          <w:bookmarkEnd w:id="75"/>
          <w:r>
            <w:t>下列术语和定义适用于本文件。</w:t>
          </w:r>
        </w:p>
      </w:sdtContent>
    </w:sdt>
    <w:p>
      <w:pPr>
        <w:pStyle w:val="125"/>
        <w:spacing w:before="156" w:after="156"/>
      </w:pPr>
      <w:bookmarkStart w:id="76" w:name="_Toc149749323"/>
      <w:bookmarkEnd w:id="76"/>
      <w:bookmarkStart w:id="77" w:name="_Toc146474189"/>
      <w:bookmarkEnd w:id="77"/>
      <w:bookmarkStart w:id="78" w:name="_Toc149554991"/>
      <w:bookmarkEnd w:id="78"/>
    </w:p>
    <w:p>
      <w:pPr>
        <w:pStyle w:val="243"/>
        <w:numPr>
          <w:ilvl w:val="2"/>
          <w:numId w:val="0"/>
        </w:numPr>
        <w:ind w:firstLine="420" w:firstLineChars="200"/>
        <w:rPr>
          <w:rFonts w:ascii="黑体" w:hAnsi="黑体" w:eastAsia="黑体" w:cs="黑体"/>
        </w:rPr>
      </w:pPr>
      <w:r>
        <w:rPr>
          <w:rFonts w:hint="eastAsia" w:ascii="黑体" w:hAnsi="黑体" w:eastAsia="黑体" w:cs="黑体"/>
        </w:rPr>
        <w:t>森林碳汇 f</w:t>
      </w:r>
      <w:r>
        <w:rPr>
          <w:rFonts w:ascii="黑体" w:hAnsi="黑体" w:eastAsia="黑体" w:cs="黑体"/>
        </w:rPr>
        <w:t>orest carbon sink</w:t>
      </w:r>
    </w:p>
    <w:p>
      <w:pPr>
        <w:pStyle w:val="76"/>
        <w:ind w:firstLine="420"/>
      </w:pPr>
      <w:r>
        <w:rPr>
          <w:rFonts w:hint="eastAsia"/>
        </w:rPr>
        <w:t>森林植物通过光合作用吸收大气中的二氧化碳将其固定在森林植被和土壤中的碳的积累量。</w:t>
      </w:r>
    </w:p>
    <w:p>
      <w:pPr>
        <w:pStyle w:val="125"/>
        <w:spacing w:before="156" w:after="156"/>
      </w:pPr>
      <w:bookmarkStart w:id="79" w:name="_Toc149554992"/>
      <w:bookmarkEnd w:id="79"/>
      <w:bookmarkStart w:id="80" w:name="_Toc149749324"/>
      <w:bookmarkEnd w:id="80"/>
      <w:bookmarkStart w:id="81" w:name="_Toc146474190"/>
      <w:bookmarkEnd w:id="81"/>
    </w:p>
    <w:p>
      <w:pPr>
        <w:pStyle w:val="243"/>
        <w:numPr>
          <w:ilvl w:val="2"/>
          <w:numId w:val="0"/>
        </w:numPr>
        <w:ind w:firstLine="420" w:firstLineChars="200"/>
        <w:rPr>
          <w:rFonts w:ascii="黑体" w:hAnsi="黑体" w:eastAsia="黑体"/>
        </w:rPr>
      </w:pPr>
      <w:r>
        <w:rPr>
          <w:rFonts w:hint="eastAsia" w:ascii="黑体" w:hAnsi="黑体" w:eastAsia="黑体" w:cs="黑体"/>
        </w:rPr>
        <w:t>森林碳库</w:t>
      </w:r>
      <w:r>
        <w:rPr>
          <w:rFonts w:hint="eastAsia" w:hAnsi="宋体" w:cs="宋体"/>
        </w:rPr>
        <w:t xml:space="preserve"> </w:t>
      </w:r>
      <w:r>
        <w:rPr>
          <w:rFonts w:ascii="黑体" w:hAnsi="黑体" w:eastAsia="黑体" w:cs="宋体"/>
        </w:rPr>
        <w:t>forest carbon pool</w:t>
      </w:r>
    </w:p>
    <w:p>
      <w:pPr>
        <w:pStyle w:val="76"/>
        <w:ind w:firstLine="420"/>
      </w:pPr>
      <w:r>
        <w:rPr>
          <w:rFonts w:hint="eastAsia"/>
        </w:rPr>
        <w:t>森林生态系统通过碳汇储存在不同的物质中，主要表现为地上生物量、地下生物量、枯落物、枯死木和土壤有机质五大碳库。</w:t>
      </w:r>
    </w:p>
    <w:p>
      <w:pPr>
        <w:pStyle w:val="125"/>
        <w:spacing w:before="156" w:after="156"/>
      </w:pPr>
      <w:bookmarkStart w:id="82" w:name="_Toc149749325"/>
      <w:bookmarkEnd w:id="82"/>
      <w:bookmarkStart w:id="83" w:name="_Toc149554993"/>
      <w:bookmarkEnd w:id="83"/>
      <w:bookmarkStart w:id="84" w:name="_Toc146474191"/>
      <w:bookmarkEnd w:id="84"/>
    </w:p>
    <w:p>
      <w:pPr>
        <w:pStyle w:val="243"/>
        <w:numPr>
          <w:ilvl w:val="2"/>
          <w:numId w:val="0"/>
        </w:numPr>
        <w:ind w:left="-420" w:leftChars="-200" w:firstLine="840" w:firstLineChars="400"/>
        <w:rPr>
          <w:rFonts w:ascii="黑体" w:hAnsi="黑体" w:eastAsia="黑体"/>
        </w:rPr>
      </w:pPr>
      <w:r>
        <w:rPr>
          <w:rFonts w:hint="eastAsia" w:ascii="黑体" w:hAnsi="黑体" w:eastAsia="黑体" w:cs="黑体"/>
        </w:rPr>
        <w:t>森林碳储量 f</w:t>
      </w:r>
      <w:r>
        <w:rPr>
          <w:rFonts w:ascii="黑体" w:hAnsi="黑体" w:eastAsia="黑体" w:cs="黑体"/>
        </w:rPr>
        <w:t>orest carbon storage</w:t>
      </w:r>
    </w:p>
    <w:p>
      <w:pPr>
        <w:pStyle w:val="76"/>
        <w:ind w:firstLine="420"/>
      </w:pPr>
      <w:r>
        <w:rPr>
          <w:rFonts w:hint="eastAsia"/>
        </w:rPr>
        <w:t>在特定时间内保留在森林碳库中碳的总量。</w:t>
      </w:r>
    </w:p>
    <w:p>
      <w:pPr>
        <w:pStyle w:val="125"/>
        <w:spacing w:before="156" w:after="156"/>
      </w:pPr>
      <w:bookmarkStart w:id="85" w:name="_Toc146474192"/>
      <w:bookmarkEnd w:id="85"/>
      <w:bookmarkStart w:id="86" w:name="_Toc149554994"/>
      <w:bookmarkEnd w:id="86"/>
      <w:bookmarkStart w:id="87" w:name="_Toc149749326"/>
      <w:bookmarkEnd w:id="87"/>
    </w:p>
    <w:p>
      <w:pPr>
        <w:pStyle w:val="243"/>
        <w:numPr>
          <w:ilvl w:val="2"/>
          <w:numId w:val="0"/>
        </w:numPr>
        <w:ind w:firstLine="420" w:firstLineChars="200"/>
        <w:rPr>
          <w:rFonts w:hAnsi="宋体" w:cs="宋体"/>
        </w:rPr>
      </w:pPr>
      <w:r>
        <w:rPr>
          <w:rFonts w:hint="eastAsia" w:ascii="黑体" w:hAnsi="黑体" w:eastAsia="黑体" w:cs="黑体"/>
        </w:rPr>
        <w:t>森林含碳率 f</w:t>
      </w:r>
      <w:r>
        <w:rPr>
          <w:rFonts w:ascii="黑体" w:hAnsi="黑体" w:eastAsia="黑体" w:cs="黑体"/>
        </w:rPr>
        <w:t>orest carbon content</w:t>
      </w:r>
    </w:p>
    <w:p>
      <w:pPr>
        <w:pStyle w:val="76"/>
        <w:ind w:firstLine="420"/>
      </w:pPr>
      <w:r>
        <w:rPr>
          <w:rFonts w:hint="eastAsia"/>
        </w:rPr>
        <w:t>单位质量森林干物质的含碳比例。</w:t>
      </w:r>
    </w:p>
    <w:p>
      <w:pPr>
        <w:pStyle w:val="125"/>
        <w:spacing w:before="156" w:after="156"/>
      </w:pPr>
      <w:bookmarkStart w:id="88" w:name="_Toc149749327"/>
      <w:bookmarkEnd w:id="88"/>
      <w:bookmarkStart w:id="89" w:name="_Toc149554995"/>
      <w:bookmarkEnd w:id="89"/>
    </w:p>
    <w:p>
      <w:pPr>
        <w:pStyle w:val="243"/>
        <w:numPr>
          <w:ilvl w:val="2"/>
          <w:numId w:val="0"/>
        </w:numPr>
        <w:ind w:firstLine="420" w:firstLineChars="200"/>
        <w:rPr>
          <w:rFonts w:ascii="黑体" w:hAnsi="黑体" w:eastAsia="黑体" w:cs="黑体"/>
        </w:rPr>
      </w:pPr>
      <w:r>
        <w:rPr>
          <w:rFonts w:hint="eastAsia" w:ascii="黑体" w:hAnsi="黑体" w:eastAsia="黑体" w:cs="黑体"/>
        </w:rPr>
        <w:t>样地</w:t>
      </w:r>
      <w:r>
        <w:rPr>
          <w:rFonts w:hint="eastAsia" w:ascii="黑体" w:hAnsi="黑体" w:eastAsia="黑体"/>
        </w:rPr>
        <w:t>s</w:t>
      </w:r>
      <w:r>
        <w:rPr>
          <w:rFonts w:ascii="黑体" w:hAnsi="黑体" w:eastAsia="黑体"/>
        </w:rPr>
        <w:t>ample plot</w:t>
      </w:r>
    </w:p>
    <w:p>
      <w:pPr>
        <w:pStyle w:val="76"/>
        <w:ind w:firstLine="420"/>
      </w:pPr>
      <w:r>
        <w:rPr>
          <w:rFonts w:hint="eastAsia"/>
        </w:rPr>
        <w:t>按照随机抽样原则设计的实测调查地块。</w:t>
      </w:r>
    </w:p>
    <w:p>
      <w:pPr>
        <w:pStyle w:val="125"/>
        <w:spacing w:before="156" w:after="156"/>
      </w:pPr>
      <w:bookmarkStart w:id="90" w:name="_Toc149554996"/>
      <w:bookmarkEnd w:id="90"/>
      <w:bookmarkStart w:id="91" w:name="_Toc149749328"/>
      <w:bookmarkEnd w:id="91"/>
    </w:p>
    <w:p>
      <w:pPr>
        <w:pStyle w:val="243"/>
        <w:numPr>
          <w:ilvl w:val="2"/>
          <w:numId w:val="0"/>
        </w:numPr>
        <w:ind w:firstLine="420" w:firstLineChars="200"/>
        <w:rPr>
          <w:rFonts w:ascii="黑体" w:hAnsi="黑体" w:eastAsia="黑体" w:cs="黑体"/>
        </w:rPr>
      </w:pPr>
      <w:r>
        <w:rPr>
          <w:rFonts w:hint="eastAsia" w:ascii="黑体" w:hAnsi="黑体" w:eastAsia="黑体" w:cs="黑体"/>
        </w:rPr>
        <w:t>样方</w:t>
      </w:r>
      <w:r>
        <w:rPr>
          <w:rFonts w:ascii="黑体" w:hAnsi="黑体" w:eastAsia="黑体"/>
        </w:rPr>
        <w:t>quadrat</w:t>
      </w:r>
    </w:p>
    <w:p>
      <w:pPr>
        <w:pStyle w:val="76"/>
        <w:ind w:firstLine="420"/>
      </w:pPr>
      <w:r>
        <w:t>用于调查植物群落数量而随机设置的取样地块。</w:t>
      </w:r>
    </w:p>
    <w:p>
      <w:pPr>
        <w:pStyle w:val="125"/>
        <w:spacing w:before="156" w:after="156"/>
      </w:pPr>
      <w:bookmarkStart w:id="92" w:name="_Toc146474193"/>
      <w:bookmarkEnd w:id="92"/>
      <w:bookmarkStart w:id="93" w:name="_Toc149554997"/>
      <w:bookmarkEnd w:id="93"/>
      <w:bookmarkStart w:id="94" w:name="_Toc149749329"/>
      <w:bookmarkEnd w:id="94"/>
    </w:p>
    <w:p>
      <w:pPr>
        <w:pStyle w:val="243"/>
        <w:numPr>
          <w:ilvl w:val="2"/>
          <w:numId w:val="0"/>
        </w:numPr>
        <w:ind w:firstLine="420" w:firstLineChars="200"/>
        <w:rPr>
          <w:rFonts w:ascii="黑体" w:hAnsi="黑体" w:eastAsia="黑体"/>
        </w:rPr>
      </w:pPr>
      <w:r>
        <w:rPr>
          <w:rFonts w:hint="eastAsia" w:ascii="黑体" w:hAnsi="黑体" w:eastAsia="黑体" w:cs="黑体"/>
        </w:rPr>
        <w:t>森林碳汇调查 f</w:t>
      </w:r>
      <w:r>
        <w:rPr>
          <w:rFonts w:ascii="黑体" w:hAnsi="黑体" w:eastAsia="黑体" w:cs="黑体"/>
        </w:rPr>
        <w:t>orest carbon sink survey</w:t>
      </w:r>
    </w:p>
    <w:p>
      <w:pPr>
        <w:pStyle w:val="76"/>
        <w:ind w:firstLine="420"/>
      </w:pPr>
      <w:r>
        <w:rPr>
          <w:rFonts w:hint="eastAsia"/>
        </w:rPr>
        <w:t>采用抽样调查方法，了解样地内森林面积、数量和分布状况等碳汇相关的森林资源调查。</w:t>
      </w:r>
    </w:p>
    <w:p>
      <w:pPr>
        <w:pStyle w:val="125"/>
        <w:spacing w:before="156" w:after="156"/>
      </w:pPr>
      <w:bookmarkStart w:id="95" w:name="_Toc149749330"/>
      <w:bookmarkEnd w:id="95"/>
      <w:bookmarkStart w:id="96" w:name="_Toc149554998"/>
      <w:bookmarkEnd w:id="96"/>
      <w:bookmarkStart w:id="97" w:name="_Toc146474194"/>
      <w:bookmarkEnd w:id="97"/>
    </w:p>
    <w:p>
      <w:pPr>
        <w:pStyle w:val="243"/>
        <w:numPr>
          <w:ilvl w:val="2"/>
          <w:numId w:val="0"/>
        </w:numPr>
        <w:ind w:firstLine="420" w:firstLineChars="200"/>
        <w:rPr>
          <w:rFonts w:ascii="黑体" w:hAnsi="黑体" w:eastAsia="黑体" w:cs="黑体"/>
        </w:rPr>
      </w:pPr>
      <w:r>
        <w:rPr>
          <w:rFonts w:hint="eastAsia" w:ascii="黑体" w:hAnsi="黑体" w:eastAsia="黑体" w:cs="黑体"/>
        </w:rPr>
        <w:t>森林碳汇监测 f</w:t>
      </w:r>
      <w:r>
        <w:rPr>
          <w:rFonts w:ascii="黑体" w:hAnsi="黑体" w:eastAsia="黑体" w:cs="黑体"/>
        </w:rPr>
        <w:t>orest carbon sink monitoring</w:t>
      </w:r>
    </w:p>
    <w:p>
      <w:pPr>
        <w:pStyle w:val="76"/>
        <w:ind w:firstLine="420"/>
      </w:pPr>
      <w:r>
        <w:rPr>
          <w:rFonts w:hint="eastAsia"/>
        </w:rPr>
        <w:t>对固定样地的碳储量、固碳量和碳汇量进行动态的调查与测算，周期为每五年一次。</w:t>
      </w:r>
    </w:p>
    <w:p>
      <w:pPr>
        <w:pStyle w:val="124"/>
        <w:spacing w:before="312" w:after="312"/>
      </w:pPr>
      <w:bookmarkStart w:id="98" w:name="_Toc149749331"/>
      <w:bookmarkStart w:id="99" w:name="_Toc146472704"/>
      <w:bookmarkStart w:id="100" w:name="_Toc14999"/>
      <w:bookmarkStart w:id="101" w:name="_Toc142470964"/>
      <w:bookmarkStart w:id="102" w:name="_Toc142550500"/>
      <w:bookmarkStart w:id="103" w:name="_Toc146472741"/>
      <w:bookmarkStart w:id="104" w:name="_Toc149554999"/>
      <w:bookmarkStart w:id="105" w:name="_Toc146474195"/>
      <w:bookmarkStart w:id="106" w:name="_Toc142550453"/>
      <w:r>
        <w:rPr>
          <w:rFonts w:hint="eastAsia"/>
        </w:rPr>
        <w:t>监测对象</w:t>
      </w:r>
      <w:bookmarkEnd w:id="98"/>
      <w:bookmarkEnd w:id="99"/>
      <w:bookmarkEnd w:id="100"/>
      <w:bookmarkEnd w:id="101"/>
      <w:bookmarkEnd w:id="102"/>
      <w:bookmarkEnd w:id="103"/>
      <w:bookmarkEnd w:id="104"/>
      <w:bookmarkEnd w:id="105"/>
      <w:bookmarkEnd w:id="106"/>
    </w:p>
    <w:p>
      <w:pPr>
        <w:pStyle w:val="76"/>
        <w:ind w:firstLine="420"/>
        <w:rPr>
          <w:highlight w:val="yellow"/>
        </w:rPr>
      </w:pPr>
      <w:r>
        <w:rPr>
          <w:rFonts w:hint="eastAsia"/>
        </w:rPr>
        <w:t>监测对象为包头地区不同立地条件的森林与灌丛。具体从土地利用类型可以划分为乔木林、灌木林和其他林地；同一处森林从龄级划分为同龄林，异龄林；单一树种森林划分为幼龄林，近熟林和成熟林等；起源划分有人工林和天然林，部分地方存在天然与人工的混合林；立地条件划分为坡向、海拔、微地形、土壤种类等类型。</w:t>
      </w:r>
    </w:p>
    <w:p>
      <w:pPr>
        <w:pStyle w:val="124"/>
        <w:spacing w:before="312" w:after="312"/>
      </w:pPr>
      <w:bookmarkStart w:id="107" w:name="_Toc146472742"/>
      <w:bookmarkStart w:id="108" w:name="_Toc149749332"/>
      <w:bookmarkStart w:id="109" w:name="_Toc142550501"/>
      <w:bookmarkStart w:id="110" w:name="_Toc11439"/>
      <w:bookmarkStart w:id="111" w:name="_Toc142470965"/>
      <w:bookmarkStart w:id="112" w:name="_Toc149555000"/>
      <w:bookmarkStart w:id="113" w:name="_Toc146472705"/>
      <w:bookmarkStart w:id="114" w:name="_Toc142550454"/>
      <w:bookmarkStart w:id="115" w:name="_Toc146474196"/>
      <w:r>
        <w:rPr>
          <w:rFonts w:hint="eastAsia"/>
        </w:rPr>
        <w:t>监测方法</w:t>
      </w:r>
      <w:bookmarkEnd w:id="107"/>
      <w:bookmarkEnd w:id="108"/>
      <w:bookmarkEnd w:id="109"/>
      <w:bookmarkEnd w:id="110"/>
      <w:bookmarkEnd w:id="111"/>
      <w:bookmarkEnd w:id="112"/>
      <w:bookmarkEnd w:id="113"/>
      <w:bookmarkEnd w:id="114"/>
      <w:bookmarkEnd w:id="115"/>
      <w:r>
        <w:rPr>
          <w:rFonts w:hint="eastAsia"/>
        </w:rPr>
        <w:t xml:space="preserve"> </w:t>
      </w:r>
    </w:p>
    <w:p>
      <w:pPr>
        <w:pStyle w:val="125"/>
        <w:spacing w:before="156" w:after="156"/>
      </w:pPr>
      <w:bookmarkStart w:id="116" w:name="_Toc149555001"/>
      <w:bookmarkStart w:id="117" w:name="_Toc146474197"/>
      <w:bookmarkStart w:id="118" w:name="_Toc146472743"/>
      <w:bookmarkStart w:id="119" w:name="_Toc149749333"/>
      <w:bookmarkStart w:id="120" w:name="_Toc146472706"/>
      <w:r>
        <w:rPr>
          <w:rFonts w:hint="eastAsia"/>
        </w:rPr>
        <w:t>样地选择</w:t>
      </w:r>
      <w:bookmarkEnd w:id="116"/>
      <w:bookmarkEnd w:id="117"/>
      <w:bookmarkEnd w:id="118"/>
      <w:bookmarkEnd w:id="119"/>
      <w:bookmarkEnd w:id="120"/>
    </w:p>
    <w:p>
      <w:pPr>
        <w:pStyle w:val="76"/>
        <w:ind w:firstLine="420"/>
      </w:pPr>
      <w:r>
        <w:rPr>
          <w:rFonts w:hint="eastAsia"/>
        </w:rPr>
        <w:t>应选择能充分代表所调查地区植被状况的样地，避免选在两个类型的过渡带，能够进行科学系统的观测研究；样地的植被群落应较为稳定，潜在干扰小，适合长期观测；样地应建立在交通相对便利的地段，其地形不宜过于陡峭复杂。</w:t>
      </w:r>
    </w:p>
    <w:p>
      <w:pPr>
        <w:pStyle w:val="125"/>
        <w:spacing w:before="156" w:after="156"/>
      </w:pPr>
      <w:bookmarkStart w:id="121" w:name="_Toc149555002"/>
      <w:bookmarkStart w:id="122" w:name="_Toc142550502"/>
      <w:bookmarkStart w:id="123" w:name="_Toc142470966"/>
      <w:bookmarkStart w:id="124" w:name="_Toc146472707"/>
      <w:bookmarkStart w:id="125" w:name="_Toc18611"/>
      <w:bookmarkStart w:id="126" w:name="_Toc146474198"/>
      <w:bookmarkStart w:id="127" w:name="_Toc142550455"/>
      <w:bookmarkStart w:id="128" w:name="_Toc146472744"/>
      <w:bookmarkStart w:id="129" w:name="_Toc149749334"/>
      <w:r>
        <w:rPr>
          <w:rFonts w:hint="eastAsia"/>
        </w:rPr>
        <w:t>样地设置</w:t>
      </w:r>
      <w:bookmarkEnd w:id="121"/>
      <w:bookmarkEnd w:id="122"/>
      <w:bookmarkEnd w:id="123"/>
      <w:bookmarkEnd w:id="124"/>
      <w:bookmarkEnd w:id="125"/>
      <w:bookmarkEnd w:id="126"/>
      <w:bookmarkEnd w:id="127"/>
      <w:bookmarkEnd w:id="128"/>
      <w:bookmarkEnd w:id="129"/>
    </w:p>
    <w:p>
      <w:pPr>
        <w:pStyle w:val="76"/>
        <w:ind w:firstLine="420"/>
        <w:rPr>
          <w:highlight w:val="yellow"/>
        </w:rPr>
      </w:pPr>
      <w:r>
        <w:rPr>
          <w:rFonts w:hint="eastAsia"/>
        </w:rPr>
        <w:t>依据样地在抽样图中坐标进行GPS定位，用罗盘仪对其进行校准，从样地西南角开始，顺时针使用罗盘仪测角度，用测距工具测量距离（不得用视距）。在样地的中央位置及西南角点布设钢筋水泥标桩等永久性标识，方便连续观测。定位样点为样地西南角，统一标记和编号。将其与标准方位图上相应方位对照进行比较，确认是否一致。</w:t>
      </w:r>
    </w:p>
    <w:p>
      <w:pPr>
        <w:pStyle w:val="76"/>
        <w:ind w:firstLine="420"/>
      </w:pPr>
      <w:r>
        <w:rPr>
          <w:rFonts w:hint="eastAsia"/>
        </w:rPr>
        <w:t>样地设置</w:t>
      </w:r>
      <w:r>
        <w:t>以</w:t>
      </w:r>
      <w:r>
        <w:rPr>
          <w:rFonts w:hint="eastAsia"/>
        </w:rPr>
        <w:t>其</w:t>
      </w:r>
      <w:r>
        <w:t>西南角为起点，罗盘仪测角，</w:t>
      </w:r>
      <w:r>
        <w:rPr>
          <w:rFonts w:hint="eastAsia"/>
        </w:rPr>
        <w:t>测距工具</w:t>
      </w:r>
      <w:r>
        <w:t>量距离，闭合差小于1/200</w:t>
      </w:r>
      <w:r>
        <w:rPr>
          <w:rFonts w:hint="eastAsia"/>
        </w:rPr>
        <w:t>为准，</w:t>
      </w:r>
      <w:r>
        <w:t>乔木</w:t>
      </w:r>
      <w:r>
        <w:rPr>
          <w:rFonts w:hint="eastAsia"/>
        </w:rPr>
        <w:t>林</w:t>
      </w:r>
      <w:r>
        <w:t>样地为 </w:t>
      </w:r>
      <w:r>
        <w:rPr>
          <w:rFonts w:hint="eastAsia"/>
        </w:rPr>
        <w:t>20</w:t>
      </w:r>
      <w:r>
        <w:t> </w:t>
      </w:r>
      <w:r>
        <w:rPr>
          <w:rFonts w:hint="eastAsia"/>
        </w:rPr>
        <w:t>m×</w:t>
      </w:r>
      <w:r>
        <w:t> </w:t>
      </w:r>
      <w:r>
        <w:rPr>
          <w:rFonts w:hint="eastAsia"/>
        </w:rPr>
        <w:t>20</w:t>
      </w:r>
      <w:r>
        <w:t> </w:t>
      </w:r>
      <w:r>
        <w:rPr>
          <w:rFonts w:hint="eastAsia"/>
        </w:rPr>
        <w:t>m，林下</w:t>
      </w:r>
      <w:r>
        <w:t>灌木样方为 </w:t>
      </w:r>
      <w:r>
        <w:rPr>
          <w:rFonts w:hint="eastAsia"/>
        </w:rPr>
        <w:t>5</w:t>
      </w:r>
      <w:r>
        <w:t> </w:t>
      </w:r>
      <w:r>
        <w:rPr>
          <w:rFonts w:hint="eastAsia"/>
        </w:rPr>
        <w:t>m×</w:t>
      </w:r>
      <w:r>
        <w:t> </w:t>
      </w:r>
      <w:r>
        <w:rPr>
          <w:rFonts w:hint="eastAsia"/>
        </w:rPr>
        <w:t>5</w:t>
      </w:r>
      <w:r>
        <w:t> </w:t>
      </w:r>
      <w:r>
        <w:rPr>
          <w:rFonts w:hint="eastAsia"/>
        </w:rPr>
        <w:t>m，各</w:t>
      </w:r>
      <w:r>
        <w:t>设置 </w:t>
      </w:r>
      <w:r>
        <w:rPr>
          <w:rFonts w:hint="eastAsia"/>
        </w:rPr>
        <w:t>3</w:t>
      </w:r>
      <w:r>
        <w:t> 个，分别位于样地</w:t>
      </w:r>
      <w:r>
        <w:rPr>
          <w:rFonts w:hint="eastAsia"/>
        </w:rPr>
        <w:t>西北</w:t>
      </w:r>
      <w:r>
        <w:t>角处、</w:t>
      </w:r>
      <w:r>
        <w:rPr>
          <w:rFonts w:hint="eastAsia"/>
        </w:rPr>
        <w:t>样地中间</w:t>
      </w:r>
      <w:r>
        <w:t>处、</w:t>
      </w:r>
      <w:r>
        <w:rPr>
          <w:rFonts w:hint="eastAsia"/>
        </w:rPr>
        <w:t>东南</w:t>
      </w:r>
      <w:r>
        <w:t>角处</w:t>
      </w:r>
      <w:r>
        <w:rPr>
          <w:rFonts w:hint="eastAsia"/>
        </w:rPr>
        <w:t>；</w:t>
      </w:r>
      <w:r>
        <w:t>草本样方为 1 </w:t>
      </w:r>
      <w:r>
        <w:rPr>
          <w:rFonts w:hint="eastAsia" w:hAnsi="宋体" w:cs="宋体"/>
        </w:rPr>
        <w:t>m</w:t>
      </w:r>
      <w:r>
        <w:rPr>
          <w:rFonts w:hint="eastAsia"/>
        </w:rPr>
        <w:t>×</w:t>
      </w:r>
      <w:r>
        <w:t> l </w:t>
      </w:r>
      <w:r>
        <w:rPr>
          <w:rFonts w:hint="eastAsia"/>
        </w:rPr>
        <w:t>m，</w:t>
      </w:r>
      <w:r>
        <w:t>共设置</w:t>
      </w:r>
      <w:r>
        <w:rPr>
          <w:rFonts w:hint="eastAsia"/>
        </w:rPr>
        <w:t>3</w:t>
      </w:r>
      <w:r>
        <w:t>个，分别位于每个灌木层样方内</w:t>
      </w:r>
      <w:r>
        <w:rPr>
          <w:rFonts w:hint="eastAsia"/>
        </w:rPr>
        <w:t>；枯落物</w:t>
      </w:r>
      <w:r>
        <w:t>样方为 1 </w:t>
      </w:r>
      <w:r>
        <w:rPr>
          <w:rFonts w:hint="eastAsia" w:hAnsi="宋体" w:cs="宋体"/>
        </w:rPr>
        <w:t>m</w:t>
      </w:r>
      <w:r>
        <w:rPr>
          <w:rFonts w:hint="eastAsia"/>
        </w:rPr>
        <w:t>×</w:t>
      </w:r>
      <w:r>
        <w:t> l </w:t>
      </w:r>
      <w:r>
        <w:rPr>
          <w:rFonts w:hint="eastAsia"/>
        </w:rPr>
        <w:t>m，</w:t>
      </w:r>
      <w:r>
        <w:t>共设置</w:t>
      </w:r>
      <w:r>
        <w:rPr>
          <w:rFonts w:hint="eastAsia"/>
        </w:rPr>
        <w:t>3</w:t>
      </w:r>
      <w:r>
        <w:t>个，分别位于每个灌木层样方内</w:t>
      </w:r>
      <w:r>
        <w:rPr>
          <w:rFonts w:hint="eastAsia"/>
        </w:rPr>
        <w:t>。灌木林样地</w:t>
      </w:r>
      <w:r>
        <w:t>为 </w:t>
      </w:r>
      <w:r>
        <w:rPr>
          <w:rFonts w:hint="eastAsia"/>
        </w:rPr>
        <w:t>5</w:t>
      </w:r>
      <w:r>
        <w:t> </w:t>
      </w:r>
      <w:r>
        <w:rPr>
          <w:rFonts w:hint="eastAsia"/>
        </w:rPr>
        <w:t>m×</w:t>
      </w:r>
      <w:r>
        <w:t> </w:t>
      </w:r>
      <w:r>
        <w:rPr>
          <w:rFonts w:hint="eastAsia"/>
        </w:rPr>
        <w:t>5</w:t>
      </w:r>
      <w:r>
        <w:t> </w:t>
      </w:r>
      <w:r>
        <w:rPr>
          <w:rFonts w:hint="eastAsia"/>
        </w:rPr>
        <w:t>m，</w:t>
      </w:r>
      <w:r>
        <w:t>草本样方为 1 </w:t>
      </w:r>
      <w:r>
        <w:rPr>
          <w:rFonts w:hint="eastAsia"/>
        </w:rPr>
        <w:t>m×</w:t>
      </w:r>
      <w:r>
        <w:t> l </w:t>
      </w:r>
      <w:r>
        <w:rPr>
          <w:rFonts w:hint="eastAsia"/>
        </w:rPr>
        <w:t>m，各</w:t>
      </w:r>
      <w:r>
        <w:t>设置 </w:t>
      </w:r>
      <w:r>
        <w:rPr>
          <w:rFonts w:hint="eastAsia"/>
        </w:rPr>
        <w:t>3</w:t>
      </w:r>
      <w:r>
        <w:t> 个，分别位于每个灌木层样方内</w:t>
      </w:r>
      <w:r>
        <w:rPr>
          <w:rFonts w:hint="eastAsia"/>
        </w:rPr>
        <w:t>；枯落物</w:t>
      </w:r>
      <w:r>
        <w:t>样方为 1 </w:t>
      </w:r>
      <w:r>
        <w:rPr>
          <w:rFonts w:hint="eastAsia"/>
        </w:rPr>
        <w:t>m×</w:t>
      </w:r>
      <w:r>
        <w:t> l </w:t>
      </w:r>
      <w:r>
        <w:rPr>
          <w:rFonts w:hint="eastAsia"/>
        </w:rPr>
        <w:t>m，各</w:t>
      </w:r>
      <w:r>
        <w:t>设置 </w:t>
      </w:r>
      <w:r>
        <w:rPr>
          <w:rFonts w:hint="eastAsia"/>
        </w:rPr>
        <w:t>3</w:t>
      </w:r>
      <w:r>
        <w:t> 个，分别位于每个灌木层样方内</w:t>
      </w:r>
      <w:r>
        <w:rPr>
          <w:rFonts w:hint="eastAsia"/>
        </w:rPr>
        <w:t>。样方内四角均用PVC管等标志固定,以备长期连续监测使用。除了固定监测样地以外，在其周边相同自然环境条件下设立相同规格的辅助样地，用以样地调查。调查表详见附录表A.</w:t>
      </w:r>
      <w:r>
        <w:t>1</w:t>
      </w:r>
      <w:r>
        <w:rPr>
          <w:rFonts w:hint="eastAsia"/>
        </w:rPr>
        <w:t>。</w:t>
      </w:r>
    </w:p>
    <w:p>
      <w:pPr>
        <w:pStyle w:val="125"/>
        <w:spacing w:before="156" w:after="156"/>
        <w:rPr>
          <w:rFonts w:eastAsia="宋体"/>
        </w:rPr>
      </w:pPr>
      <w:bookmarkStart w:id="130" w:name="_Toc146472708"/>
      <w:bookmarkStart w:id="131" w:name="_Toc149749335"/>
      <w:bookmarkStart w:id="132" w:name="_Toc142470967"/>
      <w:bookmarkStart w:id="133" w:name="_Toc13233"/>
      <w:bookmarkStart w:id="134" w:name="_Toc146472745"/>
      <w:bookmarkStart w:id="135" w:name="_Toc146474199"/>
      <w:bookmarkStart w:id="136" w:name="_Toc142550503"/>
      <w:bookmarkStart w:id="137" w:name="_Toc149555003"/>
      <w:bookmarkStart w:id="138" w:name="_Toc142550456"/>
      <w:r>
        <w:rPr>
          <w:rFonts w:hint="eastAsia"/>
        </w:rPr>
        <w:t>样地调查</w:t>
      </w:r>
      <w:bookmarkEnd w:id="130"/>
      <w:bookmarkEnd w:id="131"/>
      <w:bookmarkEnd w:id="132"/>
      <w:bookmarkEnd w:id="133"/>
      <w:bookmarkEnd w:id="134"/>
      <w:bookmarkEnd w:id="135"/>
      <w:bookmarkEnd w:id="136"/>
      <w:bookmarkEnd w:id="137"/>
      <w:bookmarkEnd w:id="138"/>
    </w:p>
    <w:p>
      <w:pPr>
        <w:pStyle w:val="85"/>
        <w:spacing w:before="156" w:after="156"/>
      </w:pPr>
      <w:bookmarkStart w:id="139" w:name="_Toc142470968"/>
      <w:bookmarkStart w:id="140" w:name="_Toc13256"/>
      <w:bookmarkStart w:id="141" w:name="_Toc142550457"/>
      <w:bookmarkStart w:id="142" w:name="_Toc142550504"/>
      <w:bookmarkStart w:id="143" w:name="_Toc146472709"/>
      <w:r>
        <w:rPr>
          <w:rFonts w:hint="eastAsia"/>
        </w:rPr>
        <w:t>乔木层调査</w:t>
      </w:r>
      <w:bookmarkEnd w:id="139"/>
      <w:bookmarkEnd w:id="140"/>
      <w:bookmarkEnd w:id="141"/>
      <w:bookmarkEnd w:id="142"/>
      <w:bookmarkEnd w:id="143"/>
    </w:p>
    <w:p>
      <w:pPr>
        <w:pStyle w:val="76"/>
        <w:ind w:firstLine="420"/>
      </w:pPr>
      <w:r>
        <w:rPr>
          <w:rFonts w:hint="eastAsia"/>
        </w:rPr>
        <w:t>对群落内全部乔木物种的中文名称进行了精确的识别和详细的记载。固定样地中的全部立木每木调查一次，包括胸径</w:t>
      </w:r>
      <w:r>
        <w:t> </w:t>
      </w:r>
      <w:r>
        <w:rPr>
          <w:rFonts w:hint="eastAsia"/>
        </w:rPr>
        <w:t>≥</w:t>
      </w:r>
      <w:r>
        <w:t> </w:t>
      </w:r>
      <w:r>
        <w:rPr>
          <w:rFonts w:hint="eastAsia"/>
        </w:rPr>
        <w:t>5.0</w:t>
      </w:r>
      <w:r>
        <w:t> </w:t>
      </w:r>
      <w:r>
        <w:rPr>
          <w:rFonts w:hint="eastAsia"/>
        </w:rPr>
        <w:t>cm的活立木，地径</w:t>
      </w:r>
      <w:r>
        <w:t> </w:t>
      </w:r>
      <w:r>
        <w:rPr>
          <w:rFonts w:hint="eastAsia"/>
        </w:rPr>
        <w:t>≥</w:t>
      </w:r>
      <w:r>
        <w:t> </w:t>
      </w:r>
      <w:r>
        <w:rPr>
          <w:rFonts w:hint="eastAsia"/>
        </w:rPr>
        <w:t>1.0</w:t>
      </w:r>
      <w:r>
        <w:t> </w:t>
      </w:r>
      <w:r>
        <w:rPr>
          <w:rFonts w:hint="eastAsia"/>
        </w:rPr>
        <w:t>cm灌木，调査乔木层的样地因子主要有：树种、胸径、树高、地径、冠幅、龄级和调查日期，调查表详见附录表A.1。通过对不同年龄和部位的乔木个体及群体特征研究，分析了各年龄阶段植物种类组成与数量变化特点。辅助样地内通过解析木，结合固定样地调查所获每木调查数据，最终推算出乔木层的生物量和含碳率。</w:t>
      </w:r>
    </w:p>
    <w:p>
      <w:pPr>
        <w:pStyle w:val="85"/>
        <w:spacing w:before="156" w:after="156"/>
      </w:pPr>
      <w:bookmarkStart w:id="144" w:name="_Toc142550505"/>
      <w:bookmarkStart w:id="145" w:name="_Toc13755"/>
      <w:bookmarkStart w:id="146" w:name="_Toc142470969"/>
      <w:bookmarkStart w:id="147" w:name="_Toc142550458"/>
      <w:bookmarkStart w:id="148" w:name="_Toc146472710"/>
      <w:r>
        <w:rPr>
          <w:rFonts w:hint="eastAsia"/>
        </w:rPr>
        <w:t>灌木层调査</w:t>
      </w:r>
      <w:bookmarkEnd w:id="144"/>
      <w:bookmarkEnd w:id="145"/>
      <w:bookmarkEnd w:id="146"/>
      <w:bookmarkEnd w:id="147"/>
      <w:bookmarkEnd w:id="148"/>
    </w:p>
    <w:p>
      <w:pPr>
        <w:pStyle w:val="76"/>
        <w:ind w:firstLine="420"/>
        <w:rPr>
          <w:color w:val="FF0000"/>
          <w:highlight w:val="yellow"/>
        </w:rPr>
      </w:pPr>
      <w:r>
        <w:rPr>
          <w:rFonts w:hint="eastAsia"/>
        </w:rPr>
        <w:t>记录固定样方中出现灌木的种类、数量、盖度、平均高度、基径和调查日期，调查表详见附录表A.2。辅助样地内3个样方进行地上部分进行全部采样调查。将采集到的样品先称其鲜重</w:t>
      </w:r>
      <w:r>
        <w:t>。</w:t>
      </w:r>
      <w:r>
        <w:rPr>
          <w:rFonts w:hint="eastAsia"/>
        </w:rPr>
        <w:t>按照单株根：茎：枝：叶为3：2：2：2的比例混匀，取混合样品</w:t>
      </w:r>
      <w:r>
        <w:t> </w:t>
      </w:r>
      <w:r>
        <w:rPr>
          <w:rFonts w:hint="eastAsia"/>
        </w:rPr>
        <w:t>300</w:t>
      </w:r>
      <w:r>
        <w:t> </w:t>
      </w:r>
      <w:r>
        <w:rPr>
          <w:rFonts w:hint="eastAsia"/>
        </w:rPr>
        <w:t>g添加标签记录用于后续生物量及含碳率测定。</w:t>
      </w:r>
    </w:p>
    <w:p>
      <w:pPr>
        <w:pStyle w:val="85"/>
        <w:spacing w:before="156" w:after="156"/>
      </w:pPr>
      <w:bookmarkStart w:id="149" w:name="_Toc6377"/>
      <w:bookmarkStart w:id="150" w:name="_Toc142550506"/>
      <w:bookmarkStart w:id="151" w:name="_Toc142550459"/>
      <w:bookmarkStart w:id="152" w:name="_Toc142470970"/>
      <w:bookmarkStart w:id="153" w:name="_Toc146472711"/>
      <w:r>
        <w:rPr>
          <w:rFonts w:hint="eastAsia"/>
        </w:rPr>
        <w:t>草本层调査</w:t>
      </w:r>
      <w:bookmarkEnd w:id="149"/>
      <w:bookmarkEnd w:id="150"/>
      <w:bookmarkEnd w:id="151"/>
      <w:bookmarkEnd w:id="152"/>
      <w:bookmarkEnd w:id="153"/>
    </w:p>
    <w:p>
      <w:pPr>
        <w:pStyle w:val="76"/>
        <w:ind w:firstLine="420"/>
        <w:rPr>
          <w:highlight w:val="red"/>
        </w:rPr>
      </w:pPr>
      <w:r>
        <w:rPr>
          <w:rFonts w:hint="eastAsia"/>
        </w:rPr>
        <w:t>固定样方中出现的全部草本植物进行调查（不包括苔藓、地衣等），记录草本植物种类、丛数量、平均高度、盖度和调查日期，调查表详见附录表A.3。辅助样地内3个样方进行地上部分全部进行采样调查，各自称鲜重。取采集到的草本样本</w:t>
      </w:r>
      <w:r>
        <w:t> </w:t>
      </w:r>
      <w:r>
        <w:rPr>
          <w:rFonts w:hint="eastAsia"/>
        </w:rPr>
        <w:t>300</w:t>
      </w:r>
      <w:r>
        <w:t> </w:t>
      </w:r>
      <w:r>
        <w:rPr>
          <w:rFonts w:hint="eastAsia"/>
        </w:rPr>
        <w:t>g，添加标签记录用于后续生物量及含碳率测定。</w:t>
      </w:r>
    </w:p>
    <w:p>
      <w:pPr>
        <w:pStyle w:val="85"/>
        <w:spacing w:before="156" w:after="156"/>
      </w:pPr>
      <w:bookmarkStart w:id="154" w:name="_Toc9530"/>
      <w:bookmarkStart w:id="155" w:name="_Toc146472712"/>
      <w:bookmarkStart w:id="156" w:name="_Toc142470971"/>
      <w:bookmarkStart w:id="157" w:name="_Toc142550507"/>
      <w:bookmarkStart w:id="158" w:name="_Toc142550460"/>
      <w:r>
        <w:rPr>
          <w:rFonts w:hint="eastAsia"/>
        </w:rPr>
        <w:t>枯落物调査</w:t>
      </w:r>
      <w:bookmarkEnd w:id="154"/>
      <w:bookmarkEnd w:id="155"/>
      <w:bookmarkEnd w:id="156"/>
      <w:bookmarkEnd w:id="157"/>
      <w:bookmarkEnd w:id="158"/>
    </w:p>
    <w:p>
      <w:pPr>
        <w:pStyle w:val="76"/>
        <w:ind w:firstLine="420"/>
      </w:pPr>
      <w:r>
        <w:rPr>
          <w:rFonts w:hint="eastAsia"/>
          <w:shd w:val="clear" w:color="auto" w:fill="FFFFFF"/>
        </w:rPr>
        <w:t>固定样地内对各林下草本层样方中枯落物进行调查，记录枯落物样品的厚度和调查日期，</w:t>
      </w:r>
      <w:r>
        <w:rPr>
          <w:rFonts w:hint="eastAsia"/>
        </w:rPr>
        <w:t>调查表详见附录表A.4。辅助样地内三个样方进行采样调查</w:t>
      </w:r>
      <w:r>
        <w:rPr>
          <w:rFonts w:hint="eastAsia"/>
          <w:shd w:val="clear" w:color="auto" w:fill="FFFFFF"/>
        </w:rPr>
        <w:t>。</w:t>
      </w:r>
      <w:r>
        <w:rPr>
          <w:rFonts w:hint="eastAsia"/>
        </w:rPr>
        <w:t>取采集到的枯落物样本</w:t>
      </w:r>
      <w:r>
        <w:t> </w:t>
      </w:r>
      <w:r>
        <w:rPr>
          <w:rFonts w:hint="eastAsia"/>
        </w:rPr>
        <w:t>300</w:t>
      </w:r>
      <w:r>
        <w:t> </w:t>
      </w:r>
      <w:r>
        <w:rPr>
          <w:rFonts w:hint="eastAsia"/>
        </w:rPr>
        <w:t>g添加标签记录用于后续生物量及含碳率测定。</w:t>
      </w:r>
    </w:p>
    <w:p>
      <w:pPr>
        <w:pStyle w:val="85"/>
        <w:spacing w:before="156" w:after="156"/>
      </w:pPr>
      <w:bookmarkStart w:id="159" w:name="_Toc142470972"/>
      <w:bookmarkStart w:id="160" w:name="_Toc142550508"/>
      <w:bookmarkStart w:id="161" w:name="_Toc146472713"/>
      <w:bookmarkStart w:id="162" w:name="_Toc142550461"/>
      <w:bookmarkStart w:id="163" w:name="_Toc19436"/>
      <w:r>
        <w:rPr>
          <w:rFonts w:hint="eastAsia"/>
        </w:rPr>
        <w:t>土壤层调査</w:t>
      </w:r>
      <w:bookmarkEnd w:id="159"/>
      <w:bookmarkEnd w:id="160"/>
      <w:bookmarkEnd w:id="161"/>
      <w:bookmarkEnd w:id="162"/>
      <w:bookmarkEnd w:id="163"/>
    </w:p>
    <w:p>
      <w:pPr>
        <w:pStyle w:val="76"/>
        <w:ind w:firstLine="420"/>
      </w:pPr>
      <w:r>
        <w:rPr>
          <w:rFonts w:hint="eastAsia"/>
          <w:shd w:val="clear" w:color="auto" w:fill="FFFFFF"/>
        </w:rPr>
        <w:t>固定样地内对各林下土壤进行调查，记录土壤类型，</w:t>
      </w:r>
      <w:r>
        <w:rPr>
          <w:rFonts w:hint="eastAsia"/>
        </w:rPr>
        <w:t>调查表详见附录表A.5</w:t>
      </w:r>
      <w:r>
        <w:rPr>
          <w:rFonts w:hint="eastAsia"/>
          <w:shd w:val="clear" w:color="auto" w:fill="FFFFFF"/>
        </w:rPr>
        <w:t>。</w:t>
      </w:r>
      <w:r>
        <w:rPr>
          <w:rFonts w:hint="eastAsia"/>
        </w:rPr>
        <w:t>辅助样地内设置1个土壤样方，应在晴天进行。土壤取样坑尺寸为：</w:t>
      </w:r>
      <w:r>
        <w:t> </w:t>
      </w:r>
      <w:r>
        <w:rPr>
          <w:rFonts w:hint="eastAsia"/>
        </w:rPr>
        <w:t>150</w:t>
      </w:r>
      <w:r>
        <w:t> </w:t>
      </w:r>
      <w:r>
        <w:rPr>
          <w:rFonts w:hint="eastAsia"/>
        </w:rPr>
        <w:t>cm×</w:t>
      </w:r>
      <w:r>
        <w:t> </w:t>
      </w:r>
      <w:r>
        <w:rPr>
          <w:rFonts w:hint="eastAsia"/>
        </w:rPr>
        <w:t>50</w:t>
      </w:r>
      <w:r>
        <w:t> </w:t>
      </w:r>
      <w:r>
        <w:rPr>
          <w:rFonts w:hint="eastAsia"/>
        </w:rPr>
        <w:t>cm×</w:t>
      </w:r>
      <w:r>
        <w:t> </w:t>
      </w:r>
      <w:r>
        <w:rPr>
          <w:rFonts w:hint="eastAsia"/>
        </w:rPr>
        <w:t>90</w:t>
      </w:r>
      <w:r>
        <w:t> </w:t>
      </w:r>
      <w:r>
        <w:rPr>
          <w:rFonts w:hint="eastAsia"/>
        </w:rPr>
        <w:t>cm，在取样坑中整理出一个深</w:t>
      </w:r>
      <w:r>
        <w:t> </w:t>
      </w:r>
      <w:r>
        <w:rPr>
          <w:rFonts w:hint="eastAsia"/>
        </w:rPr>
        <w:t>90</w:t>
      </w:r>
      <w:r>
        <w:t> </w:t>
      </w:r>
      <w:r>
        <w:rPr>
          <w:rFonts w:hint="eastAsia"/>
        </w:rPr>
        <w:t>cm的土壤剖面，不够</w:t>
      </w:r>
      <w:r>
        <w:t> </w:t>
      </w:r>
      <w:r>
        <w:rPr>
          <w:rFonts w:hint="eastAsia"/>
        </w:rPr>
        <w:t>90</w:t>
      </w:r>
      <w:r>
        <w:t> </w:t>
      </w:r>
      <w:r>
        <w:rPr>
          <w:rFonts w:hint="eastAsia"/>
        </w:rPr>
        <w:t>cm至基岩为止。每个剖面采样层次按</w:t>
      </w:r>
      <w:r>
        <w:t> </w:t>
      </w:r>
      <w:r>
        <w:rPr>
          <w:rFonts w:hint="eastAsia"/>
        </w:rPr>
        <w:t>0</w:t>
      </w:r>
      <w:r>
        <w:t> </w:t>
      </w:r>
      <w:r>
        <w:rPr>
          <w:rFonts w:hint="eastAsia"/>
        </w:rPr>
        <w:t>cm-</w:t>
      </w:r>
      <w:r>
        <w:t> </w:t>
      </w:r>
      <w:r>
        <w:rPr>
          <w:rFonts w:hint="eastAsia"/>
        </w:rPr>
        <w:t>30</w:t>
      </w:r>
      <w:r>
        <w:t> </w:t>
      </w:r>
      <w:r>
        <w:rPr>
          <w:rFonts w:hint="eastAsia"/>
        </w:rPr>
        <w:t>cm、</w:t>
      </w:r>
      <w:r>
        <w:t> </w:t>
      </w:r>
      <w:r>
        <w:rPr>
          <w:rFonts w:hint="eastAsia"/>
        </w:rPr>
        <w:t>30</w:t>
      </w:r>
      <w:r>
        <w:t> </w:t>
      </w:r>
      <w:r>
        <w:rPr>
          <w:rFonts w:hint="eastAsia"/>
        </w:rPr>
        <w:t>cm-</w:t>
      </w:r>
      <w:r>
        <w:t> </w:t>
      </w:r>
      <w:r>
        <w:rPr>
          <w:rFonts w:hint="eastAsia"/>
        </w:rPr>
        <w:t>60</w:t>
      </w:r>
      <w:r>
        <w:t> </w:t>
      </w:r>
      <w:r>
        <w:rPr>
          <w:rFonts w:hint="eastAsia"/>
        </w:rPr>
        <w:t>cm、</w:t>
      </w:r>
      <w:r>
        <w:t> </w:t>
      </w:r>
      <w:r>
        <w:rPr>
          <w:rFonts w:hint="eastAsia"/>
        </w:rPr>
        <w:t>60</w:t>
      </w:r>
      <w:r>
        <w:t> </w:t>
      </w:r>
      <w:r>
        <w:rPr>
          <w:rFonts w:hint="eastAsia"/>
        </w:rPr>
        <w:t>cm-</w:t>
      </w:r>
      <w:r>
        <w:t> </w:t>
      </w:r>
      <w:r>
        <w:rPr>
          <w:rFonts w:hint="eastAsia"/>
        </w:rPr>
        <w:t>90</w:t>
      </w:r>
      <w:r>
        <w:t> </w:t>
      </w:r>
      <w:r>
        <w:rPr>
          <w:rFonts w:hint="eastAsia"/>
        </w:rPr>
        <w:t>cm划分土层；每个土层取环刀样</w:t>
      </w:r>
      <w:r>
        <w:t> </w:t>
      </w:r>
      <w:r>
        <w:rPr>
          <w:rFonts w:hint="eastAsia"/>
        </w:rPr>
        <w:t>1</w:t>
      </w:r>
      <w:r>
        <w:t> </w:t>
      </w:r>
      <w:r>
        <w:rPr>
          <w:rFonts w:hint="eastAsia"/>
        </w:rPr>
        <w:t>个，放在密封袋中临时保存，添加标签，标记辅助样地号、土层厚度和深度，带回室内测定土壤容重。除环刀样外，每个土层再取一份用于化验土壤养分、理化性质和有机质含量。每个标准样地共</w:t>
      </w:r>
      <w:r>
        <w:t> </w:t>
      </w:r>
      <w:r>
        <w:rPr>
          <w:rFonts w:hint="eastAsia"/>
        </w:rPr>
        <w:t>6</w:t>
      </w:r>
      <w:r>
        <w:t> </w:t>
      </w:r>
      <w:r>
        <w:rPr>
          <w:rFonts w:hint="eastAsia"/>
        </w:rPr>
        <w:t>份土壤样品，用于测定土壤容重的样品</w:t>
      </w:r>
      <w:r>
        <w:t> </w:t>
      </w:r>
      <w:r>
        <w:rPr>
          <w:rFonts w:hint="eastAsia"/>
        </w:rPr>
        <w:t>3</w:t>
      </w:r>
      <w:r>
        <w:t> </w:t>
      </w:r>
      <w:r>
        <w:rPr>
          <w:rFonts w:hint="eastAsia"/>
        </w:rPr>
        <w:t>份（</w:t>
      </w:r>
      <w:r>
        <w:t> </w:t>
      </w:r>
      <w:r>
        <w:rPr>
          <w:rFonts w:hint="eastAsia"/>
        </w:rPr>
        <w:t>0</w:t>
      </w:r>
      <w:r>
        <w:t> </w:t>
      </w:r>
      <w:r>
        <w:rPr>
          <w:rFonts w:hint="eastAsia"/>
        </w:rPr>
        <w:t>cm-</w:t>
      </w:r>
      <w:r>
        <w:t> </w:t>
      </w:r>
      <w:r>
        <w:rPr>
          <w:rFonts w:hint="eastAsia"/>
        </w:rPr>
        <w:t>30</w:t>
      </w:r>
      <w:r>
        <w:t> </w:t>
      </w:r>
      <w:r>
        <w:rPr>
          <w:rFonts w:hint="eastAsia"/>
        </w:rPr>
        <w:t>cm、</w:t>
      </w:r>
      <w:r>
        <w:t> </w:t>
      </w:r>
      <w:r>
        <w:rPr>
          <w:rFonts w:hint="eastAsia"/>
        </w:rPr>
        <w:t>30</w:t>
      </w:r>
      <w:r>
        <w:t> </w:t>
      </w:r>
      <w:r>
        <w:rPr>
          <w:rFonts w:hint="eastAsia"/>
        </w:rPr>
        <w:t>cm-</w:t>
      </w:r>
      <w:r>
        <w:t> </w:t>
      </w:r>
      <w:r>
        <w:rPr>
          <w:rFonts w:hint="eastAsia"/>
        </w:rPr>
        <w:t>60</w:t>
      </w:r>
      <w:r>
        <w:t> </w:t>
      </w:r>
      <w:r>
        <w:rPr>
          <w:rFonts w:hint="eastAsia"/>
        </w:rPr>
        <w:t>cm、</w:t>
      </w:r>
      <w:r>
        <w:t> </w:t>
      </w:r>
      <w:r>
        <w:rPr>
          <w:rFonts w:hint="eastAsia"/>
        </w:rPr>
        <w:t>60</w:t>
      </w:r>
      <w:r>
        <w:t> </w:t>
      </w:r>
      <w:r>
        <w:rPr>
          <w:rFonts w:hint="eastAsia"/>
        </w:rPr>
        <w:t>cm-</w:t>
      </w:r>
      <w:r>
        <w:t> </w:t>
      </w:r>
      <w:r>
        <w:rPr>
          <w:rFonts w:hint="eastAsia"/>
        </w:rPr>
        <w:t>90</w:t>
      </w:r>
      <w:r>
        <w:t> </w:t>
      </w:r>
      <w:r>
        <w:rPr>
          <w:rFonts w:hint="eastAsia"/>
        </w:rPr>
        <w:t>cm土层各一份）；用于测定土壤养分和有机质含量的样品</w:t>
      </w:r>
      <w:r>
        <w:t> </w:t>
      </w:r>
      <w:r>
        <w:rPr>
          <w:rFonts w:hint="eastAsia"/>
        </w:rPr>
        <w:t>3</w:t>
      </w:r>
      <w:r>
        <w:t> </w:t>
      </w:r>
      <w:r>
        <w:rPr>
          <w:rFonts w:hint="eastAsia"/>
        </w:rPr>
        <w:t>份（</w:t>
      </w:r>
      <w:r>
        <w:t> </w:t>
      </w:r>
      <w:r>
        <w:rPr>
          <w:rFonts w:hint="eastAsia"/>
        </w:rPr>
        <w:t>0</w:t>
      </w:r>
      <w:r>
        <w:t> </w:t>
      </w:r>
      <w:r>
        <w:rPr>
          <w:rFonts w:hint="eastAsia"/>
        </w:rPr>
        <w:t>cm-</w:t>
      </w:r>
      <w:r>
        <w:t> </w:t>
      </w:r>
      <w:r>
        <w:rPr>
          <w:rFonts w:hint="eastAsia"/>
        </w:rPr>
        <w:t>30</w:t>
      </w:r>
      <w:r>
        <w:t> </w:t>
      </w:r>
      <w:r>
        <w:rPr>
          <w:rFonts w:hint="eastAsia"/>
        </w:rPr>
        <w:t>cm、</w:t>
      </w:r>
      <w:r>
        <w:t> </w:t>
      </w:r>
      <w:r>
        <w:rPr>
          <w:rFonts w:hint="eastAsia"/>
        </w:rPr>
        <w:t>30</w:t>
      </w:r>
      <w:r>
        <w:t> </w:t>
      </w:r>
      <w:r>
        <w:rPr>
          <w:rFonts w:hint="eastAsia"/>
        </w:rPr>
        <w:t>cm-</w:t>
      </w:r>
      <w:r>
        <w:t> </w:t>
      </w:r>
      <w:r>
        <w:rPr>
          <w:rFonts w:hint="eastAsia"/>
        </w:rPr>
        <w:t>60</w:t>
      </w:r>
      <w:r>
        <w:t> </w:t>
      </w:r>
      <w:r>
        <w:rPr>
          <w:rFonts w:hint="eastAsia"/>
        </w:rPr>
        <w:t>cm、</w:t>
      </w:r>
      <w:r>
        <w:t> </w:t>
      </w:r>
      <w:r>
        <w:rPr>
          <w:rFonts w:hint="eastAsia"/>
        </w:rPr>
        <w:t>60</w:t>
      </w:r>
      <w:r>
        <w:t> </w:t>
      </w:r>
      <w:r>
        <w:rPr>
          <w:rFonts w:hint="eastAsia"/>
        </w:rPr>
        <w:t>cm-</w:t>
      </w:r>
      <w:r>
        <w:t> </w:t>
      </w:r>
      <w:r>
        <w:rPr>
          <w:rFonts w:hint="eastAsia"/>
        </w:rPr>
        <w:t>90</w:t>
      </w:r>
      <w:r>
        <w:t> </w:t>
      </w:r>
      <w:r>
        <w:rPr>
          <w:rFonts w:hint="eastAsia"/>
        </w:rPr>
        <w:t>cm土层各一份混合样），每份样品</w:t>
      </w:r>
      <w:r>
        <w:t> </w:t>
      </w:r>
      <w:r>
        <w:rPr>
          <w:rFonts w:hint="eastAsia"/>
        </w:rPr>
        <w:t>300</w:t>
      </w:r>
      <w:r>
        <w:t> </w:t>
      </w:r>
      <w:r>
        <w:rPr>
          <w:rFonts w:hint="eastAsia"/>
        </w:rPr>
        <w:t>g。</w:t>
      </w:r>
    </w:p>
    <w:p>
      <w:pPr>
        <w:pStyle w:val="125"/>
        <w:spacing w:before="156" w:after="156"/>
      </w:pPr>
      <w:bookmarkStart w:id="164" w:name="_Toc146474200"/>
      <w:bookmarkStart w:id="165" w:name="_Toc149749336"/>
      <w:bookmarkStart w:id="166" w:name="_Toc146472746"/>
      <w:bookmarkStart w:id="167" w:name="_Toc149555004"/>
      <w:bookmarkStart w:id="168" w:name="_Toc146472714"/>
      <w:r>
        <w:rPr>
          <w:rFonts w:hint="eastAsia"/>
        </w:rPr>
        <w:t>样地监测</w:t>
      </w:r>
      <w:bookmarkEnd w:id="164"/>
      <w:bookmarkEnd w:id="165"/>
      <w:bookmarkEnd w:id="166"/>
      <w:bookmarkEnd w:id="167"/>
      <w:bookmarkEnd w:id="168"/>
    </w:p>
    <w:p>
      <w:pPr>
        <w:pStyle w:val="85"/>
        <w:spacing w:before="156" w:after="156"/>
      </w:pPr>
      <w:bookmarkStart w:id="169" w:name="_Toc146472715"/>
      <w:r>
        <w:t>监测</w:t>
      </w:r>
      <w:r>
        <w:rPr>
          <w:rFonts w:hint="eastAsia"/>
        </w:rPr>
        <w:t>内容与周期</w:t>
      </w:r>
      <w:bookmarkEnd w:id="169"/>
      <w:r>
        <w:t xml:space="preserve"> </w:t>
      </w:r>
    </w:p>
    <w:p>
      <w:pPr>
        <w:pStyle w:val="76"/>
        <w:ind w:firstLine="420"/>
      </w:pPr>
      <w:r>
        <w:rPr>
          <w:rFonts w:hint="eastAsia"/>
          <w:shd w:val="clear" w:color="auto" w:fill="FFFFFF"/>
        </w:rPr>
        <w:t>所有监测项目均在固定样地内进行。主要监测项目为采取采（间）伐和补植的时间、地点（边界）、面积、树种和强度等经营活动的森林；</w:t>
      </w:r>
      <w:r>
        <w:rPr>
          <w:shd w:val="clear" w:color="auto" w:fill="FFFFFF"/>
        </w:rPr>
        <w:t>如果采取人工更新，检查并确保皆伐后的迹地得以立即更新造林；如果采取萌芽或天然更新，检查并确保良好的更新条件；其他森林经营：施肥、除灌、灌溉等的地点（边界）、面积、措施。</w:t>
      </w:r>
      <w:r>
        <w:rPr>
          <w:rFonts w:hint="eastAsia"/>
          <w:shd w:val="clear" w:color="auto" w:fill="FFFFFF"/>
        </w:rPr>
        <w:t>监测工作</w:t>
      </w:r>
      <w:r>
        <w:rPr>
          <w:shd w:val="clear" w:color="auto" w:fill="FFFFFF"/>
        </w:rPr>
        <w:t>包括野外数据的采集、数据记录、管理和存档。</w:t>
      </w:r>
      <w:r>
        <w:rPr>
          <w:rFonts w:hint="eastAsia"/>
          <w:shd w:val="clear" w:color="auto" w:fill="FFFFFF"/>
        </w:rPr>
        <w:t>监测周期为每五年一次。</w:t>
      </w:r>
    </w:p>
    <w:p>
      <w:pPr>
        <w:pStyle w:val="85"/>
        <w:spacing w:before="156" w:after="156"/>
      </w:pPr>
      <w:bookmarkStart w:id="170" w:name="_Toc146472716"/>
      <w:r>
        <w:rPr>
          <w:rFonts w:hint="eastAsia"/>
        </w:rPr>
        <w:t>监测样地碳</w:t>
      </w:r>
      <w:r>
        <w:t>储量变化的测定</w:t>
      </w:r>
      <w:bookmarkEnd w:id="170"/>
    </w:p>
    <w:p>
      <w:pPr>
        <w:pStyle w:val="76"/>
        <w:ind w:firstLine="420"/>
        <w:rPr>
          <w:highlight w:val="red"/>
        </w:rPr>
      </w:pPr>
      <w:r>
        <w:rPr>
          <w:shd w:val="clear" w:color="auto" w:fill="FFFFFF"/>
        </w:rPr>
        <w:t>测定样地内所有活立木的胸径和树高。利用生物量方程计算每株林木生物量，再累积到样地水平生物量和碳储量。计算</w:t>
      </w:r>
      <w:r>
        <w:rPr>
          <w:rFonts w:hint="eastAsia"/>
          <w:shd w:val="clear" w:color="auto" w:fill="FFFFFF"/>
        </w:rPr>
        <w:t>固定样地</w:t>
      </w:r>
      <w:r>
        <w:rPr>
          <w:shd w:val="clear" w:color="auto" w:fill="FFFFFF"/>
        </w:rPr>
        <w:t>各碳层的平均单位面积碳储量</w:t>
      </w:r>
      <w:r>
        <w:rPr>
          <w:rFonts w:hint="eastAsia"/>
          <w:shd w:val="clear" w:color="auto" w:fill="FFFFFF"/>
        </w:rPr>
        <w:t>，推算该区域碳储量变化。</w:t>
      </w:r>
    </w:p>
    <w:p>
      <w:pPr>
        <w:pStyle w:val="125"/>
        <w:spacing w:before="156" w:after="156"/>
      </w:pPr>
      <w:bookmarkStart w:id="171" w:name="_Toc27996"/>
      <w:bookmarkStart w:id="172" w:name="_Toc146472717"/>
      <w:bookmarkStart w:id="173" w:name="_Toc142550462"/>
      <w:bookmarkStart w:id="174" w:name="_Toc146474201"/>
      <w:bookmarkStart w:id="175" w:name="_Toc149749337"/>
      <w:bookmarkStart w:id="176" w:name="_Toc146472747"/>
      <w:bookmarkStart w:id="177" w:name="_Toc142470973"/>
      <w:bookmarkStart w:id="178" w:name="_Toc142550509"/>
      <w:bookmarkStart w:id="179" w:name="_Toc149555005"/>
      <w:r>
        <w:rPr>
          <w:rFonts w:hint="eastAsia"/>
        </w:rPr>
        <w:t>生物量法碳储量测定</w:t>
      </w:r>
      <w:bookmarkEnd w:id="171"/>
      <w:bookmarkEnd w:id="172"/>
      <w:bookmarkEnd w:id="173"/>
      <w:bookmarkEnd w:id="174"/>
      <w:bookmarkEnd w:id="175"/>
      <w:bookmarkEnd w:id="176"/>
      <w:bookmarkEnd w:id="177"/>
      <w:bookmarkEnd w:id="178"/>
      <w:bookmarkEnd w:id="179"/>
    </w:p>
    <w:p>
      <w:pPr>
        <w:pStyle w:val="85"/>
        <w:spacing w:before="156" w:after="156"/>
      </w:pPr>
      <w:bookmarkStart w:id="180" w:name="_Toc142470974"/>
      <w:bookmarkStart w:id="181" w:name="_Toc146472718"/>
      <w:bookmarkStart w:id="182" w:name="_Toc142550463"/>
      <w:bookmarkStart w:id="183" w:name="_Toc7978"/>
      <w:bookmarkStart w:id="184" w:name="_Toc142550510"/>
      <w:r>
        <w:rPr>
          <w:rFonts w:hint="eastAsia"/>
        </w:rPr>
        <w:t>生物量测定</w:t>
      </w:r>
      <w:bookmarkEnd w:id="180"/>
      <w:bookmarkEnd w:id="181"/>
      <w:bookmarkEnd w:id="182"/>
      <w:bookmarkEnd w:id="183"/>
      <w:bookmarkEnd w:id="184"/>
    </w:p>
    <w:p>
      <w:pPr>
        <w:pStyle w:val="76"/>
        <w:ind w:firstLine="420"/>
      </w:pPr>
      <w:r>
        <w:rPr>
          <w:rFonts w:hint="eastAsia"/>
        </w:rPr>
        <w:t>生物量主要通过设置辅助样地，分别对乔木、灌木、草本、枯落物生物量开展调查取样。</w:t>
      </w:r>
    </w:p>
    <w:p>
      <w:pPr>
        <w:pStyle w:val="76"/>
        <w:ind w:firstLine="420"/>
      </w:pPr>
      <w:r>
        <w:rPr>
          <w:rFonts w:hint="eastAsia"/>
        </w:rPr>
        <w:t>乔木层生物量测定是在辅助样地内，采用平均标准木法选取1株乔木标准木，测定和记录该株标准木地上鲜重，枝叶混合后取样</w:t>
      </w:r>
      <w:r>
        <w:t> </w:t>
      </w:r>
      <w:r>
        <w:rPr>
          <w:rFonts w:hint="eastAsia"/>
        </w:rPr>
        <w:t>300</w:t>
      </w:r>
      <w:r>
        <w:t> </w:t>
      </w:r>
      <w:r>
        <w:rPr>
          <w:rFonts w:hint="eastAsia"/>
        </w:rPr>
        <w:t>g，在烘干机中设置恒温</w:t>
      </w:r>
      <w:r>
        <w:t> </w:t>
      </w:r>
      <w:r>
        <w:rPr>
          <w:rFonts w:hint="eastAsia"/>
        </w:rPr>
        <w:t>85</w:t>
      </w:r>
      <w:r>
        <w:t> </w:t>
      </w:r>
      <w:r>
        <w:rPr>
          <w:rFonts w:hint="eastAsia"/>
        </w:rPr>
        <w:t>℃，每日烘干</w:t>
      </w:r>
      <w:r>
        <w:t> </w:t>
      </w:r>
      <w:r>
        <w:rPr>
          <w:rFonts w:hint="eastAsia"/>
        </w:rPr>
        <w:t>8</w:t>
      </w:r>
      <w:r>
        <w:t> </w:t>
      </w:r>
      <w:r>
        <w:rPr>
          <w:rFonts w:hint="eastAsia"/>
        </w:rPr>
        <w:t>h，7天后测量并记录其干重。记录表详见附录表B.1。</w:t>
      </w:r>
    </w:p>
    <w:p>
      <w:pPr>
        <w:pStyle w:val="76"/>
        <w:ind w:firstLine="420"/>
        <w:rPr>
          <w:highlight w:val="yellow"/>
        </w:rPr>
      </w:pPr>
      <w:r>
        <w:rPr>
          <w:rFonts w:hint="eastAsia"/>
        </w:rPr>
        <w:t>灌木层生物量测定是在辅助样地内，采用平均标准木法选取3株灌木标准木，分别测定和记录3株标准木地上鲜重，按照单株根：茎：枝：叶为3：2：2：2的比例混匀，取混合后的样品</w:t>
      </w:r>
      <w:r>
        <w:t> </w:t>
      </w:r>
      <w:r>
        <w:rPr>
          <w:rFonts w:hint="eastAsia"/>
        </w:rPr>
        <w:t>300</w:t>
      </w:r>
      <w:r>
        <w:t> </w:t>
      </w:r>
      <w:r>
        <w:rPr>
          <w:rFonts w:hint="eastAsia"/>
        </w:rPr>
        <w:t>g，在烘干机中设置恒温</w:t>
      </w:r>
      <w:r>
        <w:t> </w:t>
      </w:r>
      <w:r>
        <w:rPr>
          <w:rFonts w:hint="eastAsia"/>
        </w:rPr>
        <w:t>85</w:t>
      </w:r>
      <w:r>
        <w:t> </w:t>
      </w:r>
      <w:r>
        <w:rPr>
          <w:rFonts w:hint="eastAsia"/>
        </w:rPr>
        <w:t>℃，每日烘干</w:t>
      </w:r>
      <w:r>
        <w:t> </w:t>
      </w:r>
      <w:r>
        <w:rPr>
          <w:rFonts w:hint="eastAsia"/>
        </w:rPr>
        <w:t>8</w:t>
      </w:r>
      <w:r>
        <w:t> </w:t>
      </w:r>
      <w:r>
        <w:rPr>
          <w:rFonts w:hint="eastAsia" w:hAnsi="宋体" w:cs="宋体"/>
        </w:rPr>
        <w:t>h</w:t>
      </w:r>
      <w:r>
        <w:rPr>
          <w:rFonts w:hint="eastAsia"/>
        </w:rPr>
        <w:t>，7天后测量并记录其干重。记录表详见附录表B.1。</w:t>
      </w:r>
    </w:p>
    <w:p>
      <w:pPr>
        <w:pStyle w:val="76"/>
        <w:ind w:firstLine="420"/>
      </w:pPr>
      <w:r>
        <w:rPr>
          <w:rFonts w:hint="eastAsia"/>
        </w:rPr>
        <w:t>草本层生物量测定在辅助样地内，对3个草本样方内的所有草本植物采用生物量法收集地上部分，分别称其样方鲜重。把</w:t>
      </w:r>
      <w:r>
        <w:t> </w:t>
      </w:r>
      <w:r>
        <w:rPr>
          <w:rFonts w:hint="eastAsia"/>
        </w:rPr>
        <w:t>3</w:t>
      </w:r>
      <w:r>
        <w:t> </w:t>
      </w:r>
      <w:r>
        <w:rPr>
          <w:rFonts w:hint="eastAsia"/>
        </w:rPr>
        <w:t>个样方草本进行混合，取混合后草本样品</w:t>
      </w:r>
      <w:r>
        <w:t> </w:t>
      </w:r>
      <w:r>
        <w:rPr>
          <w:rFonts w:hint="eastAsia"/>
        </w:rPr>
        <w:t>300</w:t>
      </w:r>
      <w:r>
        <w:t> </w:t>
      </w:r>
      <w:r>
        <w:rPr>
          <w:rFonts w:hint="eastAsia"/>
        </w:rPr>
        <w:t>g称鲜重，在烘干机中设置恒温</w:t>
      </w:r>
      <w:r>
        <w:rPr>
          <w:rFonts w:hint="eastAsia" w:hAnsi="宋体" w:cs="宋体"/>
        </w:rPr>
        <w:t xml:space="preserve"> </w:t>
      </w:r>
      <w:r>
        <w:t> </w:t>
      </w:r>
      <w:r>
        <w:rPr>
          <w:rFonts w:hint="eastAsia"/>
        </w:rPr>
        <w:t>85</w:t>
      </w:r>
      <w:r>
        <w:t> </w:t>
      </w:r>
      <w:r>
        <w:rPr>
          <w:rFonts w:hint="eastAsia"/>
        </w:rPr>
        <w:t>℃，每日烘干</w:t>
      </w:r>
      <w:r>
        <w:t> </w:t>
      </w:r>
      <w:r>
        <w:rPr>
          <w:rFonts w:hint="eastAsia"/>
        </w:rPr>
        <w:t>8</w:t>
      </w:r>
      <w:r>
        <w:t> </w:t>
      </w:r>
      <w:r>
        <w:rPr>
          <w:rFonts w:hint="eastAsia"/>
        </w:rPr>
        <w:t>h，7天后测量并记录其干重。记录表详见附录表B.1。</w:t>
      </w:r>
    </w:p>
    <w:p>
      <w:pPr>
        <w:pStyle w:val="76"/>
        <w:ind w:firstLine="420"/>
      </w:pPr>
      <w:r>
        <w:rPr>
          <w:rFonts w:hint="eastAsia"/>
        </w:rPr>
        <w:t>枯落物层生物量测定在辅助样地内调查枯落物厚度和分解情况，收集枯落物，称量其鲜重，混合采集枯落物样品</w:t>
      </w:r>
      <w:r>
        <w:t> </w:t>
      </w:r>
      <w:r>
        <w:rPr>
          <w:rFonts w:hint="eastAsia"/>
        </w:rPr>
        <w:t>300</w:t>
      </w:r>
      <w:r>
        <w:t> </w:t>
      </w:r>
      <w:r>
        <w:rPr>
          <w:rFonts w:hint="eastAsia"/>
        </w:rPr>
        <w:t>g（每个辅助样地一份），在烘干机中设置恒温</w:t>
      </w:r>
      <w:r>
        <w:t> </w:t>
      </w:r>
      <w:r>
        <w:rPr>
          <w:rFonts w:hint="eastAsia"/>
        </w:rPr>
        <w:t>85</w:t>
      </w:r>
      <w:r>
        <w:t> </w:t>
      </w:r>
      <w:r>
        <w:rPr>
          <w:rFonts w:hint="eastAsia"/>
        </w:rPr>
        <w:t>℃，每日烘干</w:t>
      </w:r>
      <w:r>
        <w:t> </w:t>
      </w:r>
      <w:r>
        <w:rPr>
          <w:rFonts w:hint="eastAsia"/>
        </w:rPr>
        <w:t>8</w:t>
      </w:r>
      <w:r>
        <w:t> </w:t>
      </w:r>
      <w:r>
        <w:rPr>
          <w:rFonts w:hint="eastAsia"/>
        </w:rPr>
        <w:t>h，7天后测量并记录其干重。记录表详见附录表B.1。</w:t>
      </w:r>
    </w:p>
    <w:p>
      <w:pPr>
        <w:pStyle w:val="85"/>
        <w:spacing w:before="156" w:after="156"/>
      </w:pPr>
      <w:bookmarkStart w:id="185" w:name="_Toc142550511"/>
      <w:bookmarkStart w:id="186" w:name="_Toc142470975"/>
      <w:bookmarkStart w:id="187" w:name="_Toc146472719"/>
      <w:bookmarkStart w:id="188" w:name="_Toc142550464"/>
      <w:bookmarkStart w:id="189" w:name="_Toc853"/>
      <w:r>
        <w:rPr>
          <w:rFonts w:hint="eastAsia"/>
        </w:rPr>
        <w:t>碳含率测定</w:t>
      </w:r>
      <w:bookmarkEnd w:id="185"/>
      <w:bookmarkEnd w:id="186"/>
      <w:bookmarkEnd w:id="187"/>
      <w:bookmarkEnd w:id="188"/>
      <w:bookmarkEnd w:id="189"/>
    </w:p>
    <w:p>
      <w:pPr>
        <w:pStyle w:val="76"/>
        <w:ind w:firstLine="420"/>
        <w:rPr>
          <w:rFonts w:hAnsi="宋体" w:cs="宋体"/>
          <w:shd w:val="clear" w:color="auto" w:fill="FFFFFF"/>
        </w:rPr>
      </w:pPr>
      <w:r>
        <w:rPr>
          <w:rFonts w:hint="eastAsia" w:hAnsi="宋体" w:cs="宋体"/>
          <w:shd w:val="clear" w:color="auto" w:fill="FFFFFF"/>
        </w:rPr>
        <w:t>称</w:t>
      </w:r>
      <w:r>
        <w:t> </w:t>
      </w:r>
      <w:r>
        <w:rPr>
          <w:rFonts w:hint="eastAsia" w:hAnsi="宋体" w:cs="宋体"/>
          <w:shd w:val="clear" w:color="auto" w:fill="FFFFFF"/>
        </w:rPr>
        <w:t>0.5</w:t>
      </w:r>
      <w:r>
        <w:rPr>
          <w:rFonts w:hAnsi="宋体" w:cs="宋体"/>
          <w:shd w:val="clear" w:color="auto" w:fill="FFFFFF"/>
        </w:rPr>
        <w:t xml:space="preserve">00 </w:t>
      </w:r>
      <w:r>
        <w:rPr>
          <w:rFonts w:hint="eastAsia" w:hAnsi="宋体" w:cs="宋体"/>
          <w:shd w:val="clear" w:color="auto" w:fill="FFFFFF"/>
        </w:rPr>
        <w:t>g</w:t>
      </w:r>
      <w:r>
        <w:t> </w:t>
      </w:r>
      <w:r>
        <w:rPr>
          <w:rFonts w:hint="eastAsia" w:hAnsi="宋体" w:cs="宋体"/>
          <w:shd w:val="clear" w:color="auto" w:fill="FFFFFF"/>
        </w:rPr>
        <w:t>烘干样品，置于硬质试管内，加入</w:t>
      </w:r>
      <w:r>
        <w:t> </w:t>
      </w:r>
      <w:r>
        <w:rPr>
          <w:rFonts w:hint="eastAsia" w:hAnsi="宋体" w:cs="宋体"/>
          <w:shd w:val="clear" w:color="auto" w:fill="FFFFFF"/>
        </w:rPr>
        <w:t>0.1</w:t>
      </w:r>
      <w:r>
        <w:rPr>
          <w:rFonts w:hAnsi="宋体" w:cs="宋体"/>
          <w:shd w:val="clear" w:color="auto" w:fill="FFFFFF"/>
        </w:rPr>
        <w:t>00</w:t>
      </w:r>
      <w:r>
        <w:t> </w:t>
      </w:r>
      <w:r>
        <w:rPr>
          <w:rFonts w:hint="eastAsia" w:hAnsi="宋体" w:cs="宋体"/>
          <w:shd w:val="clear" w:color="auto" w:fill="FFFFFF"/>
        </w:rPr>
        <w:t>g硫酸银，用移液管加入</w:t>
      </w:r>
      <w:r>
        <w:t> </w:t>
      </w:r>
      <w:r>
        <w:rPr>
          <w:rFonts w:hint="eastAsia" w:hAnsi="宋体" w:cs="宋体"/>
          <w:shd w:val="clear" w:color="auto" w:fill="FFFFFF"/>
        </w:rPr>
        <w:t>5</w:t>
      </w:r>
      <w:r>
        <w:t> </w:t>
      </w:r>
      <w:r>
        <w:rPr>
          <w:rFonts w:hint="eastAsia" w:hAnsi="宋体" w:cs="宋体"/>
          <w:shd w:val="clear" w:color="auto" w:fill="FFFFFF"/>
        </w:rPr>
        <w:t>mL重铬酸钾标准溶液，再用注射器加浓硫酸</w:t>
      </w:r>
      <w:r>
        <w:t xml:space="preserve"> </w:t>
      </w:r>
      <w:r>
        <w:rPr>
          <w:rFonts w:hint="eastAsia" w:hAnsi="宋体" w:cs="宋体"/>
          <w:shd w:val="clear" w:color="auto" w:fill="FFFFFF"/>
        </w:rPr>
        <w:t>5</w:t>
      </w:r>
      <w:r>
        <w:t xml:space="preserve"> </w:t>
      </w:r>
      <w:r>
        <w:rPr>
          <w:rFonts w:hint="eastAsia" w:hAnsi="宋体" w:cs="宋体"/>
          <w:shd w:val="clear" w:color="auto" w:fill="FFFFFF"/>
        </w:rPr>
        <w:t>mL转动摇匀，事先把油锅烧热到</w:t>
      </w:r>
      <w:r>
        <w:t> </w:t>
      </w:r>
      <w:r>
        <w:rPr>
          <w:rFonts w:hint="eastAsia" w:hAnsi="宋体" w:cs="宋体"/>
          <w:shd w:val="clear" w:color="auto" w:fill="FFFFFF"/>
        </w:rPr>
        <w:t>185</w:t>
      </w:r>
      <w:r>
        <w:t> </w:t>
      </w:r>
      <w:r>
        <w:rPr>
          <w:rFonts w:hint="eastAsia"/>
        </w:rPr>
        <w:t>℃</w:t>
      </w:r>
      <w:r>
        <w:rPr>
          <w:rFonts w:hint="eastAsia" w:hAnsi="宋体" w:cs="宋体"/>
          <w:shd w:val="clear" w:color="auto" w:fill="FFFFFF"/>
        </w:rPr>
        <w:t>-</w:t>
      </w:r>
      <w:r>
        <w:t> </w:t>
      </w:r>
      <w:r>
        <w:rPr>
          <w:rFonts w:hint="eastAsia" w:hAnsi="宋体" w:cs="宋体"/>
          <w:shd w:val="clear" w:color="auto" w:fill="FFFFFF"/>
        </w:rPr>
        <w:t>190</w:t>
      </w:r>
      <w:r>
        <w:t> </w:t>
      </w:r>
      <w:r>
        <w:rPr>
          <w:rFonts w:hint="eastAsia"/>
        </w:rPr>
        <w:t>℃</w:t>
      </w:r>
      <w:r>
        <w:rPr>
          <w:rFonts w:hint="eastAsia" w:hAnsi="宋体" w:cs="宋体"/>
          <w:shd w:val="clear" w:color="auto" w:fill="FFFFFF"/>
        </w:rPr>
        <w:t>，在铁丝笼架上插上放置好样品的硬质试管，再放进油锅里烧热，控制油锅的温度在</w:t>
      </w:r>
      <w:r>
        <w:t> </w:t>
      </w:r>
      <w:r>
        <w:rPr>
          <w:rFonts w:hint="eastAsia" w:hAnsi="宋体" w:cs="宋体"/>
          <w:shd w:val="clear" w:color="auto" w:fill="FFFFFF"/>
        </w:rPr>
        <w:t>170</w:t>
      </w:r>
      <w:r>
        <w:t> </w:t>
      </w:r>
      <w:r>
        <w:rPr>
          <w:rFonts w:hint="eastAsia"/>
        </w:rPr>
        <w:t>℃</w:t>
      </w:r>
      <w:r>
        <w:rPr>
          <w:rFonts w:hint="eastAsia" w:hAnsi="宋体" w:cs="宋体"/>
          <w:shd w:val="clear" w:color="auto" w:fill="FFFFFF"/>
        </w:rPr>
        <w:t>-</w:t>
      </w:r>
      <w:r>
        <w:t xml:space="preserve">  </w:t>
      </w:r>
      <w:r>
        <w:rPr>
          <w:rFonts w:hint="eastAsia" w:hAnsi="宋体" w:cs="宋体"/>
          <w:shd w:val="clear" w:color="auto" w:fill="FFFFFF"/>
        </w:rPr>
        <w:t>180</w:t>
      </w:r>
      <w:r>
        <w:t> </w:t>
      </w:r>
      <w:r>
        <w:rPr>
          <w:rFonts w:hint="eastAsia"/>
        </w:rPr>
        <w:t>℃</w:t>
      </w:r>
      <w:r>
        <w:rPr>
          <w:rFonts w:hint="eastAsia" w:hAnsi="宋体" w:cs="宋体"/>
          <w:shd w:val="clear" w:color="auto" w:fill="FFFFFF"/>
        </w:rPr>
        <w:t>之间，并令溶液持续煮沸5</w:t>
      </w:r>
      <w:r>
        <w:rPr>
          <w:rFonts w:hAnsi="宋体" w:cs="宋体"/>
          <w:shd w:val="clear" w:color="auto" w:fill="FFFFFF"/>
        </w:rPr>
        <w:t xml:space="preserve"> </w:t>
      </w:r>
      <w:r>
        <w:rPr>
          <w:rFonts w:hint="eastAsia" w:hAnsi="宋体" w:cs="宋体"/>
          <w:shd w:val="clear" w:color="auto" w:fill="FFFFFF"/>
        </w:rPr>
        <w:t>min，再拿出铁丝笼架，等试管微冷，把试管放在试管架上。带烧开后如溶液变绿，说明重铬酸钾的量不够，应重称少量试样重做，如溶液为橙黄色或者黄绿色等，待放凉试管消煮液移入</w:t>
      </w:r>
      <w:r>
        <w:t> </w:t>
      </w:r>
      <w:r>
        <w:rPr>
          <w:rFonts w:hint="eastAsia" w:hAnsi="宋体" w:cs="宋体"/>
          <w:shd w:val="clear" w:color="auto" w:fill="FFFFFF"/>
        </w:rPr>
        <w:t>150</w:t>
      </w:r>
      <w:r>
        <w:t> </w:t>
      </w:r>
      <w:r>
        <w:rPr>
          <w:rFonts w:hint="eastAsia" w:hAnsi="宋体" w:cs="宋体"/>
          <w:shd w:val="clear" w:color="auto" w:fill="FFFFFF"/>
        </w:rPr>
        <w:t>mL锥形瓶，再加入四滴邻菲啰啉指示剂，将残余重铬酸钾以浓度为</w:t>
      </w:r>
      <w:r>
        <w:t> </w:t>
      </w:r>
      <w:r>
        <w:rPr>
          <w:rFonts w:hint="eastAsia" w:hAnsi="宋体" w:cs="宋体"/>
          <w:shd w:val="clear" w:color="auto" w:fill="FFFFFF"/>
        </w:rPr>
        <w:t>0.2</w:t>
      </w:r>
      <w:r>
        <w:rPr>
          <w:rFonts w:hAnsi="宋体" w:cs="宋体"/>
          <w:shd w:val="clear" w:color="auto" w:fill="FFFFFF"/>
        </w:rPr>
        <w:t>00</w:t>
      </w:r>
      <w:r>
        <w:t> </w:t>
      </w:r>
      <w:r>
        <w:rPr>
          <w:rFonts w:hint="eastAsia" w:hAnsi="宋体" w:cs="宋体"/>
          <w:shd w:val="clear" w:color="auto" w:fill="FFFFFF"/>
        </w:rPr>
        <w:t>mol/L的硫酸亚铁铵标准溶液进行滴定，待溶液从橙黄色到棕红色，记录硫酸亚铁铵溶液的体积。根据实验结果计算出每一批次所需重铬酸钾的量。同时制作两个空白试样，在空白试管内加入</w:t>
      </w:r>
      <w:r>
        <w:t> </w:t>
      </w:r>
      <w:r>
        <w:rPr>
          <w:rFonts w:hint="eastAsia" w:hAnsi="宋体" w:cs="宋体"/>
          <w:shd w:val="clear" w:color="auto" w:fill="FFFFFF"/>
        </w:rPr>
        <w:t>0.5</w:t>
      </w:r>
      <w:r>
        <w:rPr>
          <w:rFonts w:hAnsi="宋体" w:cs="宋体"/>
          <w:shd w:val="clear" w:color="auto" w:fill="FFFFFF"/>
        </w:rPr>
        <w:t>00</w:t>
      </w:r>
      <w:r>
        <w:t> </w:t>
      </w:r>
      <w:r>
        <w:rPr>
          <w:rFonts w:hint="eastAsia" w:hAnsi="宋体" w:cs="宋体"/>
          <w:shd w:val="clear" w:color="auto" w:fill="FFFFFF"/>
        </w:rPr>
        <w:t>g石英砂，其他步骤与试样分析过程相同，对硫酸亚铁铵溶液的体积进行记录。</w:t>
      </w:r>
    </w:p>
    <w:p>
      <w:pPr>
        <w:pStyle w:val="76"/>
        <w:ind w:firstLine="360"/>
        <w:rPr>
          <w:rFonts w:hAnsi="宋体" w:cs="宋体"/>
          <w:sz w:val="18"/>
          <w:szCs w:val="18"/>
          <w:shd w:val="clear" w:color="auto" w:fill="FFFFFF"/>
        </w:rPr>
      </w:pPr>
      <w:r>
        <w:rPr>
          <w:rFonts w:hint="eastAsia" w:hAnsi="宋体" w:cs="宋体"/>
          <w:sz w:val="18"/>
          <w:szCs w:val="18"/>
          <w:shd w:val="clear" w:color="auto" w:fill="FFFFFF"/>
        </w:rPr>
        <w:t>注：重铬酸钾标准溶液的制作：称取</w:t>
      </w:r>
      <w:r>
        <w:t> </w:t>
      </w:r>
      <w:r>
        <w:rPr>
          <w:rFonts w:hint="eastAsia" w:hAnsi="宋体" w:cs="宋体"/>
          <w:sz w:val="18"/>
          <w:szCs w:val="18"/>
          <w:shd w:val="clear" w:color="auto" w:fill="FFFFFF"/>
        </w:rPr>
        <w:t>5</w:t>
      </w:r>
      <w:r>
        <w:t> </w:t>
      </w:r>
      <w:r>
        <w:rPr>
          <w:rFonts w:hint="eastAsia" w:hAnsi="宋体" w:cs="宋体"/>
          <w:sz w:val="18"/>
          <w:szCs w:val="18"/>
          <w:shd w:val="clear" w:color="auto" w:fill="FFFFFF"/>
        </w:rPr>
        <w:t>g重铬酸钾，溶于</w:t>
      </w:r>
      <w:r>
        <w:t> </w:t>
      </w:r>
      <w:r>
        <w:rPr>
          <w:rFonts w:hint="eastAsia" w:hAnsi="宋体" w:cs="宋体"/>
          <w:sz w:val="18"/>
          <w:szCs w:val="18"/>
          <w:shd w:val="clear" w:color="auto" w:fill="FFFFFF"/>
        </w:rPr>
        <w:t>1000</w:t>
      </w:r>
      <w:r>
        <w:t> </w:t>
      </w:r>
      <w:r>
        <w:rPr>
          <w:rFonts w:hint="eastAsia" w:hAnsi="宋体" w:cs="宋体"/>
          <w:sz w:val="18"/>
          <w:szCs w:val="18"/>
          <w:shd w:val="clear" w:color="auto" w:fill="FFFFFF"/>
        </w:rPr>
        <w:t>ml水中,溶解摇匀即可。</w:t>
      </w:r>
    </w:p>
    <w:p>
      <w:pPr>
        <w:pStyle w:val="76"/>
        <w:ind w:firstLine="360"/>
        <w:rPr>
          <w:rFonts w:hAnsi="宋体" w:cs="宋体"/>
          <w:shd w:val="clear" w:color="auto" w:fill="FFFFFF"/>
        </w:rPr>
      </w:pPr>
      <w:r>
        <w:rPr>
          <w:rFonts w:hint="eastAsia" w:hAnsi="宋体" w:cs="宋体"/>
          <w:sz w:val="18"/>
          <w:szCs w:val="18"/>
          <w:shd w:val="clear" w:color="auto" w:fill="FFFFFF"/>
        </w:rPr>
        <w:t>邻菲啰啉指示剂的制作：</w:t>
      </w:r>
      <w:r>
        <w:t> </w:t>
      </w:r>
      <w:r>
        <w:rPr>
          <w:rStyle w:val="47"/>
          <w:rFonts w:hint="eastAsia" w:hAnsi="宋体" w:cs="宋体"/>
          <w:b w:val="0"/>
          <w:bCs w:val="0"/>
          <w:color w:val="111111"/>
          <w:sz w:val="18"/>
          <w:szCs w:val="18"/>
        </w:rPr>
        <w:t>1.485</w:t>
      </w:r>
      <w:r>
        <w:t> </w:t>
      </w:r>
      <w:r>
        <w:rPr>
          <w:rStyle w:val="47"/>
          <w:rFonts w:hint="eastAsia" w:hAnsi="宋体" w:cs="宋体"/>
          <w:b w:val="0"/>
          <w:bCs w:val="0"/>
          <w:color w:val="111111"/>
          <w:sz w:val="18"/>
          <w:szCs w:val="18"/>
        </w:rPr>
        <w:t>g邻二氮菲+</w:t>
      </w:r>
      <w:r>
        <w:t> </w:t>
      </w:r>
      <w:r>
        <w:rPr>
          <w:rStyle w:val="47"/>
          <w:rFonts w:hint="eastAsia" w:hAnsi="宋体" w:cs="宋体"/>
          <w:b w:val="0"/>
          <w:bCs w:val="0"/>
          <w:color w:val="111111"/>
          <w:sz w:val="18"/>
          <w:szCs w:val="18"/>
        </w:rPr>
        <w:t>0.695</w:t>
      </w:r>
      <w:r>
        <w:t> </w:t>
      </w:r>
      <w:r>
        <w:rPr>
          <w:rStyle w:val="47"/>
          <w:rFonts w:hint="eastAsia" w:hAnsi="宋体" w:cs="宋体"/>
          <w:b w:val="0"/>
          <w:bCs w:val="0"/>
          <w:color w:val="111111"/>
          <w:sz w:val="18"/>
          <w:szCs w:val="18"/>
        </w:rPr>
        <w:t>g硫酸亚铁溶于</w:t>
      </w:r>
      <w:r>
        <w:t> </w:t>
      </w:r>
      <w:r>
        <w:rPr>
          <w:rStyle w:val="47"/>
          <w:rFonts w:hint="eastAsia" w:hAnsi="宋体" w:cs="宋体"/>
          <w:b w:val="0"/>
          <w:bCs w:val="0"/>
          <w:color w:val="111111"/>
          <w:sz w:val="18"/>
          <w:szCs w:val="18"/>
        </w:rPr>
        <w:t>100</w:t>
      </w:r>
      <w:r>
        <w:t> </w:t>
      </w:r>
      <w:r>
        <w:rPr>
          <w:rStyle w:val="47"/>
          <w:rFonts w:hint="eastAsia" w:hAnsi="宋体" w:cs="宋体"/>
          <w:b w:val="0"/>
          <w:bCs w:val="0"/>
          <w:color w:val="111111"/>
          <w:sz w:val="18"/>
          <w:szCs w:val="18"/>
        </w:rPr>
        <w:t>ml水</w:t>
      </w:r>
      <w:r>
        <w:rPr>
          <w:rFonts w:hint="eastAsia" w:hAnsi="宋体" w:cs="宋体"/>
          <w:color w:val="111111"/>
          <w:sz w:val="18"/>
          <w:szCs w:val="18"/>
          <w:shd w:val="clear" w:color="auto" w:fill="FFFFFF"/>
        </w:rPr>
        <w:t>，溶解混匀即可。</w:t>
      </w:r>
    </w:p>
    <w:p>
      <w:pPr>
        <w:pStyle w:val="133"/>
        <w:rPr>
          <w:rFonts w:cs="宋体"/>
        </w:rPr>
      </w:pPr>
      <w:r>
        <w:rPr>
          <w:rFonts w:hint="eastAsia" w:cs="宋体"/>
        </w:rPr>
        <w:tab/>
      </w:r>
      <m:oMath>
        <m:r>
          <m:rPr/>
          <w:rPr>
            <w:rFonts w:ascii="Cambria Math" w:hAnsi="Cambria Math"/>
          </w:rPr>
          <m:t>CF=</m:t>
        </m:r>
        <m:f>
          <m:fPr>
            <m:ctrlPr>
              <w:rPr>
                <w:rFonts w:ascii="Cambria Math" w:hAnsi="Cambria Math"/>
                <w:i/>
              </w:rPr>
            </m:ctrlPr>
          </m:fPr>
          <m:num>
            <m:r>
              <m:rPr/>
              <w:rPr>
                <w:rFonts w:ascii="Cambria Math" w:hAnsi="Cambria Math"/>
              </w:rPr>
              <m:t>0.800×5</m:t>
            </m:r>
            <m:ctrlPr>
              <w:rPr>
                <w:rFonts w:ascii="Cambria Math" w:hAnsi="Cambria Math"/>
                <w:i/>
              </w:rPr>
            </m:ctrlPr>
          </m:num>
          <m:den>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−V)×0.003×1.10</m:t>
            </m:r>
            <m:ctrlPr>
              <w:rPr>
                <w:rFonts w:ascii="Cambria Math" w:hAnsi="Cambria Math"/>
                <w:i/>
              </w:rPr>
            </m:ctrlPr>
          </m:den>
        </m:f>
        <m:r>
          <m:rPr/>
          <w:rPr>
            <w:rFonts w:ascii="Cambria Math" w:hAnsi="Cambria Math"/>
          </w:rPr>
          <m:t>×</m:t>
        </m:r>
        <m:f>
          <m:fPr>
            <m:ctrlPr>
              <w:rPr>
                <w:rFonts w:ascii="Cambria Math" w:hAnsi="Cambria Math"/>
                <w:i/>
              </w:rPr>
            </m:ctrlPr>
          </m:fPr>
          <m:num>
            <m:r>
              <m:rPr/>
              <w:rPr>
                <w:rFonts w:ascii="Cambria Math" w:hAnsi="Cambria Math"/>
              </w:rPr>
              <m:t>100</m:t>
            </m:r>
            <m:ctrlPr>
              <w:rPr>
                <w:rFonts w:ascii="Cambria Math" w:hAnsi="Cambria Math"/>
                <w:i/>
              </w:rPr>
            </m:ctrlPr>
          </m:num>
          <m:den>
            <m:r>
              <m:rPr/>
              <w:rPr>
                <w:rFonts w:ascii="Cambria Math" w:hAnsi="Cambria Math"/>
              </w:rPr>
              <m:t>m</m:t>
            </m:r>
            <m:ctrlPr>
              <w:rPr>
                <w:rFonts w:ascii="Cambria Math" w:hAnsi="Cambria Math"/>
                <w:i/>
              </w:rPr>
            </m:ctrlPr>
          </m:den>
        </m:f>
      </m:oMath>
      <w:r>
        <w:rPr>
          <w:rFonts w:hint="eastAsia" w:cs="宋体"/>
        </w:rPr>
        <w:tab/>
      </w:r>
      <w:r>
        <w:rPr>
          <w:rFonts w:hint="eastAsia" w:cs="宋体"/>
        </w:rPr>
        <w:t>(</w:t>
      </w:r>
      <w:r>
        <w:rPr>
          <w:rFonts w:hint="eastAsia" w:cs="宋体"/>
        </w:rPr>
        <w:fldChar w:fldCharType="begin"/>
      </w:r>
      <w:r>
        <w:rPr>
          <w:rFonts w:hint="eastAsia" w:cs="宋体"/>
        </w:rPr>
        <w:instrText xml:space="preserve"> AUTONUM </w:instrText>
      </w:r>
      <w:r>
        <w:rPr>
          <w:rFonts w:hint="eastAsia" w:cs="宋体"/>
        </w:rPr>
        <w:fldChar w:fldCharType="end"/>
      </w:r>
      <w:r>
        <w:rPr>
          <w:rFonts w:hint="eastAsia" w:cs="宋体"/>
        </w:rPr>
        <w:t>)</w:t>
      </w:r>
    </w:p>
    <w:p>
      <w:pPr>
        <w:pStyle w:val="75"/>
        <w:ind w:firstLine="420"/>
        <w:rPr>
          <w:rFonts w:ascii="宋体" w:hAnsi="宋体" w:cs="宋体"/>
        </w:rPr>
      </w:pPr>
      <w:r>
        <w:rPr>
          <w:rFonts w:hint="eastAsia" w:ascii="宋体" w:hAnsi="宋体" w:cs="宋体"/>
        </w:rPr>
        <w:t>式中：</w:t>
      </w:r>
    </w:p>
    <w:p>
      <w:pPr>
        <w:pStyle w:val="76"/>
        <w:ind w:firstLine="420"/>
        <w:rPr>
          <w:rFonts w:hAnsi="宋体" w:cs="宋体"/>
        </w:rPr>
      </w:pPr>
      <w:r>
        <w:rPr>
          <w:rFonts w:hint="eastAsia" w:hAnsi="宋体" w:cs="宋体"/>
        </w:rPr>
        <w:t>0.800      ——为重铬酸钾标准溶液的浓度，单位为摩尔每升（mol/L）;</w:t>
      </w:r>
    </w:p>
    <w:p>
      <w:pPr>
        <w:pStyle w:val="76"/>
        <w:ind w:firstLine="420"/>
        <w:rPr>
          <w:rFonts w:hAnsi="宋体" w:cs="宋体"/>
        </w:rPr>
      </w:pPr>
      <w:bookmarkStart w:id="190" w:name="_Toc30275"/>
      <w:r>
        <w:rPr>
          <w:rFonts w:hint="eastAsia" w:hAnsi="宋体" w:cs="宋体"/>
        </w:rPr>
        <w:t>5</w:t>
      </w:r>
      <w:r>
        <w:rPr>
          <w:rFonts w:hAnsi="宋体" w:cs="宋体"/>
        </w:rPr>
        <w:t xml:space="preserve">    </w:t>
      </w:r>
      <w:r>
        <w:rPr>
          <w:rFonts w:hint="eastAsia" w:hAnsi="宋体" w:cs="宋体"/>
        </w:rPr>
        <w:t xml:space="preserve">      ——为重铬酸钾标准溶液的体积，单位为毫升（mL）;</w:t>
      </w:r>
      <w:bookmarkEnd w:id="190"/>
    </w:p>
    <w:p>
      <w:pPr>
        <w:pStyle w:val="76"/>
        <w:ind w:firstLine="420"/>
        <w:rPr>
          <w:rFonts w:hAnsi="宋体" w:cs="宋体"/>
        </w:rPr>
      </w:pPr>
      <m:oMath>
        <m:sSub>
          <m:sSubPr>
            <m:ctrlPr>
              <w:rPr>
                <w:rFonts w:hint="eastAsia" w:ascii="Cambria Math" w:hAnsi="Cambria Math" w:cs="宋体"/>
              </w:rPr>
            </m:ctrlPr>
          </m:sSubPr>
          <m:e>
            <m:r>
              <m:rPr>
                <m:sty m:val="p"/>
              </m:rPr>
              <w:rPr>
                <w:rFonts w:hint="eastAsia" w:ascii="Cambria Math" w:hAnsi="Cambria Math" w:cs="宋体"/>
              </w:rPr>
              <m:t>V</m:t>
            </m:r>
            <m:ctrlPr>
              <w:rPr>
                <w:rFonts w:hint="eastAsia" w:ascii="Cambria Math" w:hAnsi="Cambria Math" w:cs="宋体"/>
              </w:rPr>
            </m:ctrlPr>
          </m:e>
          <m:sub>
            <m:r>
              <m:rPr>
                <m:sty m:val="p"/>
              </m:rPr>
              <w:rPr>
                <w:rFonts w:hint="eastAsia" w:ascii="Cambria Math" w:hAnsi="Cambria Math" w:cs="宋体"/>
              </w:rPr>
              <m:t>0</m:t>
            </m:r>
            <m:ctrlPr>
              <w:rPr>
                <w:rFonts w:hint="eastAsia" w:ascii="Cambria Math" w:hAnsi="Cambria Math" w:cs="宋体"/>
              </w:rPr>
            </m:ctrlPr>
          </m:sub>
        </m:sSub>
      </m:oMath>
      <w:r>
        <w:rPr>
          <w:rFonts w:hint="eastAsia" w:hAnsi="宋体" w:cs="宋体"/>
        </w:rPr>
        <w:t xml:space="preserve">         ——为空白消耗硫酸亚铁铵标准溶液的体积，单位为毫升（mL）;</w:t>
      </w:r>
    </w:p>
    <w:p>
      <w:pPr>
        <w:pStyle w:val="76"/>
        <w:ind w:firstLine="420"/>
        <w:rPr>
          <w:rFonts w:hAnsi="宋体" w:cs="宋体"/>
        </w:rPr>
      </w:pPr>
      <m:oMath>
        <m:r>
          <m:rPr>
            <m:sty m:val="p"/>
          </m:rPr>
          <w:rPr>
            <w:rFonts w:hint="eastAsia" w:ascii="Cambria Math" w:hAnsi="Cambria Math" w:cs="宋体"/>
          </w:rPr>
          <m:t>V</m:t>
        </m:r>
      </m:oMath>
      <w:r>
        <w:rPr>
          <w:rFonts w:hint="eastAsia" w:hAnsi="宋体" w:cs="宋体"/>
        </w:rPr>
        <w:t xml:space="preserve">          ——为试样消耗硫酸亚铁铵标准溶液体积，单位为毫升（mL）;</w:t>
      </w:r>
    </w:p>
    <w:p>
      <w:pPr>
        <w:pStyle w:val="76"/>
        <w:ind w:firstLine="420"/>
        <w:rPr>
          <w:rFonts w:hAnsi="宋体" w:cs="宋体"/>
        </w:rPr>
      </w:pPr>
      <w:r>
        <w:rPr>
          <w:rFonts w:hint="eastAsia" w:hAnsi="宋体" w:cs="宋体"/>
        </w:rPr>
        <w:t>0.003      ——为1/4碳原子的毫摩尔质量，单位为克每摩尔（g/mol）;</w:t>
      </w:r>
    </w:p>
    <w:p>
      <w:pPr>
        <w:pStyle w:val="76"/>
        <w:ind w:firstLine="420"/>
        <w:rPr>
          <w:rFonts w:hAnsi="宋体" w:cs="宋体"/>
        </w:rPr>
      </w:pPr>
      <w:bookmarkStart w:id="191" w:name="_Toc23194"/>
      <w:r>
        <w:rPr>
          <w:rFonts w:hint="eastAsia" w:hAnsi="宋体" w:cs="宋体"/>
        </w:rPr>
        <w:t>1.100      ——为氧化校正系数；</w:t>
      </w:r>
      <w:bookmarkEnd w:id="191"/>
    </w:p>
    <w:p>
      <w:pPr>
        <w:pStyle w:val="76"/>
        <w:ind w:firstLine="420"/>
        <w:rPr>
          <w:rFonts w:hAnsi="宋体" w:cs="宋体"/>
        </w:rPr>
      </w:pPr>
      <m:oMath>
        <m:r>
          <m:rPr>
            <m:sty m:val="p"/>
          </m:rPr>
          <w:rPr>
            <w:rFonts w:hint="eastAsia" w:ascii="Cambria Math" w:hAnsi="Cambria Math" w:cs="宋体"/>
          </w:rPr>
          <m:t>m</m:t>
        </m:r>
      </m:oMath>
      <w:r>
        <w:rPr>
          <w:rFonts w:hint="eastAsia" w:hAnsi="宋体" w:cs="宋体"/>
        </w:rPr>
        <w:t xml:space="preserve">         </w:t>
      </w:r>
      <w:r>
        <w:t> </w:t>
      </w:r>
      <w:r>
        <w:rPr>
          <w:rFonts w:hint="eastAsia" w:hAnsi="宋体" w:cs="宋体"/>
        </w:rPr>
        <w:t>——为样品质量，单位为克（g）。</w:t>
      </w:r>
    </w:p>
    <w:p>
      <w:pPr>
        <w:pStyle w:val="85"/>
        <w:spacing w:before="156" w:after="156"/>
      </w:pPr>
      <w:bookmarkStart w:id="192" w:name="_Toc25574"/>
      <w:bookmarkStart w:id="193" w:name="_Toc142550512"/>
      <w:bookmarkStart w:id="194" w:name="_Toc142470976"/>
      <w:bookmarkStart w:id="195" w:name="_Toc142550465"/>
      <w:bookmarkStart w:id="196" w:name="_Toc146472720"/>
      <w:r>
        <w:rPr>
          <w:rFonts w:hint="eastAsia"/>
        </w:rPr>
        <w:t>生物量法</w:t>
      </w:r>
      <w:bookmarkEnd w:id="192"/>
      <w:bookmarkEnd w:id="193"/>
      <w:bookmarkEnd w:id="194"/>
      <w:bookmarkEnd w:id="195"/>
      <w:bookmarkEnd w:id="196"/>
    </w:p>
    <w:p>
      <w:pPr>
        <w:pStyle w:val="114"/>
        <w:spacing w:before="156" w:after="156"/>
      </w:pPr>
      <w:r>
        <w:rPr>
          <w:rFonts w:hint="eastAsia"/>
        </w:rPr>
        <w:t>乔木层</w:t>
      </w:r>
    </w:p>
    <w:p>
      <w:pPr>
        <w:pStyle w:val="76"/>
        <w:ind w:firstLine="420"/>
      </w:pPr>
      <w:r>
        <w:t>乔木层碳储量应</w:t>
      </w:r>
      <w:r>
        <w:rPr>
          <w:rFonts w:hint="eastAsia"/>
        </w:rPr>
        <w:t>采用</w:t>
      </w:r>
      <w:r>
        <w:t>组成林分各树种的平均单位面积生物量、树种含碳率及</w:t>
      </w:r>
      <w:r>
        <w:rPr>
          <w:rFonts w:hint="eastAsia"/>
        </w:rPr>
        <w:t>乔木层</w:t>
      </w:r>
      <w:r>
        <w:t>面积，采用以下公式</w:t>
      </w:r>
      <w:r>
        <w:rPr>
          <w:rFonts w:hint="eastAsia"/>
        </w:rPr>
        <w:t>获得</w:t>
      </w:r>
      <w:r>
        <w:t>：</w:t>
      </w:r>
    </w:p>
    <w:p>
      <w:pPr>
        <w:pStyle w:val="133"/>
      </w:pPr>
      <w:r>
        <w:tab/>
      </w:r>
      <m:oMath>
        <m:sSub>
          <m:sSubPr>
            <m:ctrlPr>
              <w:rPr>
                <w:rFonts w:ascii="Cambria Math" w:hAnsi="Cambria Math"/>
                <w:kern w:val="0"/>
                <w:szCs w:val="20"/>
              </w:rPr>
            </m:ctrlPr>
          </m:sSubPr>
          <m:e>
            <m:r>
              <m:rPr>
                <m:sty m:val="p"/>
              </m:rPr>
              <w:rPr>
                <w:rFonts w:ascii="Cambria Math" w:hAnsi="Cambria Math"/>
                <w:kern w:val="0"/>
                <w:szCs w:val="20"/>
              </w:rPr>
              <m:t>C</m:t>
            </m:r>
            <m:ctrlPr>
              <w:rPr>
                <w:rFonts w:ascii="Cambria Math" w:hAnsi="Cambria Math"/>
                <w:kern w:val="0"/>
                <w:szCs w:val="20"/>
              </w:rPr>
            </m:ctrlPr>
          </m:e>
          <m:sub>
            <m:r>
              <m:rPr>
                <m:sty m:val="p"/>
              </m:rPr>
              <w:rPr>
                <w:rFonts w:hint="eastAsia" w:ascii="Cambria Math" w:hAnsi="Cambria Math"/>
                <w:kern w:val="0"/>
                <w:szCs w:val="20"/>
              </w:rPr>
              <m:t>乔木</m:t>
            </m:r>
            <m:ctrlPr>
              <w:rPr>
                <w:rFonts w:ascii="Cambria Math" w:hAnsi="Cambria Math"/>
                <w:kern w:val="0"/>
                <w:szCs w:val="20"/>
              </w:rPr>
            </m:ctrlPr>
          </m:sub>
        </m:sSub>
        <m:r>
          <m:rPr>
            <m:sty m:val="p"/>
          </m:rPr>
          <w:rPr>
            <w:rFonts w:ascii="Cambria Math" w:hAnsi="Cambria Math"/>
            <w:kern w:val="0"/>
            <w:szCs w:val="20"/>
          </w:rPr>
          <m:t>=</m:t>
        </m:r>
        <m:nary>
          <m:naryPr>
            <m:chr m:val="∑"/>
            <m:limLoc m:val="subSup"/>
            <m:ctrlPr>
              <w:rPr>
                <w:rFonts w:ascii="Cambria Math" w:hAnsi="Cambria Math"/>
                <w:kern w:val="0"/>
                <w:szCs w:val="20"/>
              </w:rPr>
            </m:ctrlPr>
          </m:naryPr>
          <m:sub>
            <m:r>
              <m:rPr>
                <m:sty m:val="p"/>
              </m:rPr>
              <w:rPr>
                <w:rFonts w:ascii="Cambria Math" w:hAnsi="Cambria Math"/>
                <w:kern w:val="0"/>
                <w:szCs w:val="20"/>
              </w:rPr>
              <m:t>k=1</m:t>
            </m:r>
            <m:ctrlPr>
              <w:rPr>
                <w:rFonts w:ascii="Cambria Math" w:hAnsi="Cambria Math"/>
                <w:kern w:val="0"/>
                <w:szCs w:val="20"/>
              </w:rPr>
            </m:ctrlPr>
          </m:sub>
          <m:sup>
            <m:r>
              <m:rPr>
                <m:sty m:val="p"/>
              </m:rPr>
              <w:rPr>
                <w:rFonts w:ascii="Cambria Math" w:hAnsi="Cambria Math"/>
                <w:kern w:val="0"/>
                <w:szCs w:val="20"/>
              </w:rPr>
              <m:t>n</m:t>
            </m:r>
            <m:ctrlPr>
              <w:rPr>
                <w:rFonts w:ascii="Cambria Math" w:hAnsi="Cambria Math"/>
                <w:kern w:val="0"/>
                <w:szCs w:val="20"/>
              </w:rPr>
            </m:ctrlPr>
          </m:sup>
          <m:e>
            <m:r>
              <m:rPr>
                <m:sty m:val="p"/>
              </m:rPr>
              <w:rPr>
                <w:rFonts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B</m:t>
                </m:r>
                <m:ctrlPr>
                  <w:rPr>
                    <w:rFonts w:ascii="Cambria Math" w:hAnsi="Cambria Math"/>
                    <w:kern w:val="0"/>
                    <w:szCs w:val="20"/>
                  </w:rPr>
                </m:ctrlPr>
              </m:e>
              <m:sub>
                <m:r>
                  <m:rPr>
                    <m:sty m:val="p"/>
                  </m:rPr>
                  <w:rPr>
                    <w:rFonts w:hint="eastAsia" w:ascii="Cambria Math" w:hAnsi="Cambria Math"/>
                    <w:kern w:val="0"/>
                    <w:szCs w:val="20"/>
                  </w:rPr>
                  <m:t>乔木地上生物量</m:t>
                </m:r>
                <m:r>
                  <m:rPr>
                    <m:sty m:val="p"/>
                  </m:rPr>
                  <w:rPr>
                    <w:rFonts w:ascii="Cambria Math" w:hAnsi="Cambria Math"/>
                    <w:kern w:val="0"/>
                    <w:szCs w:val="20"/>
                  </w:rPr>
                  <m:t>,k</m:t>
                </m:r>
                <m:ctrlPr>
                  <w:rPr>
                    <w:rFonts w:ascii="Cambria Math" w:hAnsi="Cambria Math"/>
                    <w:kern w:val="0"/>
                    <w:szCs w:val="20"/>
                  </w:rPr>
                </m:ctrlPr>
              </m:sub>
            </m:sSub>
            <m:r>
              <m:rPr>
                <m:sty m:val="p"/>
              </m:rPr>
              <w:rPr>
                <w:rFonts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CF</m:t>
                </m:r>
                <m:ctrlPr>
                  <w:rPr>
                    <w:rFonts w:ascii="Cambria Math" w:hAnsi="Cambria Math"/>
                    <w:kern w:val="0"/>
                    <w:szCs w:val="20"/>
                  </w:rPr>
                </m:ctrlPr>
              </m:e>
              <m:sub>
                <m:r>
                  <m:rPr>
                    <m:sty m:val="p"/>
                  </m:rPr>
                  <w:rPr>
                    <w:rFonts w:hint="eastAsia" w:ascii="Cambria Math" w:hAnsi="Cambria Math"/>
                    <w:kern w:val="0"/>
                    <w:szCs w:val="20"/>
                  </w:rPr>
                  <m:t>乔木</m:t>
                </m:r>
                <m:r>
                  <m:rPr>
                    <m:sty m:val="p"/>
                  </m:rPr>
                  <w:rPr>
                    <w:rFonts w:ascii="Cambria Math" w:hAnsi="Cambria Math"/>
                    <w:kern w:val="0"/>
                    <w:szCs w:val="20"/>
                  </w:rPr>
                  <m:t>,k</m:t>
                </m:r>
                <m:ctrlPr>
                  <w:rPr>
                    <w:rFonts w:ascii="Cambria Math" w:hAnsi="Cambria Math"/>
                    <w:kern w:val="0"/>
                    <w:szCs w:val="20"/>
                  </w:rPr>
                </m:ctrlPr>
              </m:sub>
            </m:sSub>
            <m:r>
              <m:rPr>
                <m:sty m:val="p"/>
              </m:rPr>
              <w:rPr>
                <w:rFonts w:ascii="Cambria Math" w:hAnsi="Cambria Math"/>
                <w:kern w:val="0"/>
                <w:szCs w:val="20"/>
              </w:rPr>
              <m:t>)×S</m:t>
            </m:r>
            <m:ctrlPr>
              <w:rPr>
                <w:rFonts w:ascii="Cambria Math" w:hAnsi="Cambria Math"/>
                <w:kern w:val="0"/>
                <w:szCs w:val="20"/>
              </w:rPr>
            </m:ctrlPr>
          </m:e>
        </m:nary>
        <m:r>
          <m:rPr/>
          <w:rPr>
            <w:rFonts w:ascii="Cambria Math" w:hAnsi="Cambria Math"/>
          </w:rPr>
          <m:t xml:space="preserve"> </m:t>
        </m:r>
      </m:oMath>
      <w:r>
        <w:rPr>
          <w:rFonts w:ascii="微软雅黑" w:hAnsi="微软雅黑" w:eastAsia="微软雅黑"/>
        </w:rPr>
        <w:tab/>
      </w:r>
      <w:r>
        <w:t>(</w:t>
      </w:r>
      <w:r>
        <w:rPr>
          <w:rFonts w:hint="eastAsia"/>
        </w:rPr>
        <w:t>2</w:t>
      </w:r>
      <w:r>
        <w:t>)</w:t>
      </w:r>
    </w:p>
    <w:p>
      <w:pPr>
        <w:pStyle w:val="75"/>
        <w:ind w:firstLine="420"/>
      </w:pPr>
      <w:r>
        <w:rPr>
          <w:rFonts w:hint="eastAsia"/>
        </w:rPr>
        <w:t>式中：</w:t>
      </w:r>
    </w:p>
    <w:p>
      <w:pPr>
        <w:adjustRightInd/>
        <w:ind w:firstLine="420" w:firstLineChars="200"/>
        <w:rPr>
          <w:rFonts w:ascii="Times New Roman" w:hAnsi="Times New Roman"/>
          <w:kern w:val="0"/>
          <w:szCs w:val="20"/>
        </w:rPr>
      </w:pPr>
      <m:oMath>
        <m:sSub>
          <m:sSubPr>
            <m:ctrlPr>
              <w:rPr>
                <w:rFonts w:ascii="Cambria Math" w:hAnsi="Cambria Math"/>
                <w:kern w:val="0"/>
                <w:szCs w:val="20"/>
              </w:rPr>
            </m:ctrlPr>
          </m:sSubPr>
          <m:e>
            <m:r>
              <m:rPr>
                <m:sty m:val="p"/>
              </m:rPr>
              <w:rPr>
                <w:rFonts w:ascii="Cambria Math" w:hAnsi="Cambria Math"/>
                <w:kern w:val="0"/>
                <w:szCs w:val="20"/>
              </w:rPr>
              <m:t>C</m:t>
            </m:r>
            <m:ctrlPr>
              <w:rPr>
                <w:rFonts w:ascii="Cambria Math" w:hAnsi="Cambria Math"/>
                <w:kern w:val="0"/>
                <w:szCs w:val="20"/>
              </w:rPr>
            </m:ctrlPr>
          </m:e>
          <m:sub>
            <m:r>
              <m:rPr>
                <m:sty m:val="p"/>
              </m:rPr>
              <w:rPr>
                <w:rFonts w:hint="eastAsia" w:ascii="Cambria Math" w:hAnsi="Cambria Math"/>
                <w:kern w:val="0"/>
                <w:szCs w:val="20"/>
              </w:rPr>
              <m:t>乔木</m:t>
            </m:r>
            <m:ctrlPr>
              <w:rPr>
                <w:rFonts w:ascii="Cambria Math" w:hAnsi="Cambria Math"/>
                <w:kern w:val="0"/>
                <w:szCs w:val="20"/>
              </w:rPr>
            </m:ctrlPr>
          </m:sub>
        </m:sSub>
      </m:oMath>
      <w:r>
        <w:rPr>
          <w:rFonts w:hint="eastAsia" w:ascii="Times New Roman" w:hAnsi="Times New Roman"/>
          <w:kern w:val="0"/>
          <w:szCs w:val="20"/>
        </w:rPr>
        <w:t xml:space="preserve">           ——为乔木生物质碳储量，单位为吨（t）；</w:t>
      </w:r>
    </w:p>
    <w:p>
      <w:pPr>
        <w:adjustRightInd/>
        <w:ind w:firstLine="420" w:firstLineChars="200"/>
        <w:rPr>
          <w:rFonts w:ascii="Times New Roman" w:hAnsi="Times New Roman"/>
          <w:kern w:val="0"/>
          <w:szCs w:val="20"/>
        </w:rPr>
      </w:pPr>
      <w:r>
        <w:rPr>
          <w:rFonts w:hint="eastAsia" w:ascii="Times New Roman" w:hAnsi="Times New Roman"/>
          <w:kern w:val="0"/>
          <w:szCs w:val="20"/>
        </w:rPr>
        <w:t>k=1,2,3...n       ——为组成林分的树种；</w:t>
      </w:r>
    </w:p>
    <w:p>
      <w:pPr>
        <w:adjustRightInd/>
        <w:ind w:firstLine="420" w:firstLineChars="200"/>
        <w:rPr>
          <w:rFonts w:ascii="Times New Roman" w:hAnsi="Times New Roman"/>
          <w:kern w:val="0"/>
          <w:szCs w:val="20"/>
        </w:rPr>
      </w:pPr>
      <m:oMath>
        <m:sSub>
          <m:sSubPr>
            <m:ctrlPr>
              <w:rPr>
                <w:rFonts w:ascii="Cambria Math" w:hAnsi="Cambria Math"/>
                <w:kern w:val="0"/>
                <w:szCs w:val="20"/>
              </w:rPr>
            </m:ctrlPr>
          </m:sSubPr>
          <m:e>
            <m:r>
              <m:rPr>
                <m:sty m:val="p"/>
              </m:rPr>
              <w:rPr>
                <w:rFonts w:ascii="Cambria Math" w:hAnsi="Cambria Math"/>
                <w:kern w:val="0"/>
                <w:szCs w:val="20"/>
              </w:rPr>
              <m:t>B</m:t>
            </m:r>
            <m:ctrlPr>
              <w:rPr>
                <w:rFonts w:ascii="Cambria Math" w:hAnsi="Cambria Math"/>
                <w:kern w:val="0"/>
                <w:szCs w:val="20"/>
              </w:rPr>
            </m:ctrlPr>
          </m:e>
          <m:sub>
            <m:r>
              <m:rPr>
                <m:sty m:val="p"/>
              </m:rPr>
              <w:rPr>
                <w:rFonts w:hint="eastAsia" w:ascii="Cambria Math" w:hAnsi="Cambria Math"/>
                <w:kern w:val="0"/>
                <w:szCs w:val="20"/>
              </w:rPr>
              <m:t>乔木地上生物量</m:t>
            </m:r>
            <m:r>
              <m:rPr>
                <m:sty m:val="p"/>
              </m:rPr>
              <w:rPr>
                <w:rFonts w:ascii="Cambria Math" w:hAnsi="Cambria Math"/>
                <w:kern w:val="0"/>
                <w:szCs w:val="20"/>
              </w:rPr>
              <m:t>,k</m:t>
            </m:r>
            <m:ctrlPr>
              <w:rPr>
                <w:rFonts w:ascii="Cambria Math" w:hAnsi="Cambria Math"/>
                <w:kern w:val="0"/>
                <w:szCs w:val="20"/>
              </w:rPr>
            </m:ctrlPr>
          </m:sub>
        </m:sSub>
      </m:oMath>
      <w:r>
        <w:rPr>
          <w:rFonts w:hint="eastAsia" w:ascii="Times New Roman" w:hAnsi="Times New Roman"/>
          <w:kern w:val="0"/>
          <w:szCs w:val="20"/>
        </w:rPr>
        <w:t xml:space="preserve">   ——为林分中树种k的平均单位面积生物量，单位为吨每公顷（t/hm</w:t>
      </w:r>
      <w:r>
        <w:rPr>
          <w:rFonts w:hint="eastAsia" w:ascii="Times New Roman" w:hAnsi="Times New Roman"/>
          <w:kern w:val="0"/>
          <w:szCs w:val="20"/>
          <w:vertAlign w:val="superscript"/>
        </w:rPr>
        <w:t>2</w:t>
      </w:r>
      <w:r>
        <w:rPr>
          <w:rFonts w:hint="eastAsia" w:ascii="Times New Roman" w:hAnsi="Times New Roman"/>
          <w:kern w:val="0"/>
          <w:szCs w:val="20"/>
        </w:rPr>
        <w:t>）;</w:t>
      </w:r>
    </w:p>
    <w:p>
      <w:pPr>
        <w:adjustRightInd/>
        <w:ind w:firstLine="420" w:firstLineChars="200"/>
        <w:rPr>
          <w:rFonts w:ascii="Times New Roman" w:hAnsi="Times New Roman"/>
          <w:kern w:val="0"/>
          <w:szCs w:val="20"/>
        </w:rPr>
      </w:pPr>
      <m:oMath>
        <m:sSub>
          <m:sSubPr>
            <m:ctrlPr>
              <w:rPr>
                <w:rFonts w:ascii="Cambria Math" w:hAnsi="Cambria Math"/>
                <w:kern w:val="0"/>
                <w:szCs w:val="20"/>
              </w:rPr>
            </m:ctrlPr>
          </m:sSubPr>
          <m:e>
            <m:r>
              <m:rPr>
                <m:sty m:val="p"/>
              </m:rPr>
              <w:rPr>
                <w:rFonts w:ascii="Cambria Math" w:hAnsi="Cambria Math"/>
                <w:kern w:val="0"/>
                <w:szCs w:val="20"/>
              </w:rPr>
              <m:t>CF</m:t>
            </m:r>
            <m:ctrlPr>
              <w:rPr>
                <w:rFonts w:ascii="Cambria Math" w:hAnsi="Cambria Math"/>
                <w:kern w:val="0"/>
                <w:szCs w:val="20"/>
              </w:rPr>
            </m:ctrlPr>
          </m:e>
          <m:sub>
            <m:r>
              <m:rPr>
                <m:sty m:val="p"/>
              </m:rPr>
              <w:rPr>
                <w:rFonts w:hint="eastAsia" w:ascii="Cambria Math" w:hAnsi="Cambria Math"/>
                <w:kern w:val="0"/>
                <w:szCs w:val="20"/>
              </w:rPr>
              <m:t>乔木</m:t>
            </m:r>
            <m:r>
              <m:rPr>
                <m:sty m:val="p"/>
              </m:rPr>
              <w:rPr>
                <w:rFonts w:ascii="Cambria Math" w:hAnsi="Cambria Math"/>
                <w:kern w:val="0"/>
                <w:szCs w:val="20"/>
              </w:rPr>
              <m:t>,k</m:t>
            </m:r>
            <m:ctrlPr>
              <w:rPr>
                <w:rFonts w:ascii="Cambria Math" w:hAnsi="Cambria Math"/>
                <w:kern w:val="0"/>
                <w:szCs w:val="20"/>
              </w:rPr>
            </m:ctrlPr>
          </m:sub>
        </m:sSub>
      </m:oMath>
      <w:r>
        <w:rPr>
          <w:rFonts w:hint="eastAsia" w:ascii="Times New Roman" w:hAnsi="Times New Roman"/>
          <w:kern w:val="0"/>
          <w:szCs w:val="20"/>
        </w:rPr>
        <w:t xml:space="preserve">         ——为树种k的含碳率</w:t>
      </w:r>
      <w:r>
        <w:rPr>
          <w:rFonts w:hint="eastAsia"/>
        </w:rPr>
        <w:t>，单位为</w:t>
      </w:r>
      <w:r>
        <w:rPr>
          <w:rFonts w:hint="eastAsia" w:ascii="宋体" w:hAnsi="Times New Roman"/>
        </w:rPr>
        <w:t>百分比（%）</w:t>
      </w:r>
      <w:r>
        <w:rPr>
          <w:rFonts w:hint="eastAsia" w:ascii="Times New Roman" w:hAnsi="Times New Roman"/>
          <w:kern w:val="0"/>
          <w:szCs w:val="20"/>
        </w:rPr>
        <w:t>;</w:t>
      </w:r>
    </w:p>
    <w:p>
      <w:pPr>
        <w:adjustRightInd/>
        <w:ind w:firstLine="420" w:firstLineChars="200"/>
        <w:rPr>
          <w:rFonts w:ascii="Times New Roman" w:hAnsi="Times New Roman"/>
          <w:kern w:val="0"/>
          <w:szCs w:val="20"/>
        </w:rPr>
      </w:pPr>
      <m:oMath>
        <m:r>
          <m:rPr>
            <m:sty m:val="p"/>
          </m:rPr>
          <w:rPr>
            <w:rFonts w:ascii="Cambria Math" w:hAnsi="Cambria Math"/>
            <w:kern w:val="0"/>
            <w:szCs w:val="20"/>
          </w:rPr>
          <m:t>S</m:t>
        </m:r>
      </m:oMath>
      <w:r>
        <w:rPr>
          <w:rFonts w:hint="eastAsia" w:ascii="Times New Roman" w:hAnsi="Times New Roman"/>
          <w:kern w:val="0"/>
          <w:szCs w:val="20"/>
        </w:rPr>
        <w:t xml:space="preserve">              ——为林分面积，单位为公顷（hm</w:t>
      </w:r>
      <w:r>
        <w:rPr>
          <w:rFonts w:hint="eastAsia" w:ascii="Times New Roman" w:hAnsi="Times New Roman"/>
          <w:kern w:val="0"/>
          <w:szCs w:val="20"/>
          <w:vertAlign w:val="superscript"/>
        </w:rPr>
        <w:t>2</w:t>
      </w:r>
      <w:r>
        <w:rPr>
          <w:rFonts w:hint="eastAsia" w:ascii="Times New Roman" w:hAnsi="Times New Roman"/>
          <w:kern w:val="0"/>
          <w:szCs w:val="20"/>
        </w:rPr>
        <w:t>）。</w:t>
      </w:r>
    </w:p>
    <w:p>
      <w:pPr>
        <w:pStyle w:val="76"/>
        <w:ind w:firstLine="420"/>
      </w:pPr>
    </w:p>
    <w:p>
      <w:pPr>
        <w:pStyle w:val="114"/>
        <w:spacing w:before="156" w:after="156"/>
      </w:pPr>
      <w:bookmarkStart w:id="197" w:name="_Toc142550466"/>
      <w:bookmarkStart w:id="198" w:name="_Toc142470977"/>
      <w:r>
        <w:rPr>
          <w:rFonts w:hint="eastAsia"/>
        </w:rPr>
        <w:t>灌木层</w:t>
      </w:r>
      <w:bookmarkEnd w:id="197"/>
      <w:bookmarkEnd w:id="198"/>
    </w:p>
    <w:p>
      <w:pPr>
        <w:pStyle w:val="76"/>
        <w:ind w:firstLine="420"/>
      </w:pPr>
      <w:r>
        <w:rPr>
          <w:rFonts w:hint="eastAsia"/>
        </w:rPr>
        <w:t>灌木层碳储量采用全收获法通过实验得到植物生物量、含碳率及灌木层面积，采用以下公式获得：</w:t>
      </w:r>
    </w:p>
    <w:p>
      <w:pPr>
        <w:pStyle w:val="133"/>
      </w:pPr>
      <w:r>
        <w:tab/>
      </w:r>
      <m:oMath>
        <m:sSub>
          <m:sSubPr>
            <m:ctrlPr>
              <w:rPr>
                <w:rFonts w:hint="eastAsia" w:ascii="Cambria Math" w:hAnsi="Cambria Math"/>
                <w:kern w:val="0"/>
                <w:szCs w:val="20"/>
              </w:rPr>
            </m:ctrlPr>
          </m:sSubPr>
          <m:e>
            <m:r>
              <m:rPr>
                <m:sty m:val="p"/>
              </m:rPr>
              <w:rPr>
                <w:rFonts w:ascii="Cambria Math" w:hAnsi="Cambria Math"/>
                <w:kern w:val="0"/>
                <w:szCs w:val="20"/>
              </w:rPr>
              <m:t>C</m:t>
            </m:r>
            <m:ctrlPr>
              <w:rPr>
                <w:rFonts w:hint="eastAsia" w:ascii="Cambria Math" w:hAnsi="Cambria Math"/>
                <w:kern w:val="0"/>
                <w:szCs w:val="20"/>
              </w:rPr>
            </m:ctrlPr>
          </m:e>
          <m:sub>
            <m:r>
              <m:rPr>
                <m:sty m:val="p"/>
              </m:rPr>
              <w:rPr>
                <w:rFonts w:hint="eastAsia" w:ascii="Cambria Math" w:hAnsi="Cambria Math"/>
                <w:kern w:val="0"/>
                <w:szCs w:val="20"/>
              </w:rPr>
              <m:t>灌木</m:t>
            </m:r>
            <m:ctrlPr>
              <w:rPr>
                <w:rFonts w:hint="eastAsia" w:ascii="Cambria Math" w:hAnsi="Cambria Math"/>
                <w:kern w:val="0"/>
                <w:szCs w:val="20"/>
              </w:rPr>
            </m:ctrlPr>
          </m:sub>
        </m:sSub>
        <m:r>
          <m:rPr>
            <m:sty m:val="p"/>
          </m:rPr>
          <w:rPr>
            <w:rFonts w:hint="eastAsia" w:ascii="Cambria Math" w:hAnsi="Cambria Math"/>
            <w:kern w:val="0"/>
            <w:szCs w:val="20"/>
          </w:rPr>
          <m:t>=</m:t>
        </m:r>
        <m:sSub>
          <m:sSubPr>
            <m:ctrlPr>
              <w:rPr>
                <w:rFonts w:hint="eastAsia" w:ascii="Cambria Math" w:hAnsi="Cambria Math"/>
                <w:kern w:val="0"/>
                <w:szCs w:val="20"/>
              </w:rPr>
            </m:ctrlPr>
          </m:sSubPr>
          <m:e>
            <m:r>
              <m:rPr>
                <m:sty m:val="p"/>
              </m:rPr>
              <w:rPr>
                <w:rFonts w:ascii="Cambria Math" w:hAnsi="Cambria Math"/>
                <w:kern w:val="0"/>
                <w:szCs w:val="20"/>
              </w:rPr>
              <m:t>B</m:t>
            </m:r>
            <m:ctrlPr>
              <w:rPr>
                <w:rFonts w:hint="eastAsia" w:ascii="Cambria Math" w:hAnsi="Cambria Math"/>
                <w:kern w:val="0"/>
                <w:szCs w:val="20"/>
              </w:rPr>
            </m:ctrlPr>
          </m:e>
          <m:sub>
            <m:r>
              <m:rPr>
                <m:sty m:val="p"/>
              </m:rPr>
              <w:rPr>
                <w:rFonts w:hint="eastAsia" w:ascii="Cambria Math" w:hAnsi="Cambria Math"/>
                <w:kern w:val="0"/>
                <w:szCs w:val="20"/>
              </w:rPr>
              <m:t>灌木</m:t>
            </m:r>
            <m:ctrlPr>
              <w:rPr>
                <w:rFonts w:hint="eastAsia" w:ascii="Cambria Math" w:hAnsi="Cambria Math"/>
                <w:kern w:val="0"/>
                <w:szCs w:val="20"/>
              </w:rPr>
            </m:ctrlPr>
          </m:sub>
        </m:sSub>
        <m:r>
          <m:rPr>
            <m:sty m:val="p"/>
          </m:rPr>
          <w:rPr>
            <w:rFonts w:hint="eastAsia" w:ascii="Cambria Math" w:hAnsi="Cambria Math"/>
            <w:kern w:val="0"/>
            <w:szCs w:val="20"/>
          </w:rPr>
          <m:t>×</m:t>
        </m:r>
        <m:sSub>
          <m:sSubPr>
            <m:ctrlPr>
              <w:rPr>
                <w:rFonts w:hint="eastAsia" w:ascii="Cambria Math" w:hAnsi="Cambria Math"/>
                <w:kern w:val="0"/>
                <w:szCs w:val="20"/>
              </w:rPr>
            </m:ctrlPr>
          </m:sSubPr>
          <m:e>
            <m:r>
              <m:rPr>
                <m:sty m:val="p"/>
              </m:rPr>
              <w:rPr>
                <w:rFonts w:ascii="Cambria Math" w:hAnsi="Cambria Math"/>
                <w:kern w:val="0"/>
                <w:szCs w:val="20"/>
              </w:rPr>
              <m:t>CF</m:t>
            </m:r>
            <m:ctrlPr>
              <w:rPr>
                <w:rFonts w:hint="eastAsia" w:ascii="Cambria Math" w:hAnsi="Cambria Math"/>
                <w:kern w:val="0"/>
                <w:szCs w:val="20"/>
              </w:rPr>
            </m:ctrlPr>
          </m:e>
          <m:sub>
            <m:r>
              <m:rPr>
                <m:sty m:val="p"/>
              </m:rPr>
              <w:rPr>
                <w:rFonts w:hint="eastAsia" w:ascii="Cambria Math" w:hAnsi="Cambria Math"/>
                <w:kern w:val="0"/>
                <w:szCs w:val="20"/>
              </w:rPr>
              <m:t>灌木</m:t>
            </m:r>
            <m:ctrlPr>
              <w:rPr>
                <w:rFonts w:hint="eastAsia" w:ascii="Cambria Math" w:hAnsi="Cambria Math"/>
                <w:kern w:val="0"/>
                <w:szCs w:val="20"/>
              </w:rPr>
            </m:ctrlPr>
          </m:sub>
        </m:sSub>
        <m:r>
          <m:rPr>
            <m:sty m:val="p"/>
          </m:rPr>
          <w:rPr>
            <w:rFonts w:hint="eastAsia" w:ascii="Cambria Math" w:hAnsi="Cambria Math"/>
            <w:kern w:val="0"/>
            <w:szCs w:val="20"/>
          </w:rPr>
          <m:t>×</m:t>
        </m:r>
        <m:r>
          <m:rPr>
            <m:sty m:val="p"/>
          </m:rPr>
          <w:rPr>
            <w:rFonts w:ascii="Cambria Math" w:hAnsi="Cambria Math"/>
            <w:kern w:val="0"/>
            <w:szCs w:val="20"/>
          </w:rPr>
          <m:t xml:space="preserve">S </m:t>
        </m:r>
      </m:oMath>
      <w:r>
        <w:rPr>
          <w:rFonts w:ascii="微软雅黑" w:hAnsi="微软雅黑" w:eastAsia="微软雅黑"/>
        </w:rPr>
        <w:tab/>
      </w:r>
      <w:r>
        <w:t>(</w:t>
      </w:r>
      <w:r>
        <w:rPr>
          <w:rFonts w:hint="eastAsia"/>
        </w:rPr>
        <w:t>3</w:t>
      </w:r>
      <w:r>
        <w:t>)</w:t>
      </w:r>
    </w:p>
    <w:p>
      <w:pPr>
        <w:pStyle w:val="75"/>
        <w:ind w:firstLine="420"/>
      </w:pPr>
      <w:r>
        <w:rPr>
          <w:rFonts w:hint="eastAsia"/>
        </w:rPr>
        <w:t>式中：</w:t>
      </w:r>
    </w:p>
    <w:p>
      <w:pPr>
        <w:pStyle w:val="76"/>
        <w:ind w:firstLine="420"/>
      </w:pPr>
      <m:oMath>
        <m:sSub>
          <m:sSubPr>
            <m:ctrlPr>
              <w:rPr>
                <w:rFonts w:hint="eastAsia" w:ascii="Cambria Math" w:hAnsi="Cambria Math"/>
              </w:rPr>
            </m:ctrlPr>
          </m:sSubPr>
          <m:e>
            <m:r>
              <m:rPr>
                <m:sty m:val="p"/>
              </m:rPr>
              <w:rPr>
                <w:rFonts w:ascii="Cambria Math" w:hAnsi="Cambria Math"/>
              </w:rPr>
              <m:t>C</m:t>
            </m:r>
            <m:ctrlPr>
              <w:rPr>
                <w:rFonts w:hint="eastAsia" w:ascii="Cambria Math" w:hAnsi="Cambria Math"/>
              </w:rPr>
            </m:ctrlPr>
          </m:e>
          <m:sub>
            <m:r>
              <m:rPr>
                <m:sty m:val="p"/>
              </m:rPr>
              <w:rPr>
                <w:rFonts w:hint="eastAsia" w:ascii="Cambria Math" w:hAnsi="Cambria Math"/>
              </w:rPr>
              <m:t>灌木</m:t>
            </m:r>
            <m:ctrlPr>
              <w:rPr>
                <w:rFonts w:hint="eastAsia" w:ascii="Cambria Math" w:hAnsi="Cambria Math"/>
              </w:rPr>
            </m:ctrlPr>
          </m:sub>
        </m:sSub>
      </m:oMath>
      <w:r>
        <w:rPr>
          <w:rFonts w:hint="eastAsia"/>
        </w:rPr>
        <w:t xml:space="preserve">    ——为林分中灌木层的碳储量，</w:t>
      </w:r>
      <w:r>
        <w:rPr>
          <w:rFonts w:hint="eastAsia" w:ascii="Times New Roman"/>
        </w:rPr>
        <w:t>单位为吨（t）</w:t>
      </w:r>
      <w:r>
        <w:rPr>
          <w:rFonts w:hint="eastAsia"/>
        </w:rPr>
        <w:t>；</w:t>
      </w:r>
    </w:p>
    <w:p>
      <w:pPr>
        <w:pStyle w:val="76"/>
        <w:ind w:firstLine="420"/>
      </w:pPr>
      <m:oMath>
        <m:sSub>
          <m:sSubPr>
            <m:ctrlPr>
              <w:rPr>
                <w:rFonts w:hint="eastAsia" w:ascii="Cambria Math" w:hAnsi="Cambria Math"/>
              </w:rPr>
            </m:ctrlPr>
          </m:sSubPr>
          <m:e>
            <m:r>
              <m:rPr>
                <m:sty m:val="p"/>
              </m:rPr>
              <w:rPr>
                <w:rFonts w:ascii="Cambria Math" w:hAnsi="Cambria Math"/>
              </w:rPr>
              <m:t>B</m:t>
            </m:r>
            <m:ctrlPr>
              <w:rPr>
                <w:rFonts w:hint="eastAsia" w:ascii="Cambria Math" w:hAnsi="Cambria Math"/>
              </w:rPr>
            </m:ctrlPr>
          </m:e>
          <m:sub>
            <m:r>
              <m:rPr>
                <m:sty m:val="p"/>
              </m:rPr>
              <w:rPr>
                <w:rFonts w:hint="eastAsia" w:ascii="Cambria Math" w:hAnsi="Cambria Math"/>
              </w:rPr>
              <m:t>灌木</m:t>
            </m:r>
            <m:ctrlPr>
              <w:rPr>
                <w:rFonts w:hint="eastAsia" w:ascii="Cambria Math" w:hAnsi="Cambria Math"/>
              </w:rPr>
            </m:ctrlPr>
          </m:sub>
        </m:sSub>
      </m:oMath>
      <w:r>
        <w:rPr>
          <w:rFonts w:hint="eastAsia"/>
        </w:rPr>
        <w:t xml:space="preserve">    ——为林分中灌木层地上部分平均单位面积生物量，</w:t>
      </w:r>
      <w:r>
        <w:rPr>
          <w:rFonts w:hint="eastAsia" w:ascii="Times New Roman"/>
        </w:rPr>
        <w:t>单位为吨每公顷（t/hm</w:t>
      </w:r>
      <w:r>
        <w:rPr>
          <w:rFonts w:hint="eastAsia" w:ascii="Times New Roman"/>
          <w:vertAlign w:val="superscript"/>
        </w:rPr>
        <w:t>2</w:t>
      </w:r>
      <w:r>
        <w:rPr>
          <w:rFonts w:hint="eastAsia" w:ascii="Times New Roman"/>
        </w:rPr>
        <w:t>）</w:t>
      </w:r>
      <w:r>
        <w:rPr>
          <w:rFonts w:hint="eastAsia"/>
        </w:rPr>
        <w:t>；</w:t>
      </w:r>
    </w:p>
    <w:p>
      <w:pPr>
        <w:pStyle w:val="76"/>
        <w:ind w:firstLine="420"/>
      </w:pPr>
      <m:oMath>
        <m:sSub>
          <m:sSubPr>
            <m:ctrlPr>
              <w:rPr>
                <w:rFonts w:hint="eastAsia" w:ascii="Cambria Math" w:hAnsi="Cambria Math"/>
              </w:rPr>
            </m:ctrlPr>
          </m:sSubPr>
          <m:e>
            <m:r>
              <m:rPr>
                <m:sty m:val="p"/>
              </m:rPr>
              <w:rPr>
                <w:rFonts w:ascii="Cambria Math" w:hAnsi="Cambria Math"/>
              </w:rPr>
              <m:t>CF</m:t>
            </m:r>
            <m:ctrlPr>
              <w:rPr>
                <w:rFonts w:hint="eastAsia" w:ascii="Cambria Math" w:hAnsi="Cambria Math"/>
              </w:rPr>
            </m:ctrlPr>
          </m:e>
          <m:sub>
            <m:r>
              <m:rPr>
                <m:sty m:val="p"/>
              </m:rPr>
              <w:rPr>
                <w:rFonts w:hint="eastAsia" w:ascii="Cambria Math" w:hAnsi="Cambria Math"/>
              </w:rPr>
              <m:t>灌木</m:t>
            </m:r>
            <m:ctrlPr>
              <w:rPr>
                <w:rFonts w:hint="eastAsia" w:ascii="Cambria Math" w:hAnsi="Cambria Math"/>
              </w:rPr>
            </m:ctrlPr>
          </m:sub>
        </m:sSub>
      </m:oMath>
      <w:r>
        <w:rPr>
          <w:rFonts w:hint="eastAsia"/>
        </w:rPr>
        <w:t xml:space="preserve">   ——为灌木平均含碳率，单位为百分比（%）；</w:t>
      </w:r>
    </w:p>
    <w:p>
      <w:pPr>
        <w:pStyle w:val="76"/>
        <w:ind w:firstLine="420"/>
      </w:pPr>
      <m:oMath>
        <m:r>
          <m:rPr>
            <m:sty m:val="p"/>
          </m:rPr>
          <w:rPr>
            <w:rFonts w:ascii="Cambria Math" w:hAnsi="Cambria Math"/>
          </w:rPr>
          <m:t>S</m:t>
        </m:r>
      </m:oMath>
      <w:r>
        <w:rPr>
          <w:rFonts w:hint="eastAsia"/>
        </w:rPr>
        <w:t xml:space="preserve">       ——为单位面积，</w:t>
      </w:r>
      <w:r>
        <w:rPr>
          <w:rFonts w:hint="eastAsia" w:ascii="Times New Roman"/>
        </w:rPr>
        <w:t>单位为公顷（hm</w:t>
      </w:r>
      <w:r>
        <w:rPr>
          <w:rFonts w:hint="eastAsia" w:ascii="Times New Roman"/>
          <w:vertAlign w:val="superscript"/>
        </w:rPr>
        <w:t>2</w:t>
      </w:r>
      <w:r>
        <w:rPr>
          <w:rFonts w:hint="eastAsia" w:ascii="Times New Roman"/>
        </w:rPr>
        <w:t>）</w:t>
      </w:r>
      <w:r>
        <w:rPr>
          <w:rFonts w:hint="eastAsia"/>
        </w:rPr>
        <w:t>。</w:t>
      </w:r>
    </w:p>
    <w:p>
      <w:pPr>
        <w:pStyle w:val="114"/>
        <w:spacing w:before="156" w:after="156"/>
      </w:pPr>
      <w:bookmarkStart w:id="199" w:name="_Toc142470978"/>
      <w:bookmarkStart w:id="200" w:name="_Toc142550467"/>
      <w:r>
        <w:rPr>
          <w:rFonts w:hint="eastAsia"/>
        </w:rPr>
        <w:t>草本层</w:t>
      </w:r>
      <w:bookmarkEnd w:id="199"/>
      <w:bookmarkEnd w:id="200"/>
    </w:p>
    <w:p>
      <w:pPr>
        <w:pStyle w:val="76"/>
        <w:ind w:firstLine="420"/>
      </w:pPr>
      <w:r>
        <w:rPr>
          <w:rFonts w:hint="eastAsia"/>
        </w:rPr>
        <w:t>草本层碳储量采用全收获法通过实验得到植物生物量、含碳率及草本层面积，采用以下公式获得：</w:t>
      </w:r>
    </w:p>
    <w:p>
      <w:pPr>
        <w:pStyle w:val="133"/>
      </w:pPr>
      <w:r>
        <w:tab/>
      </w:r>
      <m:oMath>
        <m:sSub>
          <m:sSubPr>
            <m:ctrlPr>
              <w:rPr>
                <w:rFonts w:ascii="Cambria Math" w:hAnsi="Cambria Math"/>
                <w:iCs/>
              </w:rPr>
            </m:ctrlPr>
          </m:sSubPr>
          <m:e>
            <m:r>
              <m:rPr>
                <m:sty m:val="p"/>
              </m:rPr>
              <w:rPr>
                <w:rFonts w:ascii="Cambria Math" w:hAnsi="Cambria Math"/>
              </w:rPr>
              <m:t>C</m:t>
            </m:r>
            <m:ctrlPr>
              <w:rPr>
                <w:rFonts w:ascii="Cambria Math" w:hAnsi="Cambria Math"/>
                <w:iCs/>
              </w:rPr>
            </m:ctrlPr>
          </m:e>
          <m:sub>
            <m:r>
              <m:rPr>
                <m:sty m:val="p"/>
              </m:rPr>
              <w:rPr>
                <w:rFonts w:hint="eastAsia" w:ascii="Cambria Math" w:hAnsi="Cambria Math"/>
              </w:rPr>
              <m:t>草本</m:t>
            </m:r>
            <m:ctrlPr>
              <w:rPr>
                <w:rFonts w:ascii="Cambria Math" w:hAnsi="Cambria Math"/>
                <w:iCs/>
              </w:rPr>
            </m:ctrlP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B</m:t>
            </m:r>
            <m:ctrlPr>
              <w:rPr>
                <w:rFonts w:ascii="Cambria Math" w:hAnsi="Cambria Math"/>
                <w:iCs/>
              </w:rPr>
            </m:ctrlPr>
          </m:e>
          <m:sub>
            <m:r>
              <m:rPr>
                <m:sty m:val="p"/>
              </m:rPr>
              <w:rPr>
                <w:rFonts w:hint="eastAsia" w:ascii="Cambria Math" w:hAnsi="Cambria Math"/>
              </w:rPr>
              <m:t>草本</m:t>
            </m:r>
            <m:ctrlPr>
              <w:rPr>
                <w:rFonts w:ascii="Cambria Math" w:hAnsi="Cambria Math"/>
                <w:iCs/>
              </w:rPr>
            </m:ctrlP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CF</m:t>
            </m:r>
            <m:ctrlPr>
              <w:rPr>
                <w:rFonts w:ascii="Cambria Math" w:hAnsi="Cambria Math"/>
                <w:iCs/>
              </w:rPr>
            </m:ctrlPr>
          </m:e>
          <m:sub>
            <m:r>
              <m:rPr>
                <m:sty m:val="p"/>
              </m:rPr>
              <w:rPr>
                <w:rFonts w:hint="eastAsia" w:ascii="Cambria Math" w:hAnsi="Cambria Math"/>
              </w:rPr>
              <m:t>草本</m:t>
            </m:r>
            <m:ctrlPr>
              <w:rPr>
                <w:rFonts w:ascii="Cambria Math" w:hAnsi="Cambria Math"/>
                <w:iCs/>
              </w:rPr>
            </m:ctrlPr>
          </m:sub>
        </m:sSub>
        <m:r>
          <m:rPr>
            <m:sty m:val="p"/>
          </m:rPr>
          <w:rPr>
            <w:rFonts w:ascii="Cambria Math" w:hAnsi="Cambria Math"/>
          </w:rPr>
          <m:t xml:space="preserve">×S </m:t>
        </m:r>
      </m:oMath>
      <w:r>
        <w:rPr>
          <w:rFonts w:ascii="微软雅黑" w:hAnsi="微软雅黑" w:eastAsia="微软雅黑"/>
        </w:rPr>
        <w:tab/>
      </w:r>
      <w:r>
        <w:t>(</w:t>
      </w:r>
      <w:r>
        <w:rPr>
          <w:rFonts w:hint="eastAsia"/>
        </w:rPr>
        <w:t>4</w:t>
      </w:r>
      <w:r>
        <w:t>)</w:t>
      </w:r>
    </w:p>
    <w:p>
      <w:pPr>
        <w:pStyle w:val="75"/>
        <w:ind w:firstLine="420"/>
      </w:pPr>
      <w:r>
        <w:rPr>
          <w:rFonts w:hint="eastAsia"/>
        </w:rPr>
        <w:t>式中：</w:t>
      </w:r>
    </w:p>
    <w:p>
      <w:pPr>
        <w:pStyle w:val="76"/>
        <w:ind w:firstLine="420"/>
      </w:pPr>
      <m:oMath>
        <m:sSub>
          <m:sSubPr>
            <m:ctrlPr>
              <w:rPr>
                <w:rFonts w:ascii="Cambria Math" w:hAnsi="Cambria Math"/>
                <w:iCs/>
              </w:rPr>
            </m:ctrlPr>
          </m:sSubPr>
          <m:e>
            <m:r>
              <m:rPr>
                <m:sty m:val="p"/>
              </m:rPr>
              <w:rPr>
                <w:rFonts w:ascii="Cambria Math" w:hAnsi="Cambria Math"/>
              </w:rPr>
              <m:t>C</m:t>
            </m:r>
            <m:ctrlPr>
              <w:rPr>
                <w:rFonts w:ascii="Cambria Math" w:hAnsi="Cambria Math"/>
                <w:iCs/>
              </w:rPr>
            </m:ctrlPr>
          </m:e>
          <m:sub>
            <m:r>
              <m:rPr>
                <m:sty m:val="p"/>
              </m:rPr>
              <w:rPr>
                <w:rFonts w:hint="eastAsia" w:ascii="Cambria Math" w:hAnsi="Cambria Math"/>
              </w:rPr>
              <m:t>草本</m:t>
            </m:r>
            <m:ctrlPr>
              <w:rPr>
                <w:rFonts w:ascii="Cambria Math" w:hAnsi="Cambria Math"/>
                <w:iCs/>
              </w:rPr>
            </m:ctrlPr>
          </m:sub>
        </m:sSub>
      </m:oMath>
      <w:r>
        <w:rPr>
          <w:rFonts w:hint="eastAsia"/>
        </w:rPr>
        <w:t xml:space="preserve">    ——为林分中草本层的碳储量，</w:t>
      </w:r>
      <w:r>
        <w:rPr>
          <w:rFonts w:hint="eastAsia" w:ascii="Times New Roman"/>
        </w:rPr>
        <w:t>单位为吨（t）</w:t>
      </w:r>
      <w:r>
        <w:rPr>
          <w:rFonts w:hint="eastAsia"/>
        </w:rPr>
        <w:t>；</w:t>
      </w:r>
    </w:p>
    <w:p>
      <w:pPr>
        <w:pStyle w:val="76"/>
        <w:ind w:firstLine="420"/>
      </w:pPr>
      <m:oMath>
        <m:sSub>
          <m:sSubPr>
            <m:ctrlPr>
              <w:rPr>
                <w:rFonts w:ascii="Cambria Math" w:hAnsi="Cambria Math"/>
                <w:iCs/>
              </w:rPr>
            </m:ctrlPr>
          </m:sSubPr>
          <m:e>
            <m:r>
              <m:rPr>
                <m:sty m:val="p"/>
              </m:rPr>
              <w:rPr>
                <w:rFonts w:ascii="Cambria Math" w:hAnsi="Cambria Math"/>
              </w:rPr>
              <m:t>B</m:t>
            </m:r>
            <m:ctrlPr>
              <w:rPr>
                <w:rFonts w:ascii="Cambria Math" w:hAnsi="Cambria Math"/>
                <w:iCs/>
              </w:rPr>
            </m:ctrlPr>
          </m:e>
          <m:sub>
            <m:r>
              <m:rPr>
                <m:sty m:val="p"/>
              </m:rPr>
              <w:rPr>
                <w:rFonts w:hint="eastAsia" w:ascii="Cambria Math" w:hAnsi="Cambria Math"/>
              </w:rPr>
              <m:t>草本</m:t>
            </m:r>
            <m:ctrlPr>
              <w:rPr>
                <w:rFonts w:ascii="Cambria Math" w:hAnsi="Cambria Math"/>
                <w:iCs/>
              </w:rPr>
            </m:ctrlPr>
          </m:sub>
        </m:sSub>
      </m:oMath>
      <w:r>
        <w:rPr>
          <w:rFonts w:hint="eastAsia"/>
        </w:rPr>
        <w:t xml:space="preserve">    ——为林分中草本层地上部分平均单位面积生物量，</w:t>
      </w:r>
      <w:r>
        <w:rPr>
          <w:rFonts w:hint="eastAsia" w:ascii="Times New Roman"/>
        </w:rPr>
        <w:t>单位为吨每公顷（t/hm</w:t>
      </w:r>
      <w:r>
        <w:rPr>
          <w:rFonts w:hint="eastAsia" w:ascii="Times New Roman"/>
          <w:vertAlign w:val="superscript"/>
        </w:rPr>
        <w:t>2</w:t>
      </w:r>
      <w:r>
        <w:rPr>
          <w:rFonts w:hint="eastAsia" w:ascii="Times New Roman"/>
        </w:rPr>
        <w:t>）</w:t>
      </w:r>
      <w:r>
        <w:rPr>
          <w:rFonts w:hint="eastAsia"/>
        </w:rPr>
        <w:t>；</w:t>
      </w:r>
    </w:p>
    <w:p>
      <w:pPr>
        <w:pStyle w:val="76"/>
        <w:ind w:firstLine="420"/>
      </w:pPr>
      <m:oMath>
        <m:sSub>
          <m:sSubPr>
            <m:ctrlPr>
              <w:rPr>
                <w:rFonts w:ascii="Cambria Math" w:hAnsi="Cambria Math"/>
                <w:iCs/>
              </w:rPr>
            </m:ctrlPr>
          </m:sSubPr>
          <m:e>
            <m:r>
              <m:rPr>
                <m:sty m:val="p"/>
              </m:rPr>
              <w:rPr>
                <w:rFonts w:ascii="Cambria Math" w:hAnsi="Cambria Math"/>
              </w:rPr>
              <m:t>CF</m:t>
            </m:r>
            <m:ctrlPr>
              <w:rPr>
                <w:rFonts w:ascii="Cambria Math" w:hAnsi="Cambria Math"/>
                <w:iCs/>
              </w:rPr>
            </m:ctrlPr>
          </m:e>
          <m:sub>
            <m:r>
              <m:rPr>
                <m:sty m:val="p"/>
              </m:rPr>
              <w:rPr>
                <w:rFonts w:hint="eastAsia" w:ascii="Cambria Math" w:hAnsi="Cambria Math"/>
              </w:rPr>
              <m:t>草本</m:t>
            </m:r>
            <m:ctrlPr>
              <w:rPr>
                <w:rFonts w:ascii="Cambria Math" w:hAnsi="Cambria Math"/>
                <w:iCs/>
              </w:rPr>
            </m:ctrlPr>
          </m:sub>
        </m:sSub>
      </m:oMath>
      <w:r>
        <w:rPr>
          <w:rFonts w:hint="eastAsia"/>
        </w:rPr>
        <w:t xml:space="preserve">   ——为草本平均含碳率，单位为百分比（%）；</w:t>
      </w:r>
    </w:p>
    <w:p>
      <w:pPr>
        <w:pStyle w:val="76"/>
        <w:ind w:firstLine="420"/>
      </w:pPr>
      <m:oMath>
        <m:r>
          <m:rPr>
            <m:sty m:val="p"/>
          </m:rPr>
          <w:rPr>
            <w:rFonts w:ascii="Cambria Math" w:hAnsi="Cambria Math"/>
          </w:rPr>
          <m:t>S</m:t>
        </m:r>
      </m:oMath>
      <w:r>
        <w:rPr>
          <w:rFonts w:hint="eastAsia"/>
        </w:rPr>
        <w:t xml:space="preserve">     </w:t>
      </w:r>
      <w:r>
        <w:t xml:space="preserve">  </w:t>
      </w:r>
      <w:r>
        <w:rPr>
          <w:rFonts w:hint="eastAsia"/>
        </w:rPr>
        <w:t xml:space="preserve"> ——为单位面积，</w:t>
      </w:r>
      <w:r>
        <w:rPr>
          <w:rFonts w:hint="eastAsia" w:ascii="Times New Roman"/>
        </w:rPr>
        <w:t>单位为公顷（hm</w:t>
      </w:r>
      <w:r>
        <w:rPr>
          <w:rFonts w:hint="eastAsia" w:ascii="Times New Roman"/>
          <w:vertAlign w:val="superscript"/>
        </w:rPr>
        <w:t>2</w:t>
      </w:r>
      <w:r>
        <w:rPr>
          <w:rFonts w:hint="eastAsia" w:ascii="Times New Roman"/>
        </w:rPr>
        <w:t>）</w:t>
      </w:r>
      <w:r>
        <w:rPr>
          <w:rFonts w:hint="eastAsia"/>
        </w:rPr>
        <w:t>。</w:t>
      </w:r>
    </w:p>
    <w:p>
      <w:pPr>
        <w:pStyle w:val="114"/>
        <w:spacing w:before="156" w:after="156"/>
      </w:pPr>
      <w:bookmarkStart w:id="201" w:name="_Toc142550468"/>
      <w:bookmarkStart w:id="202" w:name="_Toc142470979"/>
      <w:r>
        <w:rPr>
          <w:rFonts w:hint="eastAsia"/>
        </w:rPr>
        <w:t>枯落物层</w:t>
      </w:r>
      <w:bookmarkEnd w:id="201"/>
      <w:bookmarkEnd w:id="202"/>
    </w:p>
    <w:p>
      <w:pPr>
        <w:pStyle w:val="76"/>
        <w:ind w:firstLine="420"/>
      </w:pPr>
      <w:r>
        <w:rPr>
          <w:rFonts w:hint="eastAsia"/>
        </w:rPr>
        <w:t>枯落物层碳储量采用全收获法通过实验得到植物生物量、含碳率及枯落物层面积，采用以下公式获得：</w:t>
      </w:r>
    </w:p>
    <w:p>
      <w:pPr>
        <w:pStyle w:val="13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r>
          <m:rPr>
            <m:sty m:val="p"/>
          </m:rPr>
          <w:rPr>
            <w:rFonts w:ascii="Cambria Math" w:hAnsi="Cambria Math"/>
          </w:rPr>
          <m:t xml:space="preserve">×S </m:t>
        </m:r>
      </m:oMath>
      <w:r>
        <w:rPr>
          <w:rFonts w:ascii="微软雅黑" w:hAnsi="微软雅黑" w:eastAsia="微软雅黑"/>
        </w:rPr>
        <w:tab/>
      </w:r>
      <w:r>
        <w:t>(</w:t>
      </w:r>
      <w:r>
        <w:rPr>
          <w:rFonts w:hint="eastAsia"/>
        </w:rPr>
        <w:t>5</w:t>
      </w:r>
      <w:r>
        <w:t>)</w:t>
      </w:r>
    </w:p>
    <w:p>
      <w:pPr>
        <w:pStyle w:val="75"/>
        <w:ind w:firstLine="420"/>
      </w:pPr>
      <w:r>
        <w:rPr>
          <w:rFonts w:hint="eastAsia"/>
        </w:rPr>
        <w:t>式中：</w:t>
      </w:r>
    </w:p>
    <w:p>
      <w:pPr>
        <w:pStyle w:val="76"/>
        <w:ind w:firstLine="420"/>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oMath>
      <w:r>
        <w:rPr>
          <w:rFonts w:hint="eastAsia"/>
        </w:rPr>
        <w:t xml:space="preserve">    ——为林分中枯落物层的碳储量，</w:t>
      </w:r>
      <w:r>
        <w:rPr>
          <w:rFonts w:hint="eastAsia" w:ascii="Times New Roman"/>
        </w:rPr>
        <w:t>单位为吨（t）</w:t>
      </w:r>
      <w:r>
        <w:rPr>
          <w:rFonts w:hint="eastAsia"/>
        </w:rPr>
        <w:t>；</w:t>
      </w:r>
    </w:p>
    <w:p>
      <w:pPr>
        <w:pStyle w:val="76"/>
        <w:ind w:firstLine="420"/>
      </w:pPr>
      <m:oMath>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oMath>
      <w:r>
        <w:rPr>
          <w:rFonts w:hint="eastAsia"/>
        </w:rPr>
        <w:t xml:space="preserve">    ——为林分中枯落物层地上部分平均单位面积生物量，</w:t>
      </w:r>
      <w:r>
        <w:rPr>
          <w:rFonts w:hint="eastAsia" w:ascii="Times New Roman"/>
        </w:rPr>
        <w:t>单位为吨每公顷（t/hm</w:t>
      </w:r>
      <w:r>
        <w:rPr>
          <w:rFonts w:hint="eastAsia" w:ascii="Times New Roman"/>
          <w:vertAlign w:val="superscript"/>
        </w:rPr>
        <w:t>2</w:t>
      </w:r>
      <w:r>
        <w:rPr>
          <w:rFonts w:hint="eastAsia" w:ascii="Times New Roman"/>
        </w:rPr>
        <w:t>）</w:t>
      </w:r>
      <w:r>
        <w:rPr>
          <w:rFonts w:hint="eastAsia"/>
        </w:rPr>
        <w:t>；</w:t>
      </w:r>
    </w:p>
    <w:p>
      <w:pPr>
        <w:pStyle w:val="76"/>
        <w:ind w:firstLine="420"/>
      </w:pPr>
      <m:oMath>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oMath>
      <w:r>
        <w:rPr>
          <w:rFonts w:hint="eastAsia"/>
        </w:rPr>
        <w:t xml:space="preserve">   ——为枯落物平均含碳率，单位为百分比（%）；</w:t>
      </w:r>
    </w:p>
    <w:p>
      <w:pPr>
        <w:pStyle w:val="76"/>
        <w:ind w:firstLine="420"/>
      </w:pPr>
      <m:oMath>
        <m:r>
          <m:rPr>
            <m:sty m:val="p"/>
          </m:rPr>
          <w:rPr>
            <w:rFonts w:ascii="Cambria Math" w:hAnsi="Cambria Math"/>
          </w:rPr>
          <m:t>S</m:t>
        </m:r>
      </m:oMath>
      <w:r>
        <w:rPr>
          <w:rFonts w:hint="eastAsia"/>
        </w:rPr>
        <w:t xml:space="preserve">         ——为单位面积，</w:t>
      </w:r>
      <w:r>
        <w:rPr>
          <w:rFonts w:hint="eastAsia" w:ascii="Times New Roman"/>
        </w:rPr>
        <w:t>单位为公顷（hm</w:t>
      </w:r>
      <w:r>
        <w:rPr>
          <w:rFonts w:hint="eastAsia" w:ascii="Times New Roman"/>
          <w:vertAlign w:val="superscript"/>
        </w:rPr>
        <w:t>2</w:t>
      </w:r>
      <w:r>
        <w:rPr>
          <w:rFonts w:hint="eastAsia" w:ascii="Times New Roman"/>
        </w:rPr>
        <w:t>）</w:t>
      </w:r>
      <w:r>
        <w:rPr>
          <w:rFonts w:hint="eastAsia"/>
        </w:rPr>
        <w:t>。</w:t>
      </w:r>
    </w:p>
    <w:p>
      <w:pPr>
        <w:pStyle w:val="114"/>
        <w:spacing w:before="156" w:after="156"/>
      </w:pPr>
      <w:bookmarkStart w:id="203" w:name="_Toc142550469"/>
      <w:bookmarkStart w:id="204" w:name="_Toc142470980"/>
      <w:r>
        <w:rPr>
          <w:rFonts w:hint="eastAsia"/>
        </w:rPr>
        <w:t>土壤层</w:t>
      </w:r>
      <w:bookmarkEnd w:id="203"/>
      <w:bookmarkEnd w:id="204"/>
    </w:p>
    <w:p>
      <w:pPr>
        <w:pStyle w:val="76"/>
        <w:ind w:firstLine="420"/>
      </w:pPr>
      <w:r>
        <w:rPr>
          <w:rFonts w:hint="eastAsia"/>
        </w:rPr>
        <w:t>土壤层森林生态系统碳库碳储量根据土壤有机碳密度及林分面积，采用以下公式获得：</w:t>
      </w:r>
    </w:p>
    <w:p>
      <w:pPr>
        <w:pStyle w:val="13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土壤层</m:t>
            </m:r>
            <m:ctrlPr>
              <w:rPr>
                <w:rFonts w:ascii="Cambria Math" w:hAnsi="Cambria Math"/>
              </w:rPr>
            </m:ctrlPr>
          </m:sub>
        </m:sSub>
        <m:r>
          <m:rPr>
            <m:sty m:val="p"/>
          </m:rPr>
          <w:rPr>
            <w:rFonts w:hint="eastAsia" w:ascii="Cambria Math" w:hAnsi="Cambria Math"/>
            <w:kern w:val="0"/>
            <w:szCs w:val="20"/>
          </w:rPr>
          <m:t>=</m:t>
        </m:r>
        <m:nary>
          <m:naryPr>
            <m:chr m:val="∑"/>
            <m:limLoc m:val="undOvr"/>
            <m:ctrlPr>
              <w:rPr>
                <w:rFonts w:hint="eastAsia" w:ascii="Cambria Math" w:hAnsi="Cambria Math"/>
                <w:kern w:val="0"/>
                <w:szCs w:val="20"/>
              </w:rPr>
            </m:ctrlPr>
          </m:naryPr>
          <m:sub>
            <m:r>
              <m:rPr>
                <m:sty m:val="p"/>
              </m:rPr>
              <w:rPr>
                <w:rFonts w:hint="eastAsia" w:ascii="Cambria Math" w:hAnsi="Cambria Math"/>
                <w:kern w:val="0"/>
                <w:szCs w:val="20"/>
              </w:rPr>
              <m:t>i</m:t>
            </m:r>
            <m:r>
              <m:rPr>
                <m:sty m:val="p"/>
              </m:rPr>
              <w:rPr>
                <w:rFonts w:ascii="Cambria Math" w:hAnsi="Cambria Math"/>
                <w:kern w:val="0"/>
                <w:szCs w:val="20"/>
              </w:rPr>
              <m:t>=1</m:t>
            </m:r>
            <m:ctrlPr>
              <w:rPr>
                <w:rFonts w:hint="eastAsia" w:ascii="Cambria Math" w:hAnsi="Cambria Math"/>
                <w:kern w:val="0"/>
                <w:szCs w:val="20"/>
              </w:rPr>
            </m:ctrlPr>
          </m:sub>
          <m:sup>
            <m:r>
              <m:rPr>
                <m:sty m:val="p"/>
              </m:rPr>
              <w:rPr>
                <w:rFonts w:ascii="Cambria Math" w:hAnsi="Cambria Math"/>
                <w:kern w:val="0"/>
                <w:szCs w:val="20"/>
              </w:rPr>
              <m:t>n</m:t>
            </m:r>
            <m:ctrlPr>
              <w:rPr>
                <w:rFonts w:hint="eastAsia" w:ascii="Cambria Math" w:hAnsi="Cambria Math"/>
                <w:kern w:val="0"/>
                <w:szCs w:val="20"/>
              </w:rPr>
            </m:ctrlPr>
          </m:sup>
          <m:e>
            <m:sSub>
              <m:sSubPr>
                <m:ctrlPr>
                  <w:rPr>
                    <w:rFonts w:hint="eastAsia" w:ascii="Cambria Math" w:hAnsi="Cambria Math"/>
                    <w:kern w:val="0"/>
                    <w:szCs w:val="20"/>
                  </w:rPr>
                </m:ctrlPr>
              </m:sSubPr>
              <m:e>
                <m:r>
                  <m:rPr>
                    <m:sty m:val="p"/>
                  </m:rPr>
                  <w:rPr>
                    <w:rFonts w:ascii="Cambria Math" w:hAnsi="Cambria Math"/>
                    <w:kern w:val="0"/>
                    <w:szCs w:val="20"/>
                  </w:rPr>
                  <m:t>A</m:t>
                </m:r>
                <m:ctrlPr>
                  <w:rPr>
                    <w:rFonts w:hint="eastAsia" w:ascii="Cambria Math" w:hAnsi="Cambria Math"/>
                    <w:kern w:val="0"/>
                    <w:szCs w:val="20"/>
                  </w:rPr>
                </m:ctrlPr>
              </m:e>
              <m:sub>
                <m:r>
                  <m:rPr>
                    <m:sty m:val="p"/>
                  </m:rPr>
                  <w:rPr>
                    <w:rFonts w:ascii="Cambria Math" w:hAnsi="Cambria Math"/>
                    <w:kern w:val="0"/>
                    <w:szCs w:val="20"/>
                  </w:rPr>
                  <m:t>i</m:t>
                </m:r>
                <m:ctrlPr>
                  <w:rPr>
                    <w:rFonts w:hint="eastAsia" w:ascii="Cambria Math" w:hAnsi="Cambria Math"/>
                    <w:kern w:val="0"/>
                    <w:szCs w:val="20"/>
                  </w:rPr>
                </m:ctrlPr>
              </m:sub>
            </m:sSub>
            <m:ctrlPr>
              <w:rPr>
                <w:rFonts w:hint="eastAsia" w:ascii="Cambria Math" w:hAnsi="Cambria Math"/>
                <w:kern w:val="0"/>
                <w:szCs w:val="20"/>
              </w:rPr>
            </m:ctrlPr>
          </m:e>
        </m:nary>
        <m:r>
          <m:rPr>
            <m:sty m:val="p"/>
          </m:rPr>
          <w:rPr>
            <w:rFonts w:hint="eastAsia" w:ascii="Cambria Math" w:hAnsi="Cambria Math"/>
            <w:kern w:val="0"/>
            <w:szCs w:val="20"/>
          </w:rPr>
          <m:t>×</m:t>
        </m:r>
        <m:sSub>
          <m:sSubPr>
            <m:ctrlPr>
              <w:rPr>
                <w:rFonts w:hint="eastAsia" w:ascii="Cambria Math" w:hAnsi="Cambria Math"/>
                <w:kern w:val="0"/>
                <w:szCs w:val="20"/>
              </w:rPr>
            </m:ctrlPr>
          </m:sSubPr>
          <m:e>
            <m:r>
              <m:rPr>
                <m:sty m:val="p"/>
              </m:rPr>
              <w:rPr>
                <w:rFonts w:ascii="Cambria Math" w:hAnsi="Cambria Math"/>
                <w:kern w:val="0"/>
                <w:szCs w:val="20"/>
              </w:rPr>
              <m:t>SOC</m:t>
            </m:r>
            <m:ctrlPr>
              <w:rPr>
                <w:rFonts w:hint="eastAsia" w:ascii="Cambria Math" w:hAnsi="Cambria Math"/>
                <w:kern w:val="0"/>
                <w:szCs w:val="20"/>
              </w:rPr>
            </m:ctrlPr>
          </m:e>
          <m:sub>
            <m:r>
              <m:rPr>
                <m:sty m:val="p"/>
              </m:rPr>
              <w:rPr>
                <w:rFonts w:hint="eastAsia" w:ascii="Cambria Math" w:hAnsi="Cambria Math"/>
                <w:kern w:val="0"/>
                <w:szCs w:val="20"/>
              </w:rPr>
              <m:t>i</m:t>
            </m:r>
            <m:ctrlPr>
              <w:rPr>
                <w:rFonts w:hint="eastAsia" w:ascii="Cambria Math" w:hAnsi="Cambria Math"/>
                <w:kern w:val="0"/>
                <w:szCs w:val="20"/>
              </w:rPr>
            </m:ctrlPr>
          </m:sub>
        </m:sSub>
      </m:oMath>
      <w:r>
        <w:rPr>
          <w:rFonts w:hint="eastAsia" w:ascii="Times New Roman" w:hAnsi="Times New Roman"/>
          <w:kern w:val="0"/>
          <w:szCs w:val="20"/>
        </w:rPr>
        <w:t xml:space="preserve"> , </w:t>
      </w:r>
      <m:oMath>
        <m:r>
          <m:rPr>
            <m:sty m:val="p"/>
          </m:rPr>
          <w:rPr>
            <w:rFonts w:ascii="Cambria Math" w:hAnsi="Cambria Math"/>
            <w:kern w:val="0"/>
            <w:szCs w:val="20"/>
          </w:rPr>
          <m:t>SOC</m:t>
        </m:r>
        <m:r>
          <m:rPr>
            <m:sty m:val="p"/>
          </m:rPr>
          <w:rPr>
            <w:rFonts w:hint="eastAsia" w:ascii="Cambria Math" w:hAnsi="Cambria Math"/>
            <w:kern w:val="0"/>
            <w:szCs w:val="20"/>
          </w:rPr>
          <m:t>=</m:t>
        </m:r>
        <m:f>
          <m:fPr>
            <m:ctrlPr>
              <w:rPr>
                <w:rFonts w:hint="eastAsia" w:ascii="Cambria Math" w:hAnsi="Cambria Math"/>
                <w:kern w:val="0"/>
                <w:szCs w:val="20"/>
              </w:rPr>
            </m:ctrlPr>
          </m:fPr>
          <m:num>
            <m:r>
              <m:rPr>
                <m:sty m:val="p"/>
              </m:rPr>
              <w:rPr>
                <w:rFonts w:ascii="Cambria Math" w:hAnsi="Cambria Math"/>
                <w:kern w:val="0"/>
                <w:szCs w:val="20"/>
              </w:rPr>
              <m:t>C</m:t>
            </m:r>
            <m:r>
              <m:rPr>
                <m:sty m:val="p"/>
              </m:rPr>
              <w:rPr>
                <w:rFonts w:hint="eastAsia" w:ascii="Cambria Math" w:hAnsi="Cambria Math"/>
                <w:kern w:val="0"/>
                <w:szCs w:val="20"/>
              </w:rPr>
              <m:t>×</m:t>
            </m:r>
            <m:r>
              <m:rPr>
                <m:sty m:val="p"/>
              </m:rPr>
              <w:rPr>
                <w:rFonts w:ascii="Cambria Math" w:hAnsi="Cambria Math"/>
                <w:kern w:val="0"/>
                <w:szCs w:val="20"/>
              </w:rPr>
              <m:t>D</m:t>
            </m:r>
            <m:r>
              <m:rPr>
                <m:sty m:val="p"/>
              </m:rPr>
              <w:rPr>
                <w:rFonts w:hint="eastAsia" w:ascii="Cambria Math" w:hAnsi="Cambria Math"/>
                <w:kern w:val="0"/>
                <w:szCs w:val="20"/>
              </w:rPr>
              <m:t>×</m:t>
            </m:r>
            <m:r>
              <m:rPr>
                <m:sty m:val="p"/>
              </m:rPr>
              <w:rPr>
                <w:rFonts w:ascii="Cambria Math" w:hAnsi="Cambria Math"/>
                <w:kern w:val="0"/>
                <w:szCs w:val="20"/>
              </w:rPr>
              <m:t>E</m:t>
            </m:r>
            <m:r>
              <m:rPr>
                <m:sty m:val="p"/>
              </m:rPr>
              <w:rPr>
                <w:rFonts w:hint="eastAsia" w:ascii="Cambria Math" w:hAnsi="Cambria Math"/>
                <w:kern w:val="0"/>
                <w:szCs w:val="20"/>
              </w:rPr>
              <m:t>×</m:t>
            </m:r>
            <m:r>
              <m:rPr>
                <m:sty m:val="p"/>
              </m:rPr>
              <w:rPr>
                <w:rFonts w:ascii="Cambria Math" w:hAnsi="Cambria Math"/>
                <w:kern w:val="0"/>
                <w:szCs w:val="20"/>
              </w:rPr>
              <m:t>(1−G)</m:t>
            </m:r>
            <m:ctrlPr>
              <w:rPr>
                <w:rFonts w:hint="eastAsia" w:ascii="Cambria Math" w:hAnsi="Cambria Math"/>
                <w:kern w:val="0"/>
                <w:szCs w:val="20"/>
              </w:rPr>
            </m:ctrlPr>
          </m:num>
          <m:den>
            <m:r>
              <m:rPr>
                <m:sty m:val="p"/>
              </m:rPr>
              <w:rPr>
                <w:rFonts w:ascii="Cambria Math" w:hAnsi="Cambria Math"/>
                <w:kern w:val="0"/>
                <w:szCs w:val="20"/>
              </w:rPr>
              <m:t>100</m:t>
            </m:r>
            <m:ctrlPr>
              <w:rPr>
                <w:rFonts w:hint="eastAsia" w:ascii="Cambria Math" w:hAnsi="Cambria Math"/>
                <w:kern w:val="0"/>
                <w:szCs w:val="20"/>
              </w:rPr>
            </m:ctrlPr>
          </m:den>
        </m:f>
        <m:r>
          <m:rPr>
            <m:sty m:val="p"/>
          </m:rPr>
          <w:rPr>
            <w:rFonts w:ascii="Cambria Math" w:hAnsi="Cambria Math"/>
            <w:kern w:val="0"/>
            <w:szCs w:val="20"/>
          </w:rPr>
          <m:t xml:space="preserve"> </m:t>
        </m:r>
      </m:oMath>
      <w:r>
        <w:rPr>
          <w:rFonts w:ascii="微软雅黑" w:hAnsi="微软雅黑" w:eastAsia="微软雅黑"/>
        </w:rPr>
        <w:tab/>
      </w:r>
      <w:r>
        <w:t>(</w:t>
      </w:r>
      <w:r>
        <w:rPr>
          <w:rFonts w:hint="eastAsia"/>
        </w:rPr>
        <w:t>6</w:t>
      </w:r>
      <w:r>
        <w:t>)</w:t>
      </w:r>
    </w:p>
    <w:p>
      <w:pPr>
        <w:pStyle w:val="75"/>
        <w:ind w:firstLine="420"/>
      </w:pPr>
      <w:r>
        <w:rPr>
          <w:rFonts w:hint="eastAsia"/>
        </w:rPr>
        <w:t>式中：</w:t>
      </w:r>
      <w:r>
        <w:rPr>
          <w:rFonts w:hint="eastAsia"/>
        </w:rPr>
        <w:tab/>
      </w:r>
    </w:p>
    <w:p>
      <w:pPr>
        <w:pStyle w:val="75"/>
        <w:ind w:firstLine="420"/>
        <w:rPr>
          <w:rFonts w:ascii="宋体" w:hAnsi="宋体"/>
        </w:rPr>
      </w:pPr>
      <w:r>
        <w:rPr>
          <w:rFonts w:hint="eastAsia" w:ascii="宋体" w:hAnsi="宋体"/>
        </w:rPr>
        <w:t>C</w:t>
      </w:r>
      <w:r>
        <w:rPr>
          <w:rFonts w:hint="eastAsia" w:ascii="宋体" w:hAnsi="宋体"/>
          <w:vertAlign w:val="subscript"/>
        </w:rPr>
        <w:t>土壤层</w:t>
      </w:r>
      <w:r>
        <w:rPr>
          <w:rFonts w:hint="eastAsia" w:ascii="宋体" w:hAnsi="宋体"/>
        </w:rPr>
        <w:t xml:space="preserve">   ——为林分中土壤碳储量，</w:t>
      </w:r>
      <w:r>
        <w:rPr>
          <w:rFonts w:hint="eastAsia" w:ascii="宋体" w:hAnsi="宋体"/>
          <w:szCs w:val="20"/>
        </w:rPr>
        <w:t>单位为吨（t）</w:t>
      </w:r>
      <w:r>
        <w:rPr>
          <w:rFonts w:hint="eastAsia" w:ascii="宋体" w:hAnsi="宋体"/>
        </w:rPr>
        <w:t xml:space="preserve">；  </w:t>
      </w:r>
    </w:p>
    <w:p>
      <w:pPr>
        <w:pStyle w:val="75"/>
        <w:ind w:firstLine="420"/>
        <w:rPr>
          <w:rFonts w:ascii="宋体" w:hAnsi="宋体"/>
        </w:rPr>
      </w:pPr>
      <w:r>
        <w:rPr>
          <w:rFonts w:hint="eastAsia" w:ascii="宋体" w:hAnsi="宋体"/>
        </w:rPr>
        <w:t>A     ——为单位面积，单位为平方米（m</w:t>
      </w:r>
      <w:r>
        <w:rPr>
          <w:rFonts w:hint="eastAsia" w:ascii="宋体" w:hAnsi="宋体"/>
          <w:vertAlign w:val="superscript"/>
        </w:rPr>
        <w:t>2</w:t>
      </w:r>
      <w:r>
        <w:rPr>
          <w:rFonts w:hint="eastAsia" w:ascii="宋体" w:hAnsi="宋体"/>
        </w:rPr>
        <w:t>）；</w:t>
      </w:r>
    </w:p>
    <w:p>
      <w:pPr>
        <w:pStyle w:val="75"/>
        <w:ind w:firstLine="420"/>
        <w:rPr>
          <w:rFonts w:ascii="宋体" w:hAnsi="宋体"/>
        </w:rPr>
      </w:pPr>
      <w:r>
        <w:rPr>
          <w:rFonts w:hint="eastAsia" w:ascii="宋体" w:hAnsi="宋体"/>
        </w:rPr>
        <w:t>SOC</w:t>
      </w:r>
      <w:r>
        <w:rPr>
          <w:rFonts w:hint="eastAsia" w:ascii="宋体" w:hAnsi="宋体"/>
          <w:vertAlign w:val="subscript"/>
        </w:rPr>
        <w:t xml:space="preserve">i    </w:t>
      </w:r>
      <w:r>
        <w:rPr>
          <w:rFonts w:hint="eastAsia" w:ascii="宋体" w:hAnsi="宋体"/>
        </w:rPr>
        <w:t>——为第i种森林类型的土壤有机碳密度，</w:t>
      </w:r>
      <w:r>
        <w:rPr>
          <w:rFonts w:hint="eastAsia" w:ascii="宋体" w:hAnsi="宋体"/>
          <w:szCs w:val="20"/>
        </w:rPr>
        <w:t>单位为吨每公顷（t/hm</w:t>
      </w:r>
      <w:r>
        <w:rPr>
          <w:rFonts w:hint="eastAsia" w:ascii="宋体" w:hAnsi="宋体"/>
          <w:szCs w:val="20"/>
          <w:vertAlign w:val="superscript"/>
        </w:rPr>
        <w:t>2</w:t>
      </w:r>
      <w:r>
        <w:rPr>
          <w:rFonts w:hint="eastAsia" w:ascii="宋体" w:hAnsi="宋体"/>
          <w:szCs w:val="20"/>
        </w:rPr>
        <w:t>）</w:t>
      </w:r>
      <w:r>
        <w:rPr>
          <w:rFonts w:hint="eastAsia" w:ascii="宋体" w:hAnsi="宋体"/>
        </w:rPr>
        <w:t>；</w:t>
      </w:r>
    </w:p>
    <w:p>
      <w:pPr>
        <w:pStyle w:val="75"/>
        <w:ind w:firstLine="420"/>
        <w:rPr>
          <w:rFonts w:ascii="宋体" w:hAnsi="宋体"/>
        </w:rPr>
      </w:pPr>
      <w:r>
        <w:rPr>
          <w:rFonts w:hint="eastAsia" w:ascii="宋体" w:hAnsi="宋体"/>
        </w:rPr>
        <w:t>SOC</w:t>
      </w:r>
      <w:r>
        <w:rPr>
          <w:rFonts w:hint="eastAsia" w:ascii="宋体" w:hAnsi="宋体"/>
        </w:rPr>
        <w:tab/>
      </w:r>
      <w:r>
        <w:rPr>
          <w:rFonts w:hint="eastAsia" w:ascii="宋体" w:hAnsi="宋体"/>
        </w:rPr>
        <w:t xml:space="preserve">  ——为土壤有机碳密度,单位为千克每平方米（kg/m</w:t>
      </w:r>
      <w:r>
        <w:rPr>
          <w:rFonts w:hint="eastAsia" w:ascii="宋体" w:hAnsi="宋体"/>
          <w:vertAlign w:val="superscript"/>
        </w:rPr>
        <w:t>2</w:t>
      </w:r>
      <w:r>
        <w:rPr>
          <w:rFonts w:hint="eastAsia" w:ascii="宋体" w:hAnsi="宋体"/>
        </w:rPr>
        <w:t>）；</w:t>
      </w:r>
    </w:p>
    <w:p>
      <w:pPr>
        <w:pStyle w:val="75"/>
        <w:ind w:firstLine="420"/>
        <w:rPr>
          <w:rFonts w:ascii="宋体" w:hAnsi="宋体"/>
        </w:rPr>
      </w:pPr>
      <w:r>
        <w:rPr>
          <w:rFonts w:hint="eastAsia" w:ascii="宋体" w:hAnsi="宋体"/>
        </w:rPr>
        <w:t xml:space="preserve">C     ——为土壤有机碳含量，单位为可每千克（g/kg）； </w:t>
      </w:r>
    </w:p>
    <w:p>
      <w:pPr>
        <w:pStyle w:val="75"/>
        <w:ind w:firstLine="420"/>
        <w:rPr>
          <w:rFonts w:ascii="宋体" w:hAnsi="宋体"/>
        </w:rPr>
      </w:pPr>
      <w:r>
        <w:rPr>
          <w:rFonts w:hint="eastAsia" w:ascii="宋体" w:hAnsi="宋体"/>
        </w:rPr>
        <w:t>D     ——为土层密度，单位为兆克每立方米（Mg/m</w:t>
      </w:r>
      <w:r>
        <w:rPr>
          <w:rFonts w:hint="eastAsia" w:ascii="宋体" w:hAnsi="宋体"/>
          <w:vertAlign w:val="superscript"/>
        </w:rPr>
        <w:t>3</w:t>
      </w:r>
      <w:r>
        <w:rPr>
          <w:rFonts w:hint="eastAsia" w:ascii="宋体" w:hAnsi="宋体"/>
        </w:rPr>
        <w:t xml:space="preserve">）；       </w:t>
      </w:r>
    </w:p>
    <w:p>
      <w:pPr>
        <w:pStyle w:val="75"/>
        <w:ind w:firstLine="420"/>
        <w:rPr>
          <w:rFonts w:ascii="宋体" w:hAnsi="宋体"/>
        </w:rPr>
      </w:pPr>
      <w:r>
        <w:rPr>
          <w:rFonts w:hint="eastAsia" w:ascii="宋体" w:hAnsi="宋体"/>
        </w:rPr>
        <w:t>E     ——为土壤厚度，单位为厘米（cm）；</w:t>
      </w:r>
    </w:p>
    <w:p>
      <w:pPr>
        <w:pStyle w:val="75"/>
        <w:ind w:firstLine="420"/>
      </w:pPr>
      <w:r>
        <w:rPr>
          <w:rFonts w:hint="eastAsia" w:ascii="宋体" w:hAnsi="宋体"/>
        </w:rPr>
        <w:t>G     ——为直径≥</w:t>
      </w:r>
      <w:r>
        <w:rPr>
          <w:rFonts w:hint="eastAsia" w:ascii="宋体" w:hAnsi="宋体" w:cs="宋体"/>
        </w:rPr>
        <w:t xml:space="preserve"> 2 mm</w:t>
      </w:r>
      <w:r>
        <w:rPr>
          <w:rFonts w:hint="eastAsia" w:ascii="宋体" w:hAnsi="宋体"/>
        </w:rPr>
        <w:t>的砾石含量，单位为百分比（%）。</w:t>
      </w:r>
      <w:r>
        <w:rPr>
          <w:rFonts w:hint="eastAsia"/>
        </w:rPr>
        <w:t xml:space="preserve">  </w:t>
      </w:r>
    </w:p>
    <w:p>
      <w:pPr>
        <w:pStyle w:val="114"/>
        <w:spacing w:before="156" w:after="156"/>
      </w:pPr>
      <w:bookmarkStart w:id="205" w:name="_Toc142470985"/>
      <w:bookmarkStart w:id="206" w:name="_Toc142550474"/>
      <w:r>
        <w:rPr>
          <w:rFonts w:hint="eastAsia"/>
        </w:rPr>
        <w:t>森林碳储量</w:t>
      </w:r>
      <w:bookmarkEnd w:id="205"/>
      <w:bookmarkEnd w:id="206"/>
    </w:p>
    <w:p>
      <w:pPr>
        <w:pStyle w:val="76"/>
        <w:ind w:firstLine="420"/>
      </w:pPr>
      <w:r>
        <w:rPr>
          <w:rFonts w:hint="eastAsia"/>
        </w:rPr>
        <w:t>包头市森林总碳储量估算采用生物量法将森林按照碳层分别划分为乔木层、灌木层、草本层、枯落物层和土壤层，根据不同样地植被分布特征按照各碳层单位面积碳储量总和与总面积的乘积获得包头市森林总碳储量，采用以下公式获得：</w:t>
      </w:r>
    </w:p>
    <w:p>
      <w:pPr>
        <w:pStyle w:val="13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总</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乔木层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灌木层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草本层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枯落物层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土壤层</m:t>
            </m:r>
            <m:ctrlPr>
              <w:rPr>
                <w:rFonts w:ascii="Cambria Math" w:hAnsi="Cambria Math"/>
              </w:rPr>
            </m:ctrlPr>
          </m:sub>
        </m:sSub>
        <m:r>
          <m:rPr>
            <m:sty m:val="p"/>
          </m:rPr>
          <w:rPr>
            <w:rFonts w:ascii="Cambria Math" w:hAnsi="Cambria Math"/>
          </w:rPr>
          <m:t xml:space="preserve">)×S </m:t>
        </m:r>
      </m:oMath>
      <w:r>
        <w:rPr>
          <w:rFonts w:ascii="微软雅黑" w:hAnsi="微软雅黑" w:eastAsia="微软雅黑"/>
        </w:rPr>
        <w:tab/>
      </w:r>
      <w:r>
        <w:t>(</w:t>
      </w:r>
      <w:r>
        <w:rPr>
          <w:rFonts w:hint="eastAsia"/>
        </w:rPr>
        <w:t>7</w:t>
      </w:r>
      <w:r>
        <w:t>)</w:t>
      </w:r>
    </w:p>
    <w:p>
      <w:pPr>
        <w:pStyle w:val="75"/>
        <w:ind w:firstLine="420"/>
      </w:pPr>
      <w:r>
        <w:rPr>
          <w:rFonts w:hint="eastAsia"/>
        </w:rPr>
        <w:t>式中：</w:t>
      </w:r>
    </w:p>
    <w:p>
      <w:pPr>
        <w:pStyle w:val="76"/>
        <w:ind w:firstLine="420"/>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总</m:t>
            </m:r>
            <m:ctrlPr>
              <w:rPr>
                <w:rFonts w:ascii="Cambria Math" w:hAnsi="Cambria Math"/>
              </w:rPr>
            </m:ctrlPr>
          </m:sub>
        </m:sSub>
      </m:oMath>
      <w:r>
        <w:rPr>
          <w:rFonts w:hint="eastAsia"/>
        </w:rPr>
        <w:t xml:space="preserve">      </w:t>
      </w:r>
      <w:r>
        <w:rPr>
          <w:rFonts w:hint="eastAsia" w:ascii="Times New Roman"/>
        </w:rPr>
        <w:t>——</w:t>
      </w:r>
      <w:r>
        <w:rPr>
          <w:rFonts w:hint="eastAsia"/>
        </w:rPr>
        <w:t>为森林总碳储量，</w:t>
      </w:r>
      <w:r>
        <w:rPr>
          <w:rFonts w:hint="eastAsia" w:ascii="Times New Roman"/>
        </w:rPr>
        <w:t>单位为吨（t）</w:t>
      </w:r>
      <w:r>
        <w:rPr>
          <w:rFonts w:hint="eastAsia"/>
        </w:rPr>
        <w:t>；</w:t>
      </w:r>
    </w:p>
    <w:p>
      <w:pPr>
        <w:pStyle w:val="76"/>
        <w:ind w:firstLine="420"/>
      </w:pPr>
      <m:oMath>
        <m:sSub>
          <m:sSubPr>
            <m:ctrlPr>
              <w:rPr>
                <w:rFonts w:ascii="Cambria Math" w:hAnsi="Cambria Math"/>
              </w:rPr>
            </m:ctrlPr>
          </m:sSubPr>
          <m:e>
            <m:r>
              <m:rPr>
                <m:sty m:val="p"/>
              </m:rPr>
              <w:rPr>
                <w:rFonts w:ascii="Cambria Math"/>
              </w:rPr>
              <m:t>C</m:t>
            </m:r>
            <m:ctrlPr>
              <w:rPr>
                <w:rFonts w:ascii="Cambria Math" w:hAnsi="Cambria Math"/>
              </w:rPr>
            </m:ctrlPr>
          </m:e>
          <m:sub>
            <m:r>
              <m:rPr>
                <m:sty m:val="p"/>
              </m:rPr>
              <w:rPr>
                <w:rFonts w:hint="eastAsia" w:ascii="Cambria Math"/>
              </w:rPr>
              <m:t>乔木层</m:t>
            </m:r>
            <m:ctrlPr>
              <w:rPr>
                <w:rFonts w:ascii="Cambria Math" w:hAnsi="Cambria Math"/>
              </w:rPr>
            </m:ctrlPr>
          </m:sub>
        </m:sSub>
      </m:oMath>
      <w:r>
        <w:rPr>
          <w:rFonts w:hint="eastAsia"/>
        </w:rPr>
        <w:t xml:space="preserve">   </w:t>
      </w:r>
      <w:r>
        <w:rPr>
          <w:rFonts w:hint="eastAsia" w:ascii="Times New Roman"/>
        </w:rPr>
        <w:t>——</w:t>
      </w:r>
      <w:r>
        <w:rPr>
          <w:rFonts w:hint="eastAsia"/>
        </w:rPr>
        <w:t>为森林乔木层单位面积碳储量，</w:t>
      </w:r>
      <w:r>
        <w:rPr>
          <w:rFonts w:hint="eastAsia" w:ascii="Times New Roman"/>
        </w:rPr>
        <w:t>单位为吨每公顷（t/hm</w:t>
      </w:r>
      <w:r>
        <w:rPr>
          <w:rFonts w:hint="eastAsia" w:ascii="Times New Roman"/>
          <w:vertAlign w:val="superscript"/>
        </w:rPr>
        <w:t>2</w:t>
      </w:r>
      <w:r>
        <w:rPr>
          <w:rFonts w:hint="eastAsia" w:ascii="Times New Roman"/>
        </w:rPr>
        <w:t>）</w:t>
      </w:r>
      <w:r>
        <w:rPr>
          <w:rFonts w:hint="eastAsia"/>
        </w:rPr>
        <w:t>；</w:t>
      </w:r>
    </w:p>
    <w:p>
      <w:pPr>
        <w:pStyle w:val="76"/>
        <w:ind w:firstLine="420"/>
      </w:pPr>
      <m:oMath>
        <m:sSub>
          <m:sSubPr>
            <m:ctrlPr>
              <w:rPr>
                <w:rFonts w:ascii="Cambria Math" w:hAnsi="Cambria Math"/>
              </w:rPr>
            </m:ctrlPr>
          </m:sSubPr>
          <m:e>
            <m:r>
              <m:rPr>
                <m:sty m:val="p"/>
              </m:rPr>
              <w:rPr>
                <w:rFonts w:ascii="Cambria Math"/>
              </w:rPr>
              <m:t>C</m:t>
            </m:r>
            <m:ctrlPr>
              <w:rPr>
                <w:rFonts w:ascii="Cambria Math" w:hAnsi="Cambria Math"/>
              </w:rPr>
            </m:ctrlPr>
          </m:e>
          <m:sub>
            <m:r>
              <m:rPr>
                <m:sty m:val="p"/>
              </m:rPr>
              <w:rPr>
                <w:rFonts w:hint="eastAsia" w:ascii="Cambria Math"/>
              </w:rPr>
              <m:t>灌木层</m:t>
            </m:r>
            <m:ctrlPr>
              <w:rPr>
                <w:rFonts w:ascii="Cambria Math" w:hAnsi="Cambria Math"/>
              </w:rPr>
            </m:ctrlPr>
          </m:sub>
        </m:sSub>
      </m:oMath>
      <w:r>
        <w:rPr>
          <w:rFonts w:hint="eastAsia"/>
        </w:rPr>
        <w:t xml:space="preserve">   </w:t>
      </w:r>
      <w:r>
        <w:rPr>
          <w:rFonts w:hint="eastAsia" w:ascii="Times New Roman"/>
        </w:rPr>
        <w:t>——</w:t>
      </w:r>
      <w:r>
        <w:rPr>
          <w:rFonts w:hint="eastAsia"/>
        </w:rPr>
        <w:t>为森林灌木层单位面积碳储量，</w:t>
      </w:r>
      <w:r>
        <w:rPr>
          <w:rFonts w:hint="eastAsia" w:ascii="Times New Roman"/>
        </w:rPr>
        <w:t>单位为吨每公顷（t/hm</w:t>
      </w:r>
      <w:r>
        <w:rPr>
          <w:rFonts w:hint="eastAsia" w:ascii="Times New Roman"/>
          <w:vertAlign w:val="superscript"/>
        </w:rPr>
        <w:t>2</w:t>
      </w:r>
      <w:r>
        <w:rPr>
          <w:rFonts w:hint="eastAsia" w:ascii="Times New Roman"/>
        </w:rPr>
        <w:t>）</w:t>
      </w:r>
      <w:r>
        <w:rPr>
          <w:rFonts w:hint="eastAsia"/>
        </w:rPr>
        <w:t>；</w:t>
      </w:r>
    </w:p>
    <w:p>
      <w:pPr>
        <w:pStyle w:val="76"/>
        <w:ind w:firstLine="420"/>
      </w:pPr>
      <m:oMath>
        <m:sSub>
          <m:sSubPr>
            <m:ctrlPr>
              <w:rPr>
                <w:rFonts w:ascii="Cambria Math" w:hAnsi="Cambria Math"/>
              </w:rPr>
            </m:ctrlPr>
          </m:sSubPr>
          <m:e>
            <m:r>
              <m:rPr>
                <m:sty m:val="p"/>
              </m:rPr>
              <w:rPr>
                <w:rFonts w:ascii="Cambria Math"/>
              </w:rPr>
              <m:t>C</m:t>
            </m:r>
            <m:ctrlPr>
              <w:rPr>
                <w:rFonts w:ascii="Cambria Math" w:hAnsi="Cambria Math"/>
              </w:rPr>
            </m:ctrlPr>
          </m:e>
          <m:sub>
            <m:r>
              <m:rPr>
                <m:sty m:val="p"/>
              </m:rPr>
              <w:rPr>
                <w:rFonts w:hint="eastAsia" w:ascii="Cambria Math"/>
              </w:rPr>
              <m:t>草本层</m:t>
            </m:r>
            <m:ctrlPr>
              <w:rPr>
                <w:rFonts w:ascii="Cambria Math" w:hAnsi="Cambria Math"/>
              </w:rPr>
            </m:ctrlPr>
          </m:sub>
        </m:sSub>
      </m:oMath>
      <w:r>
        <w:rPr>
          <w:rFonts w:hint="eastAsia"/>
        </w:rPr>
        <w:t xml:space="preserve">   </w:t>
      </w:r>
      <w:r>
        <w:rPr>
          <w:rFonts w:hint="eastAsia" w:ascii="Times New Roman"/>
        </w:rPr>
        <w:t>——</w:t>
      </w:r>
      <w:r>
        <w:rPr>
          <w:rFonts w:hint="eastAsia"/>
        </w:rPr>
        <w:t>为森林草本层单位面积碳储量，</w:t>
      </w:r>
      <w:r>
        <w:rPr>
          <w:rFonts w:hint="eastAsia" w:ascii="Times New Roman"/>
        </w:rPr>
        <w:t>单位为吨每公顷（t/hm</w:t>
      </w:r>
      <w:r>
        <w:rPr>
          <w:rFonts w:hint="eastAsia" w:ascii="Times New Roman"/>
          <w:vertAlign w:val="superscript"/>
        </w:rPr>
        <w:t>2</w:t>
      </w:r>
      <w:r>
        <w:rPr>
          <w:rFonts w:hint="eastAsia" w:ascii="Times New Roman"/>
        </w:rPr>
        <w:t>）</w:t>
      </w:r>
      <w:r>
        <w:rPr>
          <w:rFonts w:hint="eastAsia"/>
        </w:rPr>
        <w:t>；</w:t>
      </w:r>
    </w:p>
    <w:p>
      <w:pPr>
        <w:pStyle w:val="76"/>
        <w:ind w:firstLine="420"/>
      </w:pPr>
      <m:oMath>
        <m:sSub>
          <m:sSubPr>
            <m:ctrlPr>
              <w:rPr>
                <w:rFonts w:ascii="Cambria Math" w:hAnsi="Cambria Math"/>
              </w:rPr>
            </m:ctrlPr>
          </m:sSubPr>
          <m:e>
            <m:r>
              <m:rPr>
                <m:sty m:val="p"/>
              </m:rPr>
              <w:rPr>
                <w:rFonts w:ascii="Cambria Math"/>
              </w:rPr>
              <m:t>C</m:t>
            </m:r>
            <m:ctrlPr>
              <w:rPr>
                <w:rFonts w:ascii="Cambria Math" w:hAnsi="Cambria Math"/>
              </w:rPr>
            </m:ctrlPr>
          </m:e>
          <m:sub>
            <m:r>
              <m:rPr>
                <m:sty m:val="p"/>
              </m:rPr>
              <w:rPr>
                <w:rFonts w:hint="eastAsia" w:ascii="Cambria Math"/>
              </w:rPr>
              <m:t>枯落物层</m:t>
            </m:r>
            <m:ctrlPr>
              <w:rPr>
                <w:rFonts w:ascii="Cambria Math" w:hAnsi="Cambria Math"/>
              </w:rPr>
            </m:ctrlPr>
          </m:sub>
        </m:sSub>
      </m:oMath>
      <w:r>
        <w:rPr>
          <w:rFonts w:hint="eastAsia"/>
          <w:vertAlign w:val="subscript"/>
        </w:rPr>
        <w:t xml:space="preserve">   </w:t>
      </w:r>
      <w:r>
        <w:rPr>
          <w:rFonts w:hint="eastAsia" w:ascii="Times New Roman"/>
        </w:rPr>
        <w:t>——</w:t>
      </w:r>
      <w:r>
        <w:rPr>
          <w:rFonts w:hint="eastAsia"/>
        </w:rPr>
        <w:t>为森林枯落物层单位面积碳储量，</w:t>
      </w:r>
      <w:r>
        <w:rPr>
          <w:rFonts w:hint="eastAsia" w:ascii="Times New Roman"/>
        </w:rPr>
        <w:t>单位为吨每公顷（t/hm</w:t>
      </w:r>
      <w:r>
        <w:rPr>
          <w:rFonts w:hint="eastAsia" w:ascii="Times New Roman"/>
          <w:vertAlign w:val="superscript"/>
        </w:rPr>
        <w:t>2</w:t>
      </w:r>
      <w:r>
        <w:rPr>
          <w:rFonts w:hint="eastAsia" w:ascii="Times New Roman"/>
        </w:rPr>
        <w:t>）</w:t>
      </w:r>
      <w:r>
        <w:rPr>
          <w:rFonts w:hint="eastAsia"/>
        </w:rPr>
        <w:t>；</w:t>
      </w:r>
    </w:p>
    <w:p>
      <w:pPr>
        <w:pStyle w:val="76"/>
        <w:ind w:firstLine="420"/>
      </w:pPr>
      <m:oMath>
        <m:sSub>
          <m:sSubPr>
            <m:ctrlPr>
              <w:rPr>
                <w:rFonts w:ascii="Cambria Math" w:hAnsi="Cambria Math"/>
              </w:rPr>
            </m:ctrlPr>
          </m:sSubPr>
          <m:e>
            <m:r>
              <m:rPr>
                <m:sty m:val="p"/>
              </m:rPr>
              <w:rPr>
                <w:rFonts w:ascii="Cambria Math"/>
              </w:rPr>
              <m:t>C</m:t>
            </m:r>
            <m:ctrlPr>
              <w:rPr>
                <w:rFonts w:ascii="Cambria Math" w:hAnsi="Cambria Math"/>
              </w:rPr>
            </m:ctrlPr>
          </m:e>
          <m:sub>
            <m:r>
              <m:rPr>
                <m:sty m:val="p"/>
              </m:rPr>
              <w:rPr>
                <w:rFonts w:hint="eastAsia" w:ascii="Cambria Math"/>
              </w:rPr>
              <m:t>土壤层</m:t>
            </m:r>
            <m:ctrlPr>
              <w:rPr>
                <w:rFonts w:ascii="Cambria Math" w:hAnsi="Cambria Math"/>
              </w:rPr>
            </m:ctrlPr>
          </m:sub>
        </m:sSub>
      </m:oMath>
      <w:r>
        <w:rPr>
          <w:rFonts w:hint="eastAsia"/>
        </w:rPr>
        <w:t xml:space="preserve">   </w:t>
      </w:r>
      <w:r>
        <w:rPr>
          <w:rFonts w:hint="eastAsia" w:ascii="Times New Roman"/>
        </w:rPr>
        <w:t>——</w:t>
      </w:r>
      <w:r>
        <w:rPr>
          <w:rFonts w:hint="eastAsia"/>
        </w:rPr>
        <w:t>为森林土壤层单位面积碳储量，</w:t>
      </w:r>
      <w:r>
        <w:rPr>
          <w:rFonts w:hint="eastAsia" w:ascii="Times New Roman"/>
        </w:rPr>
        <w:t>单位为吨每公顷（t/hm</w:t>
      </w:r>
      <w:r>
        <w:rPr>
          <w:rFonts w:hint="eastAsia" w:ascii="Times New Roman"/>
          <w:vertAlign w:val="superscript"/>
        </w:rPr>
        <w:t>2</w:t>
      </w:r>
      <w:r>
        <w:rPr>
          <w:rFonts w:hint="eastAsia" w:ascii="Times New Roman"/>
        </w:rPr>
        <w:t>）</w:t>
      </w:r>
      <w:r>
        <w:rPr>
          <w:rFonts w:hint="eastAsia"/>
        </w:rPr>
        <w:t>；</w:t>
      </w:r>
    </w:p>
    <w:p>
      <w:pPr>
        <w:pStyle w:val="76"/>
        <w:ind w:firstLine="420"/>
      </w:pPr>
      <m:oMath>
        <m:r>
          <m:rPr>
            <m:sty m:val="p"/>
          </m:rPr>
          <w:rPr>
            <w:rFonts w:ascii="Cambria Math"/>
          </w:rPr>
          <m:t>S</m:t>
        </m:r>
      </m:oMath>
      <w:r>
        <w:rPr>
          <w:rFonts w:hint="eastAsia"/>
        </w:rPr>
        <w:t xml:space="preserve">        </w:t>
      </w:r>
      <w:r>
        <w:rPr>
          <w:rFonts w:hint="eastAsia" w:ascii="Times New Roman"/>
        </w:rPr>
        <w:t>——</w:t>
      </w:r>
      <w:r>
        <w:rPr>
          <w:rFonts w:hint="eastAsia"/>
        </w:rPr>
        <w:t>为森林面积，单位为公顷（hm</w:t>
      </w:r>
      <w:r>
        <w:rPr>
          <w:rFonts w:hint="eastAsia"/>
          <w:vertAlign w:val="superscript"/>
        </w:rPr>
        <w:t>2</w:t>
      </w:r>
      <w:r>
        <w:rPr>
          <w:rFonts w:hint="eastAsia"/>
        </w:rPr>
        <w:t>）。</w:t>
      </w:r>
    </w:p>
    <w:p>
      <w:pPr>
        <w:pStyle w:val="85"/>
        <w:spacing w:before="156" w:after="156"/>
      </w:pPr>
      <w:bookmarkStart w:id="207" w:name="_Toc146472721"/>
      <w:bookmarkStart w:id="208" w:name="_Toc16107"/>
      <w:bookmarkStart w:id="209" w:name="_Toc142550515"/>
      <w:bookmarkStart w:id="210" w:name="_Toc142470986"/>
      <w:bookmarkStart w:id="211" w:name="_Toc142550475"/>
      <w:bookmarkStart w:id="212" w:name="_Toc13220"/>
      <w:r>
        <w:rPr>
          <w:rFonts w:hint="eastAsia"/>
        </w:rPr>
        <w:t>森林碳汇</w:t>
      </w:r>
      <w:bookmarkEnd w:id="207"/>
      <w:bookmarkEnd w:id="208"/>
      <w:bookmarkEnd w:id="209"/>
      <w:bookmarkEnd w:id="210"/>
      <w:bookmarkEnd w:id="211"/>
      <w:bookmarkEnd w:id="212"/>
    </w:p>
    <w:p>
      <w:pPr>
        <w:pStyle w:val="76"/>
        <w:ind w:firstLine="420"/>
      </w:pPr>
      <w:r>
        <w:rPr>
          <w:rFonts w:hint="eastAsia"/>
        </w:rPr>
        <w:t>参照IPCC(2006)提供的库—差别方法，用当年调查的碳储量和基年调查的碳储量得到森林年平均碳汇。采用以下公式获得：</w:t>
      </w:r>
    </w:p>
    <w:p>
      <w:pPr>
        <w:pStyle w:val="133"/>
      </w:pPr>
      <w:r>
        <w:tab/>
      </w:r>
      <m:oMath>
        <m:r>
          <m:rPr>
            <m:sty m:val="p"/>
          </m:rPr>
          <w:rPr>
            <w:rFonts w:hint="eastAsia" w:ascii="Cambria Math" w:hAnsi="Cambria Math"/>
            <w:kern w:val="0"/>
            <w:szCs w:val="20"/>
          </w:rPr>
          <m:t>∆C=</m:t>
        </m:r>
        <m:f>
          <m:fPr>
            <m:ctrlPr>
              <w:rPr>
                <w:rFonts w:hint="eastAsia" w:ascii="Cambria Math" w:hAnsi="Cambria Math"/>
                <w:kern w:val="0"/>
                <w:szCs w:val="20"/>
              </w:rPr>
            </m:ctrlPr>
          </m:fPr>
          <m:num>
            <m:r>
              <m:rPr>
                <m:sty m:val="p"/>
              </m:rPr>
              <w:rPr>
                <w:rFonts w:hint="eastAsia" w:ascii="Cambria Math" w:hAnsi="Cambria Math"/>
                <w:kern w:val="0"/>
                <w:szCs w:val="20"/>
              </w:rPr>
              <m:t>C</m:t>
            </m:r>
            <m:sSub>
              <m:sSubPr>
                <m:ctrlPr>
                  <w:rPr>
                    <w:rFonts w:hint="eastAsia" w:ascii="Cambria Math" w:hAnsi="Cambria Math"/>
                    <w:kern w:val="0"/>
                    <w:szCs w:val="20"/>
                  </w:rPr>
                </m:ctrlPr>
              </m:sSubPr>
              <m:e>
                <m:r>
                  <m:rPr>
                    <m:sty m:val="p"/>
                  </m:rPr>
                  <w:rPr>
                    <w:rFonts w:hint="eastAsia" w:ascii="Cambria Math" w:hAnsi="Cambria Math"/>
                    <w:kern w:val="0"/>
                    <w:szCs w:val="20"/>
                  </w:rPr>
                  <m:t>t</m:t>
                </m:r>
                <m:ctrlPr>
                  <w:rPr>
                    <w:rFonts w:hint="eastAsia" w:ascii="Cambria Math" w:hAnsi="Cambria Math"/>
                    <w:kern w:val="0"/>
                    <w:szCs w:val="20"/>
                  </w:rPr>
                </m:ctrlPr>
              </m:e>
              <m:sub>
                <m:r>
                  <m:rPr>
                    <m:sty m:val="p"/>
                  </m:rPr>
                  <w:rPr>
                    <w:rFonts w:hint="eastAsia" w:ascii="Cambria Math" w:hAnsi="Cambria Math"/>
                    <w:kern w:val="0"/>
                    <w:szCs w:val="20"/>
                  </w:rPr>
                  <m:t>2</m:t>
                </m:r>
                <m:ctrlPr>
                  <w:rPr>
                    <w:rFonts w:hint="eastAsia" w:ascii="Cambria Math" w:hAnsi="Cambria Math"/>
                    <w:kern w:val="0"/>
                    <w:szCs w:val="20"/>
                  </w:rPr>
                </m:ctrlPr>
              </m:sub>
            </m:sSub>
            <m:r>
              <m:rPr>
                <m:sty m:val="p"/>
              </m:rPr>
              <w:rPr>
                <w:rFonts w:hint="eastAsia" w:ascii="Cambria Math" w:hAnsi="Cambria Math"/>
                <w:kern w:val="0"/>
                <w:szCs w:val="20"/>
              </w:rPr>
              <m:t>−C</m:t>
            </m:r>
            <m:sSub>
              <m:sSubPr>
                <m:ctrlPr>
                  <w:rPr>
                    <w:rFonts w:hint="eastAsia" w:ascii="Cambria Math" w:hAnsi="Cambria Math"/>
                    <w:kern w:val="0"/>
                    <w:szCs w:val="20"/>
                  </w:rPr>
                </m:ctrlPr>
              </m:sSubPr>
              <m:e>
                <m:r>
                  <m:rPr>
                    <m:sty m:val="p"/>
                  </m:rPr>
                  <w:rPr>
                    <w:rFonts w:hint="eastAsia" w:ascii="Cambria Math" w:hAnsi="Cambria Math"/>
                    <w:kern w:val="0"/>
                    <w:szCs w:val="20"/>
                  </w:rPr>
                  <m:t>t</m:t>
                </m:r>
                <m:ctrlPr>
                  <w:rPr>
                    <w:rFonts w:hint="eastAsia" w:ascii="Cambria Math" w:hAnsi="Cambria Math"/>
                    <w:kern w:val="0"/>
                    <w:szCs w:val="20"/>
                  </w:rPr>
                </m:ctrlPr>
              </m:e>
              <m:sub>
                <m:r>
                  <m:rPr>
                    <m:sty m:val="p"/>
                  </m:rPr>
                  <w:rPr>
                    <w:rFonts w:hint="eastAsia" w:ascii="Cambria Math" w:hAnsi="Cambria Math"/>
                    <w:kern w:val="0"/>
                    <w:szCs w:val="20"/>
                  </w:rPr>
                  <m:t>1</m:t>
                </m:r>
                <m:ctrlPr>
                  <w:rPr>
                    <w:rFonts w:hint="eastAsia" w:ascii="Cambria Math" w:hAnsi="Cambria Math"/>
                    <w:kern w:val="0"/>
                    <w:szCs w:val="20"/>
                  </w:rPr>
                </m:ctrlPr>
              </m:sub>
            </m:sSub>
            <m:ctrlPr>
              <w:rPr>
                <w:rFonts w:hint="eastAsia" w:ascii="Cambria Math" w:hAnsi="Cambria Math"/>
                <w:kern w:val="0"/>
                <w:szCs w:val="20"/>
              </w:rPr>
            </m:ctrlPr>
          </m:num>
          <m:den>
            <m:sSub>
              <m:sSubPr>
                <m:ctrlPr>
                  <w:rPr>
                    <w:rFonts w:hint="eastAsia" w:ascii="Cambria Math" w:hAnsi="Cambria Math"/>
                    <w:kern w:val="0"/>
                    <w:szCs w:val="20"/>
                  </w:rPr>
                </m:ctrlPr>
              </m:sSubPr>
              <m:e>
                <m:r>
                  <m:rPr>
                    <m:sty m:val="p"/>
                  </m:rPr>
                  <w:rPr>
                    <w:rFonts w:hint="eastAsia" w:ascii="Cambria Math" w:hAnsi="Cambria Math"/>
                    <w:kern w:val="0"/>
                    <w:szCs w:val="20"/>
                  </w:rPr>
                  <m:t>t</m:t>
                </m:r>
                <m:ctrlPr>
                  <w:rPr>
                    <w:rFonts w:hint="eastAsia" w:ascii="Cambria Math" w:hAnsi="Cambria Math"/>
                    <w:kern w:val="0"/>
                    <w:szCs w:val="20"/>
                  </w:rPr>
                </m:ctrlPr>
              </m:e>
              <m:sub>
                <m:r>
                  <m:rPr>
                    <m:sty m:val="p"/>
                  </m:rPr>
                  <w:rPr>
                    <w:rFonts w:hint="eastAsia" w:ascii="Cambria Math" w:hAnsi="Cambria Math"/>
                    <w:kern w:val="0"/>
                    <w:szCs w:val="20"/>
                  </w:rPr>
                  <m:t>2</m:t>
                </m:r>
                <m:ctrlPr>
                  <w:rPr>
                    <w:rFonts w:hint="eastAsia" w:ascii="Cambria Math" w:hAnsi="Cambria Math"/>
                    <w:kern w:val="0"/>
                    <w:szCs w:val="20"/>
                  </w:rPr>
                </m:ctrlPr>
              </m:sub>
            </m:sSub>
            <m:r>
              <m:rPr>
                <m:sty m:val="p"/>
              </m:rPr>
              <w:rPr>
                <w:rFonts w:hint="eastAsia" w:ascii="Cambria Math" w:hAnsi="Cambria Math"/>
                <w:kern w:val="0"/>
                <w:szCs w:val="20"/>
              </w:rPr>
              <m:t>−</m:t>
            </m:r>
            <m:sSub>
              <m:sSubPr>
                <m:ctrlPr>
                  <w:rPr>
                    <w:rFonts w:hint="eastAsia" w:ascii="Cambria Math" w:hAnsi="Cambria Math"/>
                    <w:kern w:val="0"/>
                    <w:szCs w:val="20"/>
                  </w:rPr>
                </m:ctrlPr>
              </m:sSubPr>
              <m:e>
                <m:r>
                  <m:rPr>
                    <m:sty m:val="p"/>
                  </m:rPr>
                  <w:rPr>
                    <w:rFonts w:hint="eastAsia" w:ascii="Cambria Math" w:hAnsi="Cambria Math"/>
                    <w:kern w:val="0"/>
                    <w:szCs w:val="20"/>
                  </w:rPr>
                  <m:t>t</m:t>
                </m:r>
                <m:ctrlPr>
                  <w:rPr>
                    <w:rFonts w:hint="eastAsia" w:ascii="Cambria Math" w:hAnsi="Cambria Math"/>
                    <w:kern w:val="0"/>
                    <w:szCs w:val="20"/>
                  </w:rPr>
                </m:ctrlPr>
              </m:e>
              <m:sub>
                <m:r>
                  <m:rPr>
                    <m:sty m:val="p"/>
                  </m:rPr>
                  <w:rPr>
                    <w:rFonts w:hint="eastAsia" w:ascii="Cambria Math" w:hAnsi="Cambria Math"/>
                    <w:kern w:val="0"/>
                    <w:szCs w:val="20"/>
                  </w:rPr>
                  <m:t>1</m:t>
                </m:r>
                <m:ctrlPr>
                  <w:rPr>
                    <w:rFonts w:hint="eastAsia" w:ascii="Cambria Math" w:hAnsi="Cambria Math"/>
                    <w:kern w:val="0"/>
                    <w:szCs w:val="20"/>
                  </w:rPr>
                </m:ctrlPr>
              </m:sub>
            </m:sSub>
            <m:ctrlPr>
              <w:rPr>
                <w:rFonts w:hint="eastAsia" w:ascii="Cambria Math" w:hAnsi="Cambria Math"/>
                <w:kern w:val="0"/>
                <w:szCs w:val="20"/>
              </w:rPr>
            </m:ctrlPr>
          </m:den>
        </m:f>
        <m:r>
          <m:rPr/>
          <w:rPr>
            <w:rFonts w:ascii="Cambria Math" w:hAnsi="Cambria Math"/>
          </w:rPr>
          <m:t xml:space="preserve"> </m:t>
        </m:r>
      </m:oMath>
      <w:r>
        <w:rPr>
          <w:rFonts w:ascii="微软雅黑" w:hAnsi="微软雅黑" w:eastAsia="微软雅黑"/>
        </w:rPr>
        <w:tab/>
      </w:r>
      <w:r>
        <w:t>(</w:t>
      </w:r>
      <w:r>
        <w:rPr>
          <w:rFonts w:hint="eastAsia"/>
        </w:rPr>
        <w:t>8</w:t>
      </w:r>
      <w:r>
        <w:t>)</w:t>
      </w:r>
    </w:p>
    <w:p>
      <w:pPr>
        <w:pStyle w:val="75"/>
        <w:ind w:firstLine="420"/>
      </w:pPr>
      <w:r>
        <w:rPr>
          <w:rFonts w:hint="eastAsia"/>
        </w:rPr>
        <w:t>式中：</w:t>
      </w:r>
    </w:p>
    <w:p>
      <w:pPr>
        <w:pStyle w:val="76"/>
        <w:ind w:firstLine="420"/>
      </w:pPr>
      <m:oMath>
        <m:r>
          <m:rPr>
            <m:sty m:val="p"/>
          </m:rPr>
          <w:rPr>
            <w:rFonts w:hint="eastAsia" w:ascii="Cambria Math" w:hAnsi="Cambria Math" w:cs="宋体"/>
          </w:rPr>
          <m:t>∆C</m:t>
        </m:r>
      </m:oMath>
      <w:r>
        <w:rPr>
          <w:rFonts w:hint="eastAsia" w:hAnsi="宋体" w:cs="宋体"/>
        </w:rPr>
        <w:t xml:space="preserve">  </w:t>
      </w:r>
      <w:r>
        <w:rPr>
          <w:rFonts w:hint="eastAsia"/>
        </w:rPr>
        <w:t xml:space="preserve">    </w:t>
      </w:r>
      <w:r>
        <w:t> </w:t>
      </w:r>
      <w:r>
        <w:rPr>
          <w:rFonts w:hint="eastAsia" w:ascii="Times New Roman"/>
        </w:rPr>
        <w:t>——</w:t>
      </w:r>
      <w:r>
        <w:rPr>
          <w:rFonts w:hint="eastAsia"/>
        </w:rPr>
        <w:t>为t</w:t>
      </w:r>
      <w:r>
        <w:rPr>
          <w:rFonts w:hint="eastAsia"/>
          <w:vertAlign w:val="subscript"/>
        </w:rPr>
        <w:t>2</w:t>
      </w:r>
      <w:r>
        <w:rPr>
          <w:rFonts w:hint="eastAsia"/>
        </w:rPr>
        <w:t>和t</w:t>
      </w:r>
      <w:r>
        <w:rPr>
          <w:rFonts w:hint="eastAsia"/>
          <w:vertAlign w:val="subscript"/>
        </w:rPr>
        <w:t>1</w:t>
      </w:r>
      <w:r>
        <w:rPr>
          <w:rFonts w:hint="eastAsia"/>
        </w:rPr>
        <w:t xml:space="preserve"> 2 个时间点年平均碳汇，单位为吨每公顷每年（t /hm</w:t>
      </w:r>
      <w:r>
        <w:rPr>
          <w:rFonts w:hint="eastAsia"/>
          <w:vertAlign w:val="superscript"/>
        </w:rPr>
        <w:t>2</w:t>
      </w:r>
      <w:r>
        <w:rPr>
          <w:rFonts w:hint="eastAsia"/>
        </w:rPr>
        <w:t>/a）；</w:t>
      </w:r>
    </w:p>
    <w:p>
      <w:pPr>
        <w:pStyle w:val="76"/>
        <w:ind w:firstLine="420"/>
        <w:rPr>
          <w:rFonts w:hAnsi="宋体" w:cs="宋体"/>
        </w:rPr>
      </w:pPr>
      <m:oMath>
        <m:r>
          <m:rPr>
            <m:sty m:val="p"/>
          </m:rPr>
          <w:rPr>
            <w:rFonts w:hint="eastAsia" w:ascii="Cambria Math" w:hAnsi="Cambria Math" w:cs="宋体"/>
          </w:rPr>
          <m:t>C</m:t>
        </m:r>
        <m:sSub>
          <m:sSubPr>
            <m:ctrlPr>
              <w:rPr>
                <w:rFonts w:hint="eastAsia" w:ascii="Cambria Math" w:hAnsi="Cambria Math" w:cs="宋体"/>
              </w:rPr>
            </m:ctrlPr>
          </m:sSubPr>
          <m:e>
            <m:r>
              <m:rPr>
                <m:sty m:val="p"/>
              </m:rPr>
              <w:rPr>
                <w:rFonts w:hint="eastAsia" w:ascii="Cambria Math" w:hAnsi="Cambria Math" w:cs="宋体"/>
              </w:rPr>
              <m:t>t</m:t>
            </m:r>
            <m:ctrlPr>
              <w:rPr>
                <w:rFonts w:hint="eastAsia" w:ascii="Cambria Math" w:hAnsi="Cambria Math" w:cs="宋体"/>
              </w:rPr>
            </m:ctrlPr>
          </m:e>
          <m:sub>
            <m:r>
              <m:rPr>
                <m:sty m:val="p"/>
              </m:rPr>
              <w:rPr>
                <w:rFonts w:hint="eastAsia" w:ascii="Cambria Math" w:hAnsi="Cambria Math" w:cs="宋体"/>
              </w:rPr>
              <m:t>2</m:t>
            </m:r>
            <m:ctrlPr>
              <w:rPr>
                <w:rFonts w:hint="eastAsia" w:ascii="Cambria Math" w:hAnsi="Cambria Math" w:cs="宋体"/>
              </w:rPr>
            </m:ctrlPr>
          </m:sub>
        </m:sSub>
      </m:oMath>
      <w:r>
        <w:rPr>
          <w:rFonts w:hint="eastAsia" w:hAnsi="宋体" w:cs="宋体"/>
        </w:rPr>
        <w:t xml:space="preserve">      ——为面积为S的森林在当年调查样地的碳储量,单位为吨（t）;</w:t>
      </w:r>
    </w:p>
    <w:p>
      <w:pPr>
        <w:pStyle w:val="76"/>
        <w:ind w:firstLine="420"/>
        <w:rPr>
          <w:rFonts w:hAnsi="宋体" w:cs="宋体"/>
        </w:rPr>
      </w:pPr>
      <m:oMath>
        <m:r>
          <m:rPr>
            <m:sty m:val="p"/>
          </m:rPr>
          <w:rPr>
            <w:rFonts w:hint="eastAsia" w:ascii="Cambria Math" w:hAnsi="Cambria Math" w:cs="宋体"/>
          </w:rPr>
          <m:t>C</m:t>
        </m:r>
        <m:sSub>
          <m:sSubPr>
            <m:ctrlPr>
              <w:rPr>
                <w:rFonts w:hint="eastAsia" w:ascii="Cambria Math" w:hAnsi="Cambria Math" w:cs="宋体"/>
              </w:rPr>
            </m:ctrlPr>
          </m:sSubPr>
          <m:e>
            <m:r>
              <m:rPr>
                <m:sty m:val="p"/>
              </m:rPr>
              <w:rPr>
                <w:rFonts w:hint="eastAsia" w:ascii="Cambria Math" w:hAnsi="Cambria Math" w:cs="宋体"/>
              </w:rPr>
              <m:t>t</m:t>
            </m:r>
            <m:ctrlPr>
              <w:rPr>
                <w:rFonts w:hint="eastAsia" w:ascii="Cambria Math" w:hAnsi="Cambria Math" w:cs="宋体"/>
              </w:rPr>
            </m:ctrlPr>
          </m:e>
          <m:sub>
            <m:r>
              <m:rPr>
                <m:sty m:val="p"/>
              </m:rPr>
              <w:rPr>
                <w:rFonts w:ascii="Cambria Math" w:hAnsi="Cambria Math" w:cs="宋体"/>
              </w:rPr>
              <m:t>1</m:t>
            </m:r>
            <m:ctrlPr>
              <w:rPr>
                <w:rFonts w:hint="eastAsia" w:ascii="Cambria Math" w:hAnsi="Cambria Math" w:cs="宋体"/>
              </w:rPr>
            </m:ctrlPr>
          </m:sub>
        </m:sSub>
      </m:oMath>
      <w:r>
        <w:rPr>
          <w:rFonts w:hint="eastAsia" w:hAnsi="宋体" w:cs="宋体"/>
        </w:rPr>
        <w:t xml:space="preserve">      ——为面积为S的森林在基年调查样地的碳储量,单位为吨（t）;</w:t>
      </w:r>
    </w:p>
    <w:p>
      <w:pPr>
        <w:pStyle w:val="76"/>
        <w:ind w:firstLine="420"/>
        <w:rPr>
          <w:rFonts w:hAnsi="宋体" w:cs="宋体"/>
        </w:rPr>
      </w:pPr>
      <m:oMath>
        <m:sSub>
          <m:sSubPr>
            <m:ctrlPr>
              <w:rPr>
                <w:rFonts w:hint="eastAsia" w:ascii="Cambria Math" w:hAnsi="Cambria Math" w:cs="宋体"/>
              </w:rPr>
            </m:ctrlPr>
          </m:sSubPr>
          <m:e>
            <m:r>
              <m:rPr>
                <m:sty m:val="p"/>
              </m:rPr>
              <w:rPr>
                <w:rFonts w:hint="eastAsia" w:ascii="Cambria Math" w:hAnsi="Cambria Math" w:cs="宋体"/>
              </w:rPr>
              <m:t>t</m:t>
            </m:r>
            <m:ctrlPr>
              <w:rPr>
                <w:rFonts w:hint="eastAsia" w:ascii="Cambria Math" w:hAnsi="Cambria Math" w:cs="宋体"/>
              </w:rPr>
            </m:ctrlPr>
          </m:e>
          <m:sub>
            <m:r>
              <m:rPr>
                <m:sty m:val="p"/>
              </m:rPr>
              <w:rPr>
                <w:rFonts w:ascii="Cambria Math" w:hAnsi="Cambria Math" w:cs="宋体"/>
              </w:rPr>
              <m:t>2</m:t>
            </m:r>
            <m:ctrlPr>
              <w:rPr>
                <w:rFonts w:hint="eastAsia" w:ascii="Cambria Math" w:hAnsi="Cambria Math" w:cs="宋体"/>
              </w:rPr>
            </m:ctrlPr>
          </m:sub>
        </m:sSub>
      </m:oMath>
      <w:r>
        <w:rPr>
          <w:rFonts w:hint="eastAsia" w:hAnsi="宋体" w:cs="宋体"/>
        </w:rPr>
        <w:t xml:space="preserve">       ——为当年的年份，单位为</w:t>
      </w:r>
      <w:r>
        <w:rPr>
          <w:rFonts w:hint="eastAsia"/>
        </w:rPr>
        <w:t>年（a）</w:t>
      </w:r>
      <w:r>
        <w:rPr>
          <w:rFonts w:hint="eastAsia" w:hAnsi="宋体" w:cs="宋体"/>
        </w:rPr>
        <w:t>;</w:t>
      </w:r>
    </w:p>
    <w:p>
      <w:pPr>
        <w:pStyle w:val="76"/>
        <w:ind w:firstLine="420"/>
        <w:rPr>
          <w:rFonts w:hAnsi="宋体" w:cs="宋体"/>
        </w:rPr>
      </w:pPr>
      <m:oMath>
        <m:sSub>
          <m:sSubPr>
            <m:ctrlPr>
              <w:rPr>
                <w:rFonts w:hint="eastAsia" w:ascii="Cambria Math" w:hAnsi="Cambria Math" w:cs="宋体"/>
              </w:rPr>
            </m:ctrlPr>
          </m:sSubPr>
          <m:e>
            <m:r>
              <m:rPr>
                <m:sty m:val="p"/>
              </m:rPr>
              <w:rPr>
                <w:rFonts w:hint="eastAsia" w:ascii="Cambria Math" w:hAnsi="Cambria Math" w:cs="宋体"/>
              </w:rPr>
              <m:t>t</m:t>
            </m:r>
            <m:ctrlPr>
              <w:rPr>
                <w:rFonts w:hint="eastAsia" w:ascii="Cambria Math" w:hAnsi="Cambria Math" w:cs="宋体"/>
              </w:rPr>
            </m:ctrlPr>
          </m:e>
          <m:sub>
            <m:r>
              <m:rPr>
                <m:sty m:val="p"/>
              </m:rPr>
              <w:rPr>
                <w:rFonts w:ascii="Cambria Math" w:hAnsi="Cambria Math" w:cs="宋体"/>
              </w:rPr>
              <m:t>1</m:t>
            </m:r>
            <m:ctrlPr>
              <w:rPr>
                <w:rFonts w:hint="eastAsia" w:ascii="Cambria Math" w:hAnsi="Cambria Math" w:cs="宋体"/>
              </w:rPr>
            </m:ctrlPr>
          </m:sub>
        </m:sSub>
      </m:oMath>
      <w:r>
        <w:rPr>
          <w:rFonts w:hint="eastAsia" w:hAnsi="宋体" w:cs="宋体"/>
        </w:rPr>
        <w:t xml:space="preserve">       ——为基年的年份，单位为</w:t>
      </w:r>
      <w:r>
        <w:rPr>
          <w:rFonts w:hint="eastAsia"/>
        </w:rPr>
        <w:t>年（a）</w:t>
      </w:r>
      <w:r>
        <w:rPr>
          <w:rFonts w:hint="eastAsia" w:hAnsi="宋体" w:cs="宋体"/>
        </w:rPr>
        <w:t>。</w:t>
      </w:r>
    </w:p>
    <w:p>
      <w:pPr>
        <w:pStyle w:val="125"/>
        <w:spacing w:before="156" w:after="156"/>
      </w:pPr>
      <w:bookmarkStart w:id="213" w:name="_Toc149749338"/>
      <w:bookmarkStart w:id="214" w:name="_Toc146473499"/>
      <w:bookmarkStart w:id="215" w:name="_Toc20797"/>
      <w:bookmarkStart w:id="216" w:name="_Toc146473995"/>
      <w:bookmarkStart w:id="217" w:name="_Toc142474132"/>
      <w:bookmarkStart w:id="218" w:name="_Toc2966"/>
      <w:bookmarkStart w:id="219" w:name="_Toc22370"/>
      <w:bookmarkStart w:id="220" w:name="_Toc146123834"/>
      <w:bookmarkStart w:id="221" w:name="_Toc149555006"/>
      <w:r>
        <w:rPr>
          <w:rFonts w:hint="eastAsia"/>
        </w:rPr>
        <w:t>遥感监测</w:t>
      </w:r>
      <w:bookmarkEnd w:id="213"/>
      <w:bookmarkEnd w:id="214"/>
      <w:bookmarkEnd w:id="215"/>
      <w:bookmarkEnd w:id="216"/>
      <w:bookmarkEnd w:id="217"/>
      <w:bookmarkEnd w:id="218"/>
      <w:bookmarkEnd w:id="219"/>
      <w:bookmarkEnd w:id="220"/>
      <w:bookmarkEnd w:id="221"/>
    </w:p>
    <w:p>
      <w:pPr>
        <w:pStyle w:val="85"/>
        <w:spacing w:before="156" w:after="156"/>
      </w:pPr>
      <w:bookmarkStart w:id="222" w:name="_Toc31122"/>
      <w:bookmarkStart w:id="223" w:name="_Toc146123835"/>
      <w:bookmarkStart w:id="224" w:name="_Toc23104"/>
      <w:bookmarkStart w:id="225" w:name="_Toc142474133"/>
      <w:r>
        <w:rPr>
          <w:rFonts w:hint="eastAsia"/>
        </w:rPr>
        <w:t>遥感数据的收集</w:t>
      </w:r>
      <w:bookmarkEnd w:id="222"/>
      <w:bookmarkEnd w:id="223"/>
      <w:bookmarkEnd w:id="224"/>
      <w:bookmarkEnd w:id="225"/>
    </w:p>
    <w:p>
      <w:pPr>
        <w:pStyle w:val="76"/>
        <w:ind w:firstLine="420"/>
      </w:pPr>
      <w:r>
        <w:rPr>
          <w:rFonts w:hint="eastAsia"/>
        </w:rPr>
        <w:t>遥感数据的选择应符合以下原则：使用的数据包含红波段与近红外波段，可利用算法反演得到地表植被分布；城市区域的影像云量的覆盖率≤10 %；选取卫星数据时采用无明显条带或大面积数据缺失的数据；遥感影像空间分辨率等于或优于 30</w:t>
      </w:r>
      <w:r>
        <w:t> </w:t>
      </w:r>
      <w:r>
        <w:rPr>
          <w:rFonts w:hint="eastAsia"/>
        </w:rPr>
        <w:t>m。根据其要求选择覆盖评估区域的卫星遥感数据。主要数据来源包括但不限于Landsat、Sentinel、Gaofen和SPOT。</w:t>
      </w:r>
    </w:p>
    <w:p>
      <w:pPr>
        <w:pStyle w:val="85"/>
        <w:spacing w:before="156" w:after="156"/>
      </w:pPr>
      <w:bookmarkStart w:id="226" w:name="_Toc142474134"/>
      <w:bookmarkStart w:id="227" w:name="_Toc146123836"/>
      <w:bookmarkStart w:id="228" w:name="_Toc29630"/>
      <w:bookmarkStart w:id="229" w:name="_Toc13523"/>
      <w:r>
        <w:rPr>
          <w:rFonts w:hint="eastAsia"/>
        </w:rPr>
        <w:t>遥感数据的收集与处理</w:t>
      </w:r>
      <w:bookmarkEnd w:id="226"/>
      <w:bookmarkEnd w:id="227"/>
      <w:bookmarkEnd w:id="228"/>
      <w:bookmarkEnd w:id="229"/>
    </w:p>
    <w:p>
      <w:pPr>
        <w:pStyle w:val="76"/>
        <w:ind w:firstLine="420"/>
      </w:pPr>
      <w:r>
        <w:rPr>
          <w:rFonts w:hint="eastAsia"/>
        </w:rPr>
        <w:t>资料收集与数据处理应包括以下内容：遥感数据，按照 DZ/T 0143—1994第3章中对卫星遥感图像质量控制的规定，完成几何校正、辐射校正等遥感图像预处理步骤；气象资料，从气象部门获取；社会经济资料，通过开展调研、收集相关资料获取。</w:t>
      </w:r>
    </w:p>
    <w:p>
      <w:pPr>
        <w:pStyle w:val="85"/>
        <w:spacing w:before="156" w:after="156"/>
      </w:pPr>
      <w:r>
        <w:rPr>
          <w:rFonts w:hint="eastAsia"/>
        </w:rPr>
        <w:t>碳汇遥感计算</w:t>
      </w:r>
    </w:p>
    <w:p>
      <w:pPr>
        <w:widowControl/>
        <w:adjustRightInd/>
        <w:spacing w:line="240" w:lineRule="auto"/>
        <w:ind w:firstLine="420" w:firstLineChars="200"/>
        <w:jc w:val="left"/>
        <w:rPr>
          <w:rFonts w:ascii="宋体" w:hAnsi="宋体" w:cs="宋体"/>
          <w:kern w:val="0"/>
          <w:sz w:val="24"/>
          <w:szCs w:val="24"/>
        </w:rPr>
      </w:pPr>
      <w:r>
        <w:rPr>
          <w:rFonts w:ascii="STB" w:hAnsi="STB" w:cs="宋体"/>
          <w:color w:val="000000"/>
          <w:kern w:val="0"/>
        </w:rPr>
        <w:t>根据光合作用化学反应式</w:t>
      </w:r>
      <w:r>
        <w:rPr>
          <w:rFonts w:hint="eastAsia" w:ascii="宋体" w:hAnsi="宋体" w:cs="宋体"/>
          <w:color w:val="000000"/>
          <w:kern w:val="0"/>
        </w:rPr>
        <w:t>，</w:t>
      </w:r>
      <w:r>
        <w:rPr>
          <w:rFonts w:ascii="STB" w:hAnsi="STB" w:cs="宋体"/>
          <w:color w:val="000000"/>
          <w:kern w:val="0"/>
        </w:rPr>
        <w:t>植被每积累</w:t>
      </w:r>
      <w:r>
        <w:rPr>
          <w:rFonts w:hint="eastAsia" w:ascii="宋体" w:hAnsi="宋体" w:cs="宋体"/>
          <w:color w:val="000000"/>
          <w:kern w:val="0"/>
        </w:rPr>
        <w:t>1</w:t>
      </w:r>
      <w:r>
        <w:rPr>
          <w:rFonts w:ascii="STB" w:hAnsi="STB" w:cs="宋体"/>
          <w:color w:val="000000"/>
          <w:kern w:val="0"/>
        </w:rPr>
        <w:t>单位干物质</w:t>
      </w:r>
      <w:r>
        <w:rPr>
          <w:rFonts w:hint="eastAsia" w:ascii="宋体" w:hAnsi="宋体" w:cs="宋体"/>
          <w:color w:val="000000"/>
          <w:kern w:val="0"/>
        </w:rPr>
        <w:t>，</w:t>
      </w:r>
      <w:r>
        <w:rPr>
          <w:rFonts w:ascii="STB" w:hAnsi="STB" w:cs="宋体"/>
          <w:color w:val="000000"/>
          <w:kern w:val="0"/>
        </w:rPr>
        <w:t>吸收</w:t>
      </w:r>
      <w:r>
        <w:rPr>
          <w:rFonts w:hint="eastAsia" w:ascii="宋体" w:hAnsi="宋体" w:cs="宋体"/>
          <w:color w:val="000000"/>
          <w:kern w:val="0"/>
        </w:rPr>
        <w:t>1.63</w:t>
      </w:r>
      <w:r>
        <w:rPr>
          <w:rFonts w:ascii="STB" w:hAnsi="STB" w:cs="宋体"/>
          <w:color w:val="000000"/>
          <w:kern w:val="0"/>
        </w:rPr>
        <w:t>单位</w:t>
      </w:r>
      <w:r>
        <w:rPr>
          <w:rFonts w:hint="eastAsia" w:ascii="宋体" w:hAnsi="宋体" w:cs="宋体"/>
          <w:color w:val="000000"/>
          <w:kern w:val="0"/>
        </w:rPr>
        <w:t>C</w:t>
      </w:r>
      <w:r>
        <w:rPr>
          <w:rFonts w:ascii="宋体" w:hAnsi="宋体" w:cs="宋体"/>
          <w:color w:val="000000"/>
          <w:kern w:val="0"/>
        </w:rPr>
        <w:t>O</w:t>
      </w:r>
      <w:r>
        <w:rPr>
          <w:rFonts w:ascii="宋体" w:hAnsi="宋体" w:cs="宋体"/>
          <w:color w:val="000000"/>
          <w:kern w:val="0"/>
          <w:vertAlign w:val="subscript"/>
        </w:rPr>
        <w:t>2</w:t>
      </w:r>
      <w:r>
        <w:rPr>
          <w:rFonts w:hint="eastAsia" w:ascii="宋体" w:hAnsi="宋体" w:cs="宋体"/>
          <w:color w:val="000000"/>
          <w:kern w:val="0"/>
        </w:rPr>
        <w:t>，</w:t>
      </w:r>
      <w:r>
        <w:rPr>
          <w:rFonts w:ascii="STA" w:hAnsi="STA" w:cs="宋体"/>
          <w:color w:val="000000"/>
          <w:kern w:val="0"/>
        </w:rPr>
        <w:t>单</w:t>
      </w:r>
      <w:r>
        <w:rPr>
          <w:rFonts w:ascii="STB" w:hAnsi="STB" w:cs="宋体"/>
          <w:color w:val="000000"/>
          <w:kern w:val="0"/>
        </w:rPr>
        <w:t>位</w:t>
      </w:r>
      <w:r>
        <w:rPr>
          <w:rFonts w:ascii="STA" w:hAnsi="STA" w:cs="宋体"/>
          <w:color w:val="000000"/>
          <w:kern w:val="0"/>
        </w:rPr>
        <w:t>面积</w:t>
      </w:r>
      <w:r>
        <w:rPr>
          <w:rFonts w:ascii="STB" w:hAnsi="STB" w:cs="宋体"/>
          <w:color w:val="000000"/>
          <w:kern w:val="0"/>
        </w:rPr>
        <w:t>的植被</w:t>
      </w:r>
      <w:r>
        <w:rPr>
          <w:rFonts w:ascii="STA" w:hAnsi="STA" w:cs="宋体"/>
          <w:color w:val="000000"/>
          <w:kern w:val="0"/>
        </w:rPr>
        <w:t>碳汇</w:t>
      </w:r>
      <w:r>
        <w:rPr>
          <w:rFonts w:ascii="STB" w:hAnsi="STB" w:cs="宋体"/>
          <w:color w:val="000000"/>
          <w:kern w:val="0"/>
        </w:rPr>
        <w:t>量</w:t>
      </w:r>
      <w:r>
        <w:rPr>
          <w:rFonts w:hint="eastAsia" w:hAnsi="宋体"/>
        </w:rPr>
        <w:t>采用以下公式获得：</w:t>
      </w:r>
      <w:r>
        <w:rPr>
          <w:rFonts w:hint="eastAsia" w:ascii="宋体" w:hAnsi="宋体" w:cs="宋体"/>
          <w:color w:val="000000"/>
          <w:kern w:val="0"/>
        </w:rPr>
        <w:t xml:space="preserve"> </w:t>
      </w:r>
    </w:p>
    <w:p>
      <w:pPr>
        <w:pStyle w:val="133"/>
      </w:pPr>
      <w:r>
        <w:tab/>
      </w:r>
      <m:oMath>
        <m:r>
          <m:rPr>
            <m:sty m:val="p"/>
          </m:rPr>
          <w:rPr>
            <w:rFonts w:ascii="Cambria Math" w:hAnsi="Cambria Math"/>
          </w:rPr>
          <m:t>G=1.63×R×NPP</m:t>
        </m:r>
      </m:oMath>
      <w:r>
        <w:rPr>
          <w:rFonts w:ascii="微软雅黑" w:hAnsi="微软雅黑" w:eastAsia="微软雅黑"/>
        </w:rPr>
        <w:tab/>
      </w:r>
      <w:r>
        <w:t>(9)</w:t>
      </w:r>
    </w:p>
    <w:p>
      <w:pPr>
        <w:pStyle w:val="75"/>
        <w:ind w:firstLine="420"/>
      </w:pPr>
      <w:r>
        <w:rPr>
          <w:rFonts w:hint="eastAsia"/>
        </w:rPr>
        <w:t>式中：</w:t>
      </w:r>
    </w:p>
    <w:p>
      <w:pPr>
        <w:widowControl/>
        <w:adjustRightInd/>
        <w:spacing w:line="240" w:lineRule="auto"/>
        <w:ind w:firstLine="420" w:firstLineChars="200"/>
        <w:jc w:val="left"/>
        <w:rPr>
          <w:rFonts w:ascii="宋体" w:hAnsi="宋体" w:cs="宋体"/>
          <w:kern w:val="0"/>
          <w:sz w:val="24"/>
          <w:szCs w:val="24"/>
        </w:rPr>
      </w:pPr>
      <w:r>
        <w:rPr>
          <w:rFonts w:hint="eastAsia" w:ascii="宋体" w:hAnsi="宋体" w:cs="宋体"/>
          <w:color w:val="000000"/>
          <w:kern w:val="0"/>
        </w:rPr>
        <w:t>G</w:t>
      </w:r>
      <w:r>
        <w:rPr>
          <w:rFonts w:ascii="宋体" w:hAnsi="宋体" w:cs="宋体"/>
          <w:color w:val="000000"/>
          <w:kern w:val="0"/>
        </w:rPr>
        <w:t xml:space="preserve">     </w:t>
      </w:r>
      <w:r>
        <w:rPr>
          <w:rFonts w:hint="eastAsia" w:ascii="宋体" w:hAnsi="宋体" w:cs="宋体"/>
          <w:color w:val="000000"/>
          <w:kern w:val="0"/>
        </w:rPr>
        <w:t>——</w:t>
      </w:r>
      <w:r>
        <w:rPr>
          <w:rFonts w:ascii="STA" w:hAnsi="STA" w:cs="宋体"/>
          <w:color w:val="000000"/>
          <w:kern w:val="0"/>
        </w:rPr>
        <w:t>单位面</w:t>
      </w:r>
      <w:r>
        <w:rPr>
          <w:rFonts w:ascii="STB" w:hAnsi="STB" w:cs="宋体"/>
          <w:color w:val="000000"/>
          <w:kern w:val="0"/>
        </w:rPr>
        <w:t>积</w:t>
      </w:r>
      <w:r>
        <w:rPr>
          <w:rFonts w:ascii="STA" w:hAnsi="STA" w:cs="宋体"/>
          <w:color w:val="000000"/>
          <w:kern w:val="0"/>
        </w:rPr>
        <w:t>的</w:t>
      </w:r>
      <w:r>
        <w:rPr>
          <w:rFonts w:ascii="STB" w:hAnsi="STB" w:cs="宋体"/>
          <w:color w:val="000000"/>
          <w:kern w:val="0"/>
        </w:rPr>
        <w:t>植</w:t>
      </w:r>
      <w:r>
        <w:rPr>
          <w:rFonts w:ascii="STA" w:hAnsi="STA" w:cs="宋体"/>
          <w:color w:val="000000"/>
          <w:kern w:val="0"/>
        </w:rPr>
        <w:t>被</w:t>
      </w:r>
      <w:r>
        <w:rPr>
          <w:rFonts w:ascii="STB" w:hAnsi="STB" w:cs="宋体"/>
          <w:color w:val="000000"/>
          <w:kern w:val="0"/>
        </w:rPr>
        <w:t>碳</w:t>
      </w:r>
      <w:r>
        <w:rPr>
          <w:rFonts w:ascii="STA" w:hAnsi="STA" w:cs="宋体"/>
          <w:color w:val="000000"/>
          <w:kern w:val="0"/>
        </w:rPr>
        <w:t>汇量</w:t>
      </w:r>
      <w:r>
        <w:rPr>
          <w:rFonts w:hint="eastAsia" w:ascii="宋体" w:hAnsi="宋体" w:cs="宋体"/>
          <w:color w:val="000000"/>
          <w:kern w:val="0"/>
        </w:rPr>
        <w:t>，</w:t>
      </w:r>
      <w:r>
        <w:rPr>
          <w:rFonts w:ascii="STA" w:hAnsi="STA" w:cs="宋体"/>
          <w:color w:val="000000"/>
          <w:kern w:val="0"/>
        </w:rPr>
        <w:t>单位为克碳每</w:t>
      </w:r>
      <w:r>
        <w:rPr>
          <w:rFonts w:ascii="STB" w:hAnsi="STB" w:cs="宋体"/>
          <w:color w:val="000000"/>
          <w:kern w:val="0"/>
        </w:rPr>
        <w:t>平</w:t>
      </w:r>
      <w:r>
        <w:rPr>
          <w:rFonts w:ascii="STA" w:hAnsi="STA" w:cs="宋体"/>
          <w:color w:val="000000"/>
          <w:kern w:val="0"/>
        </w:rPr>
        <w:t>方</w:t>
      </w:r>
      <w:r>
        <w:rPr>
          <w:rFonts w:hint="eastAsia" w:ascii="宋体" w:hAnsi="宋体" w:cs="宋体"/>
          <w:color w:val="000000"/>
          <w:kern w:val="0"/>
        </w:rPr>
        <w:t>米（gC/m</w:t>
      </w:r>
      <w:r>
        <w:rPr>
          <w:rFonts w:ascii="宋体" w:hAnsi="宋体" w:cs="宋体"/>
          <w:color w:val="000000"/>
          <w:kern w:val="0"/>
          <w:vertAlign w:val="superscript"/>
        </w:rPr>
        <w:t>2</w:t>
      </w:r>
      <w:r>
        <w:rPr>
          <w:rFonts w:hint="eastAsia" w:ascii="宋体" w:hAnsi="宋体" w:cs="宋体"/>
          <w:color w:val="000000"/>
          <w:kern w:val="0"/>
        </w:rPr>
        <w:t xml:space="preserve">）； </w:t>
      </w:r>
    </w:p>
    <w:p>
      <w:pPr>
        <w:widowControl/>
        <w:adjustRightInd/>
        <w:spacing w:line="240" w:lineRule="auto"/>
        <w:ind w:firstLine="420" w:firstLineChars="200"/>
        <w:jc w:val="left"/>
        <w:rPr>
          <w:rFonts w:ascii="宋体" w:hAnsi="宋体" w:cs="宋体"/>
          <w:kern w:val="0"/>
          <w:sz w:val="24"/>
          <w:szCs w:val="24"/>
        </w:rPr>
      </w:pPr>
      <w:r>
        <w:rPr>
          <w:rFonts w:hint="eastAsia" w:ascii="宋体" w:hAnsi="宋体" w:cs="宋体"/>
          <w:color w:val="000000"/>
          <w:kern w:val="0"/>
        </w:rPr>
        <w:t>R</w:t>
      </w:r>
      <w:r>
        <w:rPr>
          <w:rFonts w:ascii="宋体" w:hAnsi="宋体" w:cs="宋体"/>
          <w:color w:val="000000"/>
          <w:kern w:val="0"/>
        </w:rPr>
        <w:t xml:space="preserve">     </w:t>
      </w:r>
      <w:r>
        <w:rPr>
          <w:rFonts w:hint="eastAsia" w:ascii="宋体" w:hAnsi="宋体" w:cs="宋体"/>
          <w:color w:val="000000"/>
          <w:kern w:val="0"/>
        </w:rPr>
        <w:t>——二</w:t>
      </w:r>
      <w:r>
        <w:rPr>
          <w:rFonts w:ascii="STB" w:hAnsi="STB" w:cs="宋体"/>
          <w:color w:val="000000"/>
          <w:kern w:val="0"/>
        </w:rPr>
        <w:t>氧</w:t>
      </w:r>
      <w:r>
        <w:rPr>
          <w:rFonts w:ascii="STA" w:hAnsi="STA" w:cs="宋体"/>
          <w:color w:val="000000"/>
          <w:kern w:val="0"/>
        </w:rPr>
        <w:t>化</w:t>
      </w:r>
      <w:r>
        <w:rPr>
          <w:rFonts w:ascii="STB" w:hAnsi="STB" w:cs="宋体"/>
          <w:color w:val="000000"/>
          <w:kern w:val="0"/>
        </w:rPr>
        <w:t>碳中</w:t>
      </w:r>
      <w:r>
        <w:rPr>
          <w:rFonts w:ascii="STA" w:hAnsi="STA" w:cs="宋体"/>
          <w:color w:val="000000"/>
          <w:kern w:val="0"/>
        </w:rPr>
        <w:t>碳的含量</w:t>
      </w:r>
      <w:r>
        <w:rPr>
          <w:rFonts w:ascii="STB" w:hAnsi="STB" w:cs="宋体"/>
          <w:color w:val="000000"/>
          <w:kern w:val="0"/>
        </w:rPr>
        <w:t>比</w:t>
      </w:r>
      <w:r>
        <w:rPr>
          <w:rFonts w:ascii="STA" w:hAnsi="STA" w:cs="宋体"/>
          <w:color w:val="000000"/>
          <w:kern w:val="0"/>
        </w:rPr>
        <w:t>例</w:t>
      </w:r>
      <w:r>
        <w:rPr>
          <w:rFonts w:hint="eastAsia" w:ascii="宋体" w:hAnsi="宋体" w:cs="宋体"/>
          <w:color w:val="000000"/>
          <w:kern w:val="0"/>
        </w:rPr>
        <w:t xml:space="preserve">； </w:t>
      </w:r>
    </w:p>
    <w:p>
      <w:pPr>
        <w:pStyle w:val="76"/>
        <w:ind w:firstLine="420"/>
      </w:pPr>
      <w:r>
        <w:rPr>
          <w:rFonts w:hint="eastAsia" w:hAnsi="宋体" w:cs="宋体"/>
          <w:color w:val="000000"/>
          <w:szCs w:val="21"/>
        </w:rPr>
        <w:t>NPP</w:t>
      </w:r>
      <w:r>
        <w:rPr>
          <w:rFonts w:hAnsi="宋体" w:cs="宋体"/>
          <w:color w:val="000000"/>
          <w:szCs w:val="21"/>
        </w:rPr>
        <w:t xml:space="preserve">   </w:t>
      </w:r>
      <w:r>
        <w:rPr>
          <w:rFonts w:hint="eastAsia" w:hAnsi="宋体" w:cs="宋体"/>
          <w:color w:val="000000"/>
          <w:szCs w:val="21"/>
        </w:rPr>
        <w:t>——</w:t>
      </w:r>
      <w:r>
        <w:rPr>
          <w:rFonts w:ascii="STA" w:hAnsi="STA" w:cs="宋体"/>
          <w:color w:val="000000"/>
          <w:szCs w:val="21"/>
        </w:rPr>
        <w:t>单</w:t>
      </w:r>
      <w:r>
        <w:rPr>
          <w:rFonts w:ascii="STB" w:hAnsi="STB" w:cs="宋体"/>
          <w:color w:val="000000"/>
          <w:szCs w:val="21"/>
        </w:rPr>
        <w:t>位面积的植被净初级生产</w:t>
      </w:r>
      <w:r>
        <w:rPr>
          <w:rFonts w:hint="eastAsia" w:hAnsi="宋体" w:cs="宋体"/>
          <w:color w:val="000000"/>
          <w:szCs w:val="21"/>
        </w:rPr>
        <w:t>力，</w:t>
      </w:r>
      <w:r>
        <w:rPr>
          <w:rFonts w:ascii="STB" w:hAnsi="STB" w:cs="宋体"/>
          <w:color w:val="000000"/>
          <w:szCs w:val="21"/>
        </w:rPr>
        <w:t>单位为克碳每平</w:t>
      </w:r>
      <w:r>
        <w:rPr>
          <w:rFonts w:ascii="STA" w:hAnsi="STA" w:cs="宋体"/>
          <w:color w:val="000000"/>
          <w:szCs w:val="21"/>
        </w:rPr>
        <w:t>方</w:t>
      </w:r>
      <w:r>
        <w:rPr>
          <w:rFonts w:hint="eastAsia" w:hAnsi="宋体" w:cs="宋体"/>
          <w:color w:val="000000"/>
          <w:szCs w:val="21"/>
        </w:rPr>
        <w:t>米（</w:t>
      </w:r>
      <w:r>
        <w:rPr>
          <w:rFonts w:hint="eastAsia" w:hAnsi="宋体" w:cs="宋体"/>
          <w:color w:val="000000"/>
        </w:rPr>
        <w:t>gC/m</w:t>
      </w:r>
      <w:r>
        <w:rPr>
          <w:rFonts w:hAnsi="宋体" w:cs="宋体"/>
          <w:color w:val="000000"/>
          <w:vertAlign w:val="superscript"/>
        </w:rPr>
        <w:t>2</w:t>
      </w:r>
      <w:r>
        <w:rPr>
          <w:rFonts w:hint="eastAsia" w:hAnsi="宋体" w:cs="宋体"/>
          <w:color w:val="000000"/>
          <w:szCs w:val="21"/>
        </w:rPr>
        <w:t>）。</w:t>
      </w:r>
    </w:p>
    <w:p>
      <w:pPr>
        <w:pStyle w:val="85"/>
        <w:spacing w:before="156" w:after="156"/>
      </w:pPr>
      <w:bookmarkStart w:id="230" w:name="_Toc6560"/>
      <w:bookmarkStart w:id="231" w:name="_Toc146123840"/>
      <w:bookmarkStart w:id="232" w:name="_Toc21851"/>
      <w:bookmarkStart w:id="233" w:name="_Toc142474139"/>
      <w:r>
        <w:rPr>
          <w:rFonts w:hint="eastAsia"/>
        </w:rPr>
        <w:t>遥感检验</w:t>
      </w:r>
      <w:bookmarkEnd w:id="230"/>
      <w:bookmarkEnd w:id="231"/>
      <w:bookmarkEnd w:id="232"/>
      <w:bookmarkEnd w:id="233"/>
    </w:p>
    <w:p>
      <w:pPr>
        <w:pStyle w:val="76"/>
        <w:ind w:firstLine="420"/>
      </w:pPr>
      <w:r>
        <w:rPr>
          <w:rFonts w:hint="eastAsia"/>
          <w:shd w:val="clear" w:color="auto" w:fill="FFFFFF"/>
        </w:rPr>
        <w:t>对包头地区地上生物量进行了估算，通过含碳系数折算，获得碳储量，基于监测的两个时段碳储量的变化。</w:t>
      </w:r>
      <w:r>
        <w:rPr>
          <w:rFonts w:hint="eastAsia" w:ascii="Times New Roman"/>
        </w:rPr>
        <w:t>基于遥感和GIS技术，对年度草原监测的面积数据进行计算，计算结果乘以上述单位面积碳储量，就得到草原地上碳储量，统计各年度的碳储量变化即得到碳汇量。该数据与生物量法所得结果对比分析，设置精度</w:t>
      </w:r>
      <w:r>
        <w:rPr>
          <w:rFonts w:ascii="Times New Roman"/>
        </w:rPr>
        <w:t>75 %</w:t>
      </w:r>
      <w:r>
        <w:rPr>
          <w:rFonts w:hint="eastAsia" w:ascii="Times New Roman"/>
        </w:rPr>
        <w:t>进行验证确保遥感法准确度。</w:t>
      </w:r>
    </w:p>
    <w:p>
      <w:pPr>
        <w:pStyle w:val="125"/>
        <w:spacing w:before="156" w:after="156"/>
      </w:pPr>
      <w:bookmarkStart w:id="234" w:name="_Toc146472749"/>
      <w:bookmarkStart w:id="235" w:name="_Toc142550520"/>
      <w:bookmarkStart w:id="236" w:name="_Toc149749339"/>
      <w:bookmarkStart w:id="237" w:name="_Toc146472726"/>
      <w:bookmarkStart w:id="238" w:name="_Toc3778"/>
      <w:bookmarkStart w:id="239" w:name="_Toc142550484"/>
      <w:bookmarkStart w:id="240" w:name="_Toc149555007"/>
      <w:bookmarkStart w:id="241" w:name="_Toc142470995"/>
      <w:bookmarkStart w:id="242" w:name="_Toc146474203"/>
      <w:r>
        <w:rPr>
          <w:rFonts w:hint="eastAsia"/>
        </w:rPr>
        <w:t>呼吸光合法监测</w:t>
      </w:r>
      <w:bookmarkEnd w:id="234"/>
      <w:bookmarkEnd w:id="235"/>
      <w:bookmarkEnd w:id="236"/>
      <w:bookmarkEnd w:id="237"/>
      <w:bookmarkEnd w:id="238"/>
      <w:bookmarkEnd w:id="239"/>
      <w:bookmarkEnd w:id="240"/>
      <w:bookmarkEnd w:id="241"/>
      <w:bookmarkEnd w:id="242"/>
    </w:p>
    <w:p>
      <w:pPr>
        <w:pStyle w:val="85"/>
        <w:spacing w:before="156" w:after="156"/>
      </w:pPr>
      <w:bookmarkStart w:id="243" w:name="_Toc142470996"/>
      <w:bookmarkStart w:id="244" w:name="_Toc10253"/>
      <w:bookmarkStart w:id="245" w:name="_Toc142550485"/>
      <w:bookmarkStart w:id="246" w:name="_Toc9577"/>
      <w:bookmarkStart w:id="247" w:name="_Toc142550521"/>
      <w:bookmarkStart w:id="248" w:name="_Toc146472727"/>
      <w:bookmarkStart w:id="249" w:name="_Toc21041"/>
      <w:r>
        <w:rPr>
          <w:rFonts w:hint="eastAsia"/>
        </w:rPr>
        <w:t>植物净光合速率日变化</w:t>
      </w:r>
      <w:bookmarkEnd w:id="243"/>
      <w:bookmarkEnd w:id="244"/>
      <w:bookmarkEnd w:id="245"/>
      <w:bookmarkEnd w:id="246"/>
      <w:bookmarkEnd w:id="247"/>
      <w:bookmarkEnd w:id="248"/>
      <w:bookmarkEnd w:id="249"/>
    </w:p>
    <w:p>
      <w:pPr>
        <w:pStyle w:val="76"/>
        <w:ind w:firstLine="420"/>
      </w:pPr>
      <w:r>
        <w:rPr>
          <w:rFonts w:hint="eastAsia" w:asciiTheme="minorEastAsia" w:hAnsiTheme="minorEastAsia" w:cstheme="minorEastAsia"/>
          <w:shd w:val="clear" w:color="auto" w:fill="FFFFFF"/>
        </w:rPr>
        <w:t>利用便携式光合仪进行了植物光合速率的测定。测定包括空气温度、叶温、叶室湿度、光合有效辐射蒸腾速率，气孔导度，胞间</w:t>
      </w:r>
      <w:r>
        <w:rPr>
          <w:shd w:val="clear" w:color="auto" w:fill="FFFFFF"/>
        </w:rPr>
        <w:t>CO</w:t>
      </w:r>
      <w:r>
        <w:rPr>
          <w:rFonts w:hint="eastAsia" w:asciiTheme="minorEastAsia" w:hAnsiTheme="minorEastAsia" w:cstheme="minorEastAsia"/>
          <w:shd w:val="clear" w:color="auto" w:fill="FFFFFF"/>
          <w:vertAlign w:val="subscript"/>
        </w:rPr>
        <w:t>2</w:t>
      </w:r>
      <w:r>
        <w:rPr>
          <w:rFonts w:hint="eastAsia" w:asciiTheme="minorEastAsia" w:hAnsiTheme="minorEastAsia" w:cstheme="minorEastAsia"/>
          <w:shd w:val="clear" w:color="auto" w:fill="FFFFFF"/>
        </w:rPr>
        <w:t>浓度和水分利用效率等参数。</w:t>
      </w:r>
      <w:r>
        <w:rPr>
          <w:rFonts w:hint="eastAsia"/>
        </w:rPr>
        <w:t>测定时每种植物选择具有代表性的3株植株，每次每株植物选择向阳的大小相近、长势较好的功能叶4-6片，在不离体的情况下每片叶记录5个瞬时光合速率值，然后取其平均值，每种植物取3株样木的平均值，各个时间段内测定树种的顺序保持不变</w:t>
      </w:r>
      <w:r>
        <w:rPr>
          <w:rFonts w:hint="eastAsia" w:asciiTheme="minorEastAsia" w:hAnsiTheme="minorEastAsia" w:cstheme="minorEastAsia"/>
          <w:shd w:val="clear" w:color="auto" w:fill="FFFFFF"/>
        </w:rPr>
        <w:t>。</w:t>
      </w:r>
    </w:p>
    <w:p>
      <w:pPr>
        <w:pStyle w:val="85"/>
        <w:spacing w:before="156" w:after="156"/>
      </w:pPr>
      <w:bookmarkStart w:id="250" w:name="_Toc142550522"/>
      <w:bookmarkStart w:id="251" w:name="_Toc14918"/>
      <w:bookmarkStart w:id="252" w:name="_Toc142550486"/>
      <w:bookmarkStart w:id="253" w:name="_Toc146472728"/>
      <w:bookmarkStart w:id="254" w:name="_Toc6962"/>
      <w:bookmarkStart w:id="255" w:name="_Toc142470997"/>
      <w:r>
        <w:rPr>
          <w:rFonts w:hint="eastAsia"/>
        </w:rPr>
        <w:t>叶面积测定</w:t>
      </w:r>
      <w:bookmarkEnd w:id="250"/>
      <w:bookmarkEnd w:id="251"/>
      <w:bookmarkEnd w:id="252"/>
      <w:bookmarkEnd w:id="253"/>
      <w:bookmarkEnd w:id="254"/>
      <w:bookmarkEnd w:id="255"/>
    </w:p>
    <w:p>
      <w:pPr>
        <w:pStyle w:val="76"/>
        <w:ind w:firstLine="420"/>
        <w:rPr>
          <w:shd w:val="clear" w:color="auto" w:fill="FFFFFF"/>
        </w:rPr>
      </w:pPr>
      <w:r>
        <w:rPr>
          <w:rFonts w:hint="eastAsia"/>
          <w:shd w:val="clear" w:color="auto" w:fill="FFFFFF"/>
        </w:rPr>
        <w:t>用便携式叶面积测量仪测量了所选择植物叶面积,</w:t>
      </w:r>
      <w:r>
        <w:rPr>
          <w:rFonts w:hint="eastAsia"/>
        </w:rPr>
        <w:t>调查表详见附录表A.6</w:t>
      </w:r>
      <w:r>
        <w:rPr>
          <w:rFonts w:hint="eastAsia"/>
          <w:shd w:val="clear" w:color="auto" w:fill="FFFFFF"/>
        </w:rPr>
        <w:t>。通过比较不同种类、不同生长阶段以及同一类型不同高度的植物所对应的单叶叶量差异。同时，用标准枝法对全株叶量进行调查，得到全株调查叶片总面积。计算出各树种的单株叶面积指数。通过测量工具测定植物冠幅。计算出各树种的平均叶面积、全株总叶数和总生物量等指标。各植物单株叶面积指数公式为：</w:t>
      </w:r>
    </w:p>
    <w:p>
      <w:pPr>
        <w:pStyle w:val="133"/>
      </w:pPr>
      <w:r>
        <w:tab/>
      </w:r>
      <w:r>
        <w:t>LA</w:t>
      </w:r>
      <w:r>
        <w:rPr>
          <w:rFonts w:hint="eastAsia"/>
        </w:rPr>
        <w:t>I</w:t>
      </w:r>
      <w:r>
        <w:t>=Y/S</w:t>
      </w:r>
      <w:r>
        <w:rPr>
          <w:rFonts w:ascii="微软雅黑" w:hAnsi="微软雅黑" w:eastAsia="微软雅黑"/>
        </w:rPr>
        <w:tab/>
      </w:r>
      <w:r>
        <w:t>(10)</w:t>
      </w:r>
    </w:p>
    <w:p>
      <w:pPr>
        <w:pStyle w:val="75"/>
        <w:ind w:firstLine="420"/>
      </w:pPr>
      <w:r>
        <w:rPr>
          <w:rFonts w:hint="eastAsia"/>
        </w:rPr>
        <w:t>式中：</w:t>
      </w:r>
    </w:p>
    <w:p>
      <w:pPr>
        <w:pStyle w:val="76"/>
        <w:ind w:firstLine="420"/>
      </w:pPr>
      <w:r>
        <w:rPr>
          <w:rFonts w:hint="eastAsia"/>
        </w:rPr>
        <w:t>LAI</w:t>
      </w:r>
      <w:r>
        <w:rPr>
          <w:rFonts w:hint="eastAsia"/>
          <w:vertAlign w:val="subscript"/>
        </w:rPr>
        <w:t xml:space="preserve"> </w:t>
      </w:r>
      <w:r>
        <w:rPr>
          <w:vertAlign w:val="subscript"/>
        </w:rPr>
        <w:t xml:space="preserve">     </w:t>
      </w:r>
      <w:r>
        <w:rPr>
          <w:rFonts w:hint="eastAsia"/>
        </w:rPr>
        <w:t>——为叶面积指数；</w:t>
      </w:r>
    </w:p>
    <w:p>
      <w:pPr>
        <w:pStyle w:val="76"/>
        <w:ind w:firstLine="420"/>
      </w:pPr>
      <w:r>
        <w:rPr>
          <w:rFonts w:hint="eastAsia"/>
        </w:rPr>
        <w:t xml:space="preserve">Y   </w:t>
      </w:r>
      <w:r>
        <w:t xml:space="preserve">  </w:t>
      </w:r>
      <w:r>
        <w:rPr>
          <w:rFonts w:hint="eastAsia"/>
        </w:rPr>
        <w:t>——为单株叶面积，单位为平方厘米（cm</w:t>
      </w:r>
      <w:r>
        <w:rPr>
          <w:rFonts w:hint="eastAsia"/>
          <w:vertAlign w:val="superscript"/>
        </w:rPr>
        <w:t>2</w:t>
      </w:r>
      <w:r>
        <w:rPr>
          <w:rFonts w:hint="eastAsia"/>
        </w:rPr>
        <w:t>）；</w:t>
      </w:r>
    </w:p>
    <w:p>
      <w:pPr>
        <w:pStyle w:val="76"/>
        <w:ind w:firstLine="420"/>
        <w:rPr>
          <w:rFonts w:hAnsi="Cambria Math"/>
          <w:kern w:val="2"/>
          <w:szCs w:val="21"/>
        </w:rPr>
      </w:pPr>
      <w:r>
        <w:rPr>
          <w:rFonts w:hint="eastAsia"/>
        </w:rPr>
        <w:t xml:space="preserve">S   </w:t>
      </w:r>
      <w:r>
        <w:t xml:space="preserve"> </w:t>
      </w:r>
      <w:r>
        <w:rPr>
          <w:rFonts w:hint="eastAsia"/>
        </w:rPr>
        <w:t xml:space="preserve"> ——为取样的土地面积，单位为平方厘米（cm</w:t>
      </w:r>
      <w:r>
        <w:rPr>
          <w:rFonts w:hint="eastAsia"/>
          <w:vertAlign w:val="superscript"/>
        </w:rPr>
        <w:t>2</w:t>
      </w:r>
      <w:r>
        <w:rPr>
          <w:rFonts w:hint="eastAsia"/>
        </w:rPr>
        <w:t>）。</w:t>
      </w:r>
    </w:p>
    <w:p>
      <w:pPr>
        <w:pStyle w:val="85"/>
        <w:spacing w:before="156" w:after="156"/>
      </w:pPr>
      <w:bookmarkStart w:id="256" w:name="_Toc12822"/>
      <w:bookmarkStart w:id="257" w:name="_Toc142470998"/>
      <w:bookmarkStart w:id="258" w:name="_Toc12557"/>
      <w:bookmarkStart w:id="259" w:name="_Toc142550487"/>
      <w:bookmarkStart w:id="260" w:name="_Toc6320"/>
      <w:bookmarkStart w:id="261" w:name="_Toc146472729"/>
      <w:bookmarkStart w:id="262" w:name="_Toc142550523"/>
      <w:r>
        <w:rPr>
          <w:rFonts w:hint="eastAsia"/>
        </w:rPr>
        <w:t>固碳能力的计算及分析方法</w:t>
      </w:r>
      <w:bookmarkEnd w:id="256"/>
      <w:bookmarkEnd w:id="257"/>
      <w:bookmarkEnd w:id="258"/>
      <w:bookmarkEnd w:id="259"/>
      <w:bookmarkEnd w:id="260"/>
      <w:bookmarkEnd w:id="261"/>
      <w:bookmarkEnd w:id="262"/>
    </w:p>
    <w:p>
      <w:pPr>
        <w:pStyle w:val="76"/>
        <w:ind w:firstLine="420"/>
      </w:pPr>
      <w:r>
        <w:rPr>
          <w:rFonts w:hint="eastAsia"/>
          <w:shd w:val="clear" w:color="auto" w:fill="FFFFFF"/>
        </w:rPr>
        <w:t>植物的日同化量，</w:t>
      </w:r>
      <w:r>
        <w:rPr>
          <w:rFonts w:hint="eastAsia" w:hAnsi="宋体"/>
        </w:rPr>
        <w:t>采用以下公式获得</w:t>
      </w:r>
      <w:r>
        <w:rPr>
          <w:rFonts w:hint="eastAsia"/>
          <w:shd w:val="clear" w:color="auto" w:fill="FFFFFF"/>
        </w:rPr>
        <w:t>：</w:t>
      </w:r>
    </w:p>
    <w:p>
      <w:pPr>
        <w:pStyle w:val="76"/>
        <w:ind w:firstLine="420"/>
      </w:pPr>
    </w:p>
    <w:p>
      <w:pPr>
        <w:pStyle w:val="133"/>
      </w:pPr>
      <w:r>
        <w:tab/>
      </w:r>
      <m:oMath>
        <m:r>
          <m:rPr/>
          <w:rPr>
            <w:rFonts w:ascii="Cambria Math" w:hAnsi="Cambria Math"/>
          </w:rPr>
          <m:t>P=</m:t>
        </m:r>
        <m:nary>
          <m:naryPr>
            <m:chr m:val="∑"/>
            <m:grow m:val="1"/>
            <m:limLoc m:val="undOvr"/>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j</m:t>
            </m:r>
            <m:ctrlPr>
              <w:rPr>
                <w:rFonts w:ascii="Cambria Math" w:hAnsi="Cambria Math"/>
                <w:i/>
              </w:rPr>
            </m:ctrlPr>
          </m:sup>
          <m:e>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num>
              <m:den>
                <m:r>
                  <m:rPr/>
                  <w:rPr>
                    <w:rFonts w:ascii="Cambria Math" w:hAnsi="Cambria Math"/>
                  </w:rPr>
                  <m:t>2</m:t>
                </m:r>
                <m:ctrlPr>
                  <w:rPr>
                    <w:rFonts w:ascii="Cambria Math" w:hAnsi="Cambria Math"/>
                    <w:i/>
                  </w:rPr>
                </m:ctrlPr>
              </m:den>
            </m:f>
            <m:r>
              <m:rPr/>
              <w:rPr>
                <w:rFonts w:hint="eastAsia" w:ascii="Cambria Math" w:hAnsi="Cambria Math"/>
              </w:rPr>
              <m:t>×</m:t>
            </m:r>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r>
              <m:rPr/>
              <w:rPr>
                <w:rFonts w:hint="eastAsia" w:ascii="Cambria Math" w:hAnsi="Cambria Math"/>
              </w:rPr>
              <m:t>×</m:t>
            </m:r>
            <m:f>
              <m:fPr>
                <m:ctrlPr>
                  <w:rPr>
                    <w:rFonts w:ascii="Cambria Math" w:hAnsi="Cambria Math"/>
                    <w:i/>
                  </w:rPr>
                </m:ctrlPr>
              </m:fPr>
              <m:num>
                <m:r>
                  <m:rPr/>
                  <w:rPr>
                    <w:rFonts w:ascii="Cambria Math" w:hAnsi="Cambria Math"/>
                  </w:rPr>
                  <m:t>3600</m:t>
                </m:r>
                <m:ctrlPr>
                  <w:rPr>
                    <w:rFonts w:ascii="Cambria Math" w:hAnsi="Cambria Math"/>
                    <w:i/>
                  </w:rPr>
                </m:ctrlPr>
              </m:num>
              <m:den>
                <m:r>
                  <m:rPr/>
                  <w:rPr>
                    <w:rFonts w:ascii="Cambria Math" w:hAnsi="Cambria Math"/>
                  </w:rPr>
                  <m:t>1000</m:t>
                </m:r>
                <m:ctrlPr>
                  <w:rPr>
                    <w:rFonts w:ascii="Cambria Math" w:hAnsi="Cambria Math"/>
                    <w:i/>
                  </w:rPr>
                </m:ctrlPr>
              </m:den>
            </m:f>
            <m:r>
              <m:rPr/>
              <w:rPr>
                <w:rFonts w:ascii="Cambria Math" w:hAnsi="Cambria Math"/>
              </w:rPr>
              <m:t>]</m:t>
            </m:r>
            <m:ctrlPr>
              <w:rPr>
                <w:rFonts w:ascii="Cambria Math" w:hAnsi="Cambria Math"/>
                <w:i/>
              </w:rPr>
            </m:ctrlPr>
          </m:e>
        </m:nary>
        <m:r>
          <m:rPr/>
          <w:rPr>
            <w:rFonts w:ascii="Cambria Math" w:hAnsi="Cambria Math"/>
          </w:rPr>
          <m:t xml:space="preserve"> </m:t>
        </m:r>
      </m:oMath>
      <w:r>
        <w:rPr>
          <w:rFonts w:ascii="微软雅黑" w:hAnsi="微软雅黑" w:eastAsia="微软雅黑"/>
        </w:rPr>
        <w:tab/>
      </w:r>
      <w:r>
        <w:t>(</w:t>
      </w:r>
      <w:r>
        <w:rPr>
          <w:rFonts w:hint="eastAsia"/>
        </w:rPr>
        <w:t>1</w:t>
      </w:r>
      <w:r>
        <w:t>1)</w:t>
      </w:r>
    </w:p>
    <w:p>
      <w:pPr>
        <w:pStyle w:val="75"/>
        <w:ind w:firstLine="420"/>
      </w:pPr>
      <w:r>
        <w:rPr>
          <w:rFonts w:hint="eastAsia"/>
        </w:rPr>
        <w:t>式中：</w:t>
      </w:r>
    </w:p>
    <w:p>
      <w:pPr>
        <w:pStyle w:val="76"/>
        <w:ind w:firstLine="420"/>
      </w:pPr>
      <w:r>
        <w:rPr>
          <w:rFonts w:hint="eastAsia"/>
        </w:rPr>
        <w:t xml:space="preserve">P   </w:t>
      </w:r>
      <w:r>
        <w:t xml:space="preserve">  </w:t>
      </w:r>
      <w:r>
        <w:rPr>
          <w:rFonts w:hint="eastAsia"/>
        </w:rPr>
        <w:t>——为测定日单位叶面积的净同化总量单位为毫摩尔每平方米每天（mmol/(m</w:t>
      </w:r>
      <w:r>
        <w:rPr>
          <w:rFonts w:hint="eastAsia"/>
          <w:vertAlign w:val="superscript"/>
        </w:rPr>
        <w:t>2</w:t>
      </w:r>
      <w:r>
        <w:rPr>
          <w:rFonts w:hint="eastAsia"/>
        </w:rPr>
        <w:t>·d)）；</w:t>
      </w:r>
    </w:p>
    <w:p>
      <w:pPr>
        <w:pStyle w:val="76"/>
        <w:ind w:firstLine="420"/>
      </w:pPr>
      <w:r>
        <w:rPr>
          <w:rFonts w:hint="eastAsia"/>
        </w:rPr>
        <w:t>P</w:t>
      </w:r>
      <w:r>
        <w:rPr>
          <w:rFonts w:hint="eastAsia"/>
          <w:vertAlign w:val="subscript"/>
        </w:rPr>
        <w:t>i</w:t>
      </w:r>
      <w:r>
        <w:rPr>
          <w:rFonts w:hint="eastAsia"/>
        </w:rPr>
        <w:t xml:space="preserve">   </w:t>
      </w:r>
      <w:r>
        <w:t xml:space="preserve"> </w:t>
      </w:r>
      <w:r>
        <w:rPr>
          <w:rFonts w:hint="eastAsia"/>
        </w:rPr>
        <w:t xml:space="preserve"> ——为初测点的瞬时光合作用速率；</w:t>
      </w:r>
    </w:p>
    <w:p>
      <w:pPr>
        <w:pStyle w:val="76"/>
        <w:ind w:firstLine="420"/>
      </w:pPr>
      <w:r>
        <w:rPr>
          <w:rFonts w:hint="eastAsia"/>
        </w:rPr>
        <w:t>P</w:t>
      </w:r>
      <w:r>
        <w:rPr>
          <w:rFonts w:hint="eastAsia"/>
          <w:vertAlign w:val="subscript"/>
        </w:rPr>
        <w:t xml:space="preserve">i+1  </w:t>
      </w:r>
      <w:r>
        <w:rPr>
          <w:vertAlign w:val="subscript"/>
        </w:rPr>
        <w:t xml:space="preserve">     </w:t>
      </w:r>
      <w:r>
        <w:rPr>
          <w:rFonts w:hint="eastAsia"/>
        </w:rPr>
        <w:t>——为测点的瞬时光合作用速率,单位为微摩尔每平方米每秒（</w:t>
      </w:r>
      <w:r>
        <w:rPr>
          <w:rFonts w:hint="eastAsia" w:hAnsi="宋体" w:cs="宋体"/>
          <w:color w:val="000000" w:themeColor="text1"/>
          <w14:textFill>
            <w14:solidFill>
              <w14:schemeClr w14:val="tx1"/>
            </w14:solidFill>
          </w14:textFill>
        </w:rPr>
        <w:t>ų</w:t>
      </w:r>
      <w:r>
        <w:rPr>
          <w:rFonts w:hint="eastAsia" w:hAnsi="宋体" w:cs="宋体"/>
        </w:rPr>
        <w:t>mol</w:t>
      </w:r>
      <w:r>
        <w:rPr>
          <w:rFonts w:hint="eastAsia"/>
        </w:rPr>
        <w:t>/(m</w:t>
      </w:r>
      <w:r>
        <w:rPr>
          <w:rFonts w:hint="eastAsia"/>
          <w:vertAlign w:val="superscript"/>
        </w:rPr>
        <w:t>2</w:t>
      </w:r>
      <w:r>
        <w:rPr>
          <w:rFonts w:hint="eastAsia"/>
        </w:rPr>
        <w:t>·s)）；</w:t>
      </w:r>
    </w:p>
    <w:p>
      <w:pPr>
        <w:pStyle w:val="76"/>
        <w:ind w:firstLine="420"/>
      </w:pPr>
      <w:r>
        <w:rPr>
          <w:rFonts w:hint="eastAsia"/>
        </w:rPr>
        <w:t>t</w:t>
      </w:r>
      <w:r>
        <w:rPr>
          <w:rFonts w:hint="eastAsia"/>
          <w:vertAlign w:val="subscript"/>
        </w:rPr>
        <w:t xml:space="preserve">i     </w:t>
      </w:r>
      <w:r>
        <w:rPr>
          <w:vertAlign w:val="subscript"/>
        </w:rPr>
        <w:t xml:space="preserve">    </w:t>
      </w:r>
      <w:r>
        <w:rPr>
          <w:rFonts w:hint="eastAsia"/>
        </w:rPr>
        <w:t>——为初测点的瞬时时间；</w:t>
      </w:r>
    </w:p>
    <w:p>
      <w:pPr>
        <w:pStyle w:val="76"/>
        <w:ind w:firstLine="420"/>
      </w:pPr>
      <w:r>
        <w:rPr>
          <w:rFonts w:hint="eastAsia"/>
        </w:rPr>
        <w:t>t</w:t>
      </w:r>
      <w:r>
        <w:rPr>
          <w:rFonts w:hint="eastAsia"/>
          <w:vertAlign w:val="subscript"/>
        </w:rPr>
        <w:t xml:space="preserve">i+1   </w:t>
      </w:r>
      <w:r>
        <w:rPr>
          <w:vertAlign w:val="subscript"/>
        </w:rPr>
        <w:t xml:space="preserve">    </w:t>
      </w:r>
      <w:r>
        <w:rPr>
          <w:rFonts w:hint="eastAsia"/>
        </w:rPr>
        <w:t>——为i+1测点的时间；</w:t>
      </w:r>
    </w:p>
    <w:p>
      <w:pPr>
        <w:pStyle w:val="76"/>
        <w:ind w:firstLine="420"/>
      </w:pPr>
      <w:r>
        <w:rPr>
          <w:rFonts w:hint="eastAsia"/>
        </w:rPr>
        <w:t xml:space="preserve">j    </w:t>
      </w:r>
      <w:r>
        <w:t xml:space="preserve"> </w:t>
      </w:r>
      <w:r>
        <w:rPr>
          <w:rFonts w:hint="eastAsia"/>
        </w:rPr>
        <w:t>——为测试次数。</w:t>
      </w:r>
    </w:p>
    <w:p>
      <w:pPr>
        <w:pStyle w:val="76"/>
        <w:ind w:firstLine="420"/>
      </w:pPr>
      <w:r>
        <w:rPr>
          <w:rFonts w:hint="eastAsia"/>
        </w:rPr>
        <w:t>一般植物晚上的暗呼吸消耗量按照白天同化量的20%计算，则单位叶面积日净固定CO</w:t>
      </w:r>
      <w:r>
        <w:rPr>
          <w:rFonts w:hint="eastAsia"/>
          <w:vertAlign w:val="subscript"/>
        </w:rPr>
        <w:t>2</w:t>
      </w:r>
      <w:r>
        <w:rPr>
          <w:rFonts w:hint="eastAsia"/>
        </w:rPr>
        <w:t>量</w:t>
      </w:r>
      <w:r>
        <w:rPr>
          <w:rFonts w:hint="eastAsia" w:hAnsi="宋体"/>
        </w:rPr>
        <w:t>采用以下公式获得</w:t>
      </w:r>
      <w:r>
        <w:rPr>
          <w:rFonts w:hint="eastAsia"/>
          <w:shd w:val="clear" w:color="auto" w:fill="FFFFFF"/>
        </w:rPr>
        <w:t>：</w:t>
      </w:r>
    </w:p>
    <w:p>
      <w:pPr>
        <w:pStyle w:val="133"/>
      </w:pPr>
      <w:r>
        <w:tab/>
      </w:r>
      <m:oMath>
        <m:sSub>
          <m:sSubPr>
            <m:ctrlPr>
              <w:rPr>
                <w:rFonts w:ascii="Cambria Math" w:hAnsi="Cambria Math"/>
                <w:i/>
              </w:rPr>
            </m:ctrlPr>
          </m:sSubPr>
          <m:e>
            <m:r>
              <m:rPr/>
              <w:rPr>
                <w:rFonts w:ascii="Cambria Math" w:hAnsi="Cambria Math"/>
              </w:rPr>
              <m:t>W</m:t>
            </m:r>
            <m:ctrlPr>
              <w:rPr>
                <w:rFonts w:ascii="Cambria Math" w:hAnsi="Cambria Math"/>
                <w:i/>
              </w:rPr>
            </m:ctrlPr>
          </m:e>
          <m:sub>
            <m:sSub>
              <m:sSubPr>
                <m:ctrlPr>
                  <w:rPr>
                    <w:rFonts w:ascii="Cambria Math" w:hAnsi="Cambria Math"/>
                    <w:i/>
                  </w:rPr>
                </m:ctrlPr>
              </m:sSubPr>
              <m:e>
                <m:r>
                  <m:rPr/>
                  <w:rPr>
                    <w:rFonts w:ascii="Cambria Math" w:hAnsi="Cambria Math"/>
                  </w:rPr>
                  <m:t>CO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ascii="Cambria Math" w:hAnsi="Cambria Math"/>
          </w:rPr>
          <m:t>=P</m:t>
        </m:r>
        <m:r>
          <m:rPr/>
          <w:rPr>
            <w:rFonts w:hint="eastAsia" w:ascii="Cambria Math" w:hAnsi="Cambria Math"/>
          </w:rPr>
          <m:t>×</m:t>
        </m:r>
        <m:r>
          <m:rPr/>
          <w:rPr>
            <w:rFonts w:ascii="Cambria Math" w:hAnsi="Cambria Math"/>
          </w:rPr>
          <m:t>(1−0.2)</m:t>
        </m:r>
        <m:r>
          <m:rPr/>
          <w:rPr>
            <w:rFonts w:hint="eastAsia" w:ascii="Cambria Math" w:hAnsi="Cambria Math"/>
          </w:rPr>
          <m:t>×</m:t>
        </m:r>
        <m:f>
          <m:fPr>
            <m:ctrlPr>
              <w:rPr>
                <w:rFonts w:ascii="Cambria Math" w:hAnsi="Cambria Math"/>
                <w:i/>
              </w:rPr>
            </m:ctrlPr>
          </m:fPr>
          <m:num>
            <m:r>
              <m:rPr/>
              <w:rPr>
                <w:rFonts w:ascii="Cambria Math" w:hAnsi="Cambria Math"/>
              </w:rPr>
              <m:t>44</m:t>
            </m:r>
            <m:ctrlPr>
              <w:rPr>
                <w:rFonts w:ascii="Cambria Math" w:hAnsi="Cambria Math"/>
                <w:i/>
              </w:rPr>
            </m:ctrlPr>
          </m:num>
          <m:den>
            <m:r>
              <m:rPr/>
              <w:rPr>
                <w:rFonts w:ascii="Cambria Math" w:hAnsi="Cambria Math"/>
              </w:rPr>
              <m:t>1000</m:t>
            </m:r>
            <m:ctrlPr>
              <w:rPr>
                <w:rFonts w:ascii="Cambria Math" w:hAnsi="Cambria Math"/>
                <w:i/>
              </w:rPr>
            </m:ctrlPr>
          </m:den>
        </m:f>
        <m:r>
          <m:rPr/>
          <w:rPr>
            <w:rFonts w:ascii="Cambria Math" w:hAnsi="Cambria Math"/>
          </w:rPr>
          <m:t xml:space="preserve"> </m:t>
        </m:r>
      </m:oMath>
      <w:r>
        <w:rPr>
          <w:rFonts w:ascii="微软雅黑" w:hAnsi="微软雅黑" w:eastAsia="微软雅黑"/>
        </w:rPr>
        <w:tab/>
      </w:r>
      <w:r>
        <w:t>(</w:t>
      </w:r>
      <w:r>
        <w:rPr>
          <w:rFonts w:hint="eastAsia"/>
        </w:rPr>
        <w:t>1</w:t>
      </w:r>
      <w:r>
        <w:t>2)</w:t>
      </w:r>
    </w:p>
    <w:p>
      <w:pPr>
        <w:pStyle w:val="75"/>
        <w:ind w:firstLine="420"/>
      </w:pPr>
      <w:r>
        <w:rPr>
          <w:rFonts w:hint="eastAsia"/>
        </w:rPr>
        <w:t>式中：</w:t>
      </w:r>
    </w:p>
    <w:p>
      <w:pPr>
        <w:pStyle w:val="76"/>
        <w:ind w:firstLine="420"/>
      </w:pPr>
      <m:oMath>
        <m:sSub>
          <m:sSubPr>
            <m:ctrlPr>
              <w:rPr>
                <w:rFonts w:ascii="Cambria Math" w:hAnsi="Cambria Math"/>
                <w:i/>
              </w:rPr>
            </m:ctrlPr>
          </m:sSubPr>
          <m:e>
            <m:r>
              <m:rPr/>
              <w:rPr>
                <w:rFonts w:ascii="Cambria Math" w:hAnsi="Cambria Math"/>
              </w:rPr>
              <m:t>W</m:t>
            </m:r>
            <m:ctrlPr>
              <w:rPr>
                <w:rFonts w:ascii="Cambria Math" w:hAnsi="Cambria Math"/>
                <w:i/>
              </w:rPr>
            </m:ctrlPr>
          </m:e>
          <m:sub>
            <m:sSub>
              <m:sSubPr>
                <m:ctrlPr>
                  <w:rPr>
                    <w:rFonts w:ascii="Cambria Math" w:hAnsi="Cambria Math"/>
                    <w:i/>
                  </w:rPr>
                </m:ctrlPr>
              </m:sSubPr>
              <m:e>
                <m:r>
                  <m:rPr/>
                  <w:rPr>
                    <w:rFonts w:ascii="Cambria Math" w:hAnsi="Cambria Math"/>
                  </w:rPr>
                  <m:t>CO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oMath>
      <w:r>
        <w:rPr>
          <w:rFonts w:hint="eastAsia"/>
        </w:rPr>
        <w:t xml:space="preserve">  ——为测定日单位叶面积的净固定CO</w:t>
      </w:r>
      <w:r>
        <w:rPr>
          <w:rFonts w:hint="eastAsia"/>
          <w:vertAlign w:val="subscript"/>
        </w:rPr>
        <w:t>2</w:t>
      </w:r>
      <w:r>
        <w:rPr>
          <w:rFonts w:hint="eastAsia"/>
        </w:rPr>
        <w:t>的质量，单位为克每平方米每天（g/(m</w:t>
      </w:r>
      <w:r>
        <w:rPr>
          <w:rFonts w:hint="eastAsia"/>
          <w:vertAlign w:val="superscript"/>
        </w:rPr>
        <w:t>2</w:t>
      </w:r>
      <w:r>
        <w:rPr>
          <w:rFonts w:hint="eastAsia"/>
        </w:rPr>
        <w:t>·d)）;</w:t>
      </w:r>
    </w:p>
    <w:p>
      <w:pPr>
        <w:pStyle w:val="76"/>
        <w:ind w:firstLine="420"/>
      </w:pPr>
      <w:bookmarkStart w:id="263" w:name="_Toc23692"/>
      <w:r>
        <w:rPr>
          <w:rFonts w:hint="eastAsia"/>
        </w:rPr>
        <w:t>44     ——为CO</w:t>
      </w:r>
      <w:r>
        <w:rPr>
          <w:rFonts w:hint="eastAsia"/>
          <w:vertAlign w:val="superscript"/>
        </w:rPr>
        <w:t>2</w:t>
      </w:r>
      <w:r>
        <w:rPr>
          <w:rFonts w:hint="eastAsia"/>
        </w:rPr>
        <w:t>的摩尔质量，其单位为克每摩尔（g/mol）。</w:t>
      </w:r>
      <w:bookmarkEnd w:id="263"/>
    </w:p>
    <w:p>
      <w:pPr>
        <w:pStyle w:val="76"/>
        <w:ind w:firstLine="420"/>
      </w:pPr>
      <w:r>
        <w:rPr>
          <w:rFonts w:hint="eastAsia"/>
        </w:rPr>
        <w:t>被测定植物在测定当日单位土地面积上每天吸收CO</w:t>
      </w:r>
      <w:r>
        <w:rPr>
          <w:rFonts w:hint="eastAsia"/>
          <w:vertAlign w:val="subscript"/>
        </w:rPr>
        <w:t>2</w:t>
      </w:r>
      <w:r>
        <w:rPr>
          <w:rFonts w:hint="eastAsia" w:hAnsi="宋体"/>
        </w:rPr>
        <w:t>采用以下公式获得</w:t>
      </w:r>
      <w:r>
        <w:rPr>
          <w:rFonts w:hint="eastAsia"/>
          <w:shd w:val="clear" w:color="auto" w:fill="FFFFFF"/>
        </w:rPr>
        <w:t>：</w:t>
      </w:r>
    </w:p>
    <w:p>
      <w:pPr>
        <w:pStyle w:val="133"/>
      </w:pPr>
      <w:r>
        <w:tab/>
      </w:r>
      <m:oMath>
        <m:sSub>
          <m:sSubPr>
            <m:ctrlPr>
              <w:rPr>
                <w:rFonts w:ascii="Cambria Math" w:hAnsi="Cambria Math"/>
                <w:i/>
              </w:rPr>
            </m:ctrlPr>
          </m:sSubPr>
          <m:e>
            <m:r>
              <m:rPr/>
              <w:rPr>
                <w:rFonts w:ascii="Cambria Math" w:hAnsi="Cambria Math"/>
              </w:rPr>
              <m:t>Q</m:t>
            </m:r>
            <m:ctrlPr>
              <w:rPr>
                <w:rFonts w:ascii="Cambria Math" w:hAnsi="Cambria Math"/>
                <w:i/>
              </w:rPr>
            </m:ctrlPr>
          </m:e>
          <m:sub>
            <m:sSub>
              <m:sSubPr>
                <m:ctrlPr>
                  <w:rPr>
                    <w:rFonts w:ascii="Cambria Math" w:hAnsi="Cambria Math"/>
                    <w:i/>
                  </w:rPr>
                </m:ctrlPr>
              </m:sSubPr>
              <m:e>
                <m:r>
                  <m:rPr/>
                  <w:rPr>
                    <w:rFonts w:ascii="Cambria Math" w:hAnsi="Cambria Math"/>
                  </w:rPr>
                  <m:t>CO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W</m:t>
            </m:r>
            <m:ctrlPr>
              <w:rPr>
                <w:rFonts w:ascii="Cambria Math" w:hAnsi="Cambria Math"/>
                <w:i/>
              </w:rPr>
            </m:ctrlPr>
          </m:e>
          <m:sub>
            <m:sSub>
              <m:sSubPr>
                <m:ctrlPr>
                  <w:rPr>
                    <w:rFonts w:ascii="Cambria Math" w:hAnsi="Cambria Math"/>
                    <w:i/>
                  </w:rPr>
                </m:ctrlPr>
              </m:sSubPr>
              <m:e>
                <m:r>
                  <m:rPr/>
                  <w:rPr>
                    <w:rFonts w:ascii="Cambria Math" w:hAnsi="Cambria Math"/>
                  </w:rPr>
                  <m:t>CO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hint="eastAsia" w:ascii="Cambria Math" w:hAnsi="Cambria Math"/>
          </w:rPr>
          <m:t>×</m:t>
        </m:r>
        <m:r>
          <m:rPr/>
          <w:rPr>
            <w:rFonts w:ascii="Cambria Math" w:hAnsi="Cambria Math"/>
          </w:rPr>
          <m:t xml:space="preserve">LAI </m:t>
        </m:r>
      </m:oMath>
      <w:r>
        <w:rPr>
          <w:rFonts w:ascii="微软雅黑" w:hAnsi="微软雅黑" w:eastAsia="微软雅黑"/>
        </w:rPr>
        <w:tab/>
      </w:r>
      <w:r>
        <w:t>(</w:t>
      </w:r>
      <w:r>
        <w:rPr>
          <w:rFonts w:hint="eastAsia"/>
        </w:rPr>
        <w:t>1</w:t>
      </w:r>
      <w:r>
        <w:t>3)</w:t>
      </w:r>
    </w:p>
    <w:p>
      <w:pPr>
        <w:pStyle w:val="75"/>
        <w:ind w:firstLine="420"/>
      </w:pPr>
      <w:r>
        <w:rPr>
          <w:rFonts w:hint="eastAsia"/>
        </w:rPr>
        <w:t>式中：</w:t>
      </w:r>
    </w:p>
    <w:p>
      <w:pPr>
        <w:pStyle w:val="76"/>
        <w:ind w:firstLine="420"/>
      </w:pPr>
      <w:r>
        <w:rPr>
          <w:rFonts w:hint="eastAsia"/>
        </w:rPr>
        <w:t>Q</w:t>
      </w:r>
      <w:r>
        <w:rPr>
          <w:rFonts w:hint="eastAsia"/>
          <w:vertAlign w:val="subscript"/>
        </w:rPr>
        <w:t xml:space="preserve">CO2       </w:t>
      </w:r>
      <w:r>
        <w:rPr>
          <w:rFonts w:hint="eastAsia"/>
        </w:rPr>
        <w:t>——为测定日单位土地面积的净固定CO</w:t>
      </w:r>
      <w:r>
        <w:rPr>
          <w:rFonts w:hint="eastAsia"/>
          <w:vertAlign w:val="subscript"/>
        </w:rPr>
        <w:t>2</w:t>
      </w:r>
      <w:r>
        <w:rPr>
          <w:rFonts w:hint="eastAsia"/>
        </w:rPr>
        <w:t>的质量，单位为克每平方米每天（g/(m</w:t>
      </w:r>
      <w:r>
        <w:rPr>
          <w:rFonts w:hint="eastAsia"/>
          <w:vertAlign w:val="superscript"/>
        </w:rPr>
        <w:t>2</w:t>
      </w:r>
      <w:r>
        <w:rPr>
          <w:rFonts w:hint="eastAsia"/>
        </w:rPr>
        <w:t>·d)）;</w:t>
      </w:r>
    </w:p>
    <w:p>
      <w:pPr>
        <w:pStyle w:val="76"/>
        <w:ind w:firstLine="420"/>
      </w:pPr>
      <w:r>
        <w:rPr>
          <w:rFonts w:hint="eastAsia"/>
        </w:rPr>
        <w:t>LAI   ——为植物单株叶面积指数。</w:t>
      </w:r>
    </w:p>
    <w:p>
      <w:pPr>
        <w:pStyle w:val="76"/>
        <w:ind w:firstLine="420"/>
      </w:pPr>
      <w:r>
        <w:rPr>
          <w:rFonts w:hint="eastAsia"/>
        </w:rPr>
        <w:t>单株植物平均每天固定CO</w:t>
      </w:r>
      <w:r>
        <w:rPr>
          <w:rFonts w:hint="eastAsia"/>
          <w:vertAlign w:val="subscript"/>
        </w:rPr>
        <w:t>2</w:t>
      </w:r>
      <w:r>
        <w:rPr>
          <w:rFonts w:hint="eastAsia"/>
        </w:rPr>
        <w:t>量</w:t>
      </w:r>
      <w:r>
        <w:rPr>
          <w:rFonts w:hint="eastAsia" w:hAnsi="宋体"/>
        </w:rPr>
        <w:t>采用以下公式获得</w:t>
      </w:r>
      <w:r>
        <w:rPr>
          <w:rFonts w:hint="eastAsia"/>
          <w:shd w:val="clear" w:color="auto" w:fill="FFFFFF"/>
        </w:rPr>
        <w:t>：</w:t>
      </w:r>
    </w:p>
    <w:p>
      <w:pPr>
        <w:pStyle w:val="133"/>
      </w:pPr>
      <w:r>
        <w:tab/>
      </w:r>
      <m:oMath>
        <m:sSub>
          <m:sSubPr>
            <m:ctrlPr>
              <w:rPr>
                <w:rFonts w:ascii="Cambria Math" w:hAnsi="Cambria Math"/>
                <w:i/>
              </w:rPr>
            </m:ctrlPr>
          </m:sSubPr>
          <m:e>
            <m:r>
              <m:rPr/>
              <w:rPr>
                <w:rFonts w:ascii="Cambria Math" w:hAnsi="Cambria Math"/>
              </w:rPr>
              <m:t>Q</m:t>
            </m:r>
            <m:ctrlPr>
              <w:rPr>
                <w:rFonts w:ascii="Cambria Math" w:hAnsi="Cambria Math"/>
                <w:i/>
              </w:rPr>
            </m:ctrlPr>
          </m:e>
          <m:sub>
            <m:sSub>
              <m:sSubPr>
                <m:ctrlPr>
                  <w:rPr>
                    <w:rFonts w:ascii="Cambria Math" w:hAnsi="Cambria Math"/>
                    <w:i/>
                  </w:rPr>
                </m:ctrlPr>
              </m:sSubPr>
              <m:e>
                <m:r>
                  <m:rPr/>
                  <w:rPr>
                    <w:rFonts w:ascii="Cambria Math" w:hAnsi="Cambria Math"/>
                  </w:rPr>
                  <m:t>co</m:t>
                </m:r>
                <m:ctrlPr>
                  <w:rPr>
                    <w:rFonts w:ascii="Cambria Math" w:hAnsi="Cambria Math"/>
                    <w:i/>
                  </w:rPr>
                </m:ctrlPr>
              </m:e>
              <m:sub>
                <m:r>
                  <m:rPr/>
                  <w:rPr>
                    <w:rFonts w:ascii="Cambria Math" w:hAnsi="Cambria Math"/>
                  </w:rPr>
                  <m:t>2</m:t>
                </m:r>
                <m:ctrlPr>
                  <w:rPr>
                    <w:rFonts w:ascii="Cambria Math" w:hAnsi="Cambria Math"/>
                    <w:i/>
                  </w:rPr>
                </m:ctrlPr>
              </m:sub>
            </m:sSub>
            <m:r>
              <m:rPr/>
              <w:rPr>
                <w:rFonts w:hint="eastAsia" w:ascii="Cambria Math" w:hAnsi="Cambria Math"/>
              </w:rPr>
              <m:t>平均</m:t>
            </m:r>
            <m:ctrlPr>
              <w:rPr>
                <w:rFonts w:ascii="Cambria Math" w:hAnsi="Cambria Math"/>
                <w:i/>
              </w:rPr>
            </m:ctrlPr>
          </m:sub>
        </m:sSub>
        <m:r>
          <m:rPr/>
          <w:rPr>
            <w:rFonts w:ascii="Cambria Math" w:hAnsi="Cambria Math"/>
          </w:rPr>
          <m:t>=Y</m:t>
        </m:r>
        <m:r>
          <m:rPr/>
          <w:rPr>
            <w:rFonts w:hint="eastAsia" w:ascii="Cambria Math" w:hAnsi="Cambria Math"/>
          </w:rPr>
          <m:t>×</m:t>
        </m:r>
        <m:sSub>
          <m:sSubPr>
            <m:ctrlPr>
              <w:rPr>
                <w:rFonts w:ascii="Cambria Math" w:hAnsi="Cambria Math"/>
                <w:i/>
              </w:rPr>
            </m:ctrlPr>
          </m:sSubPr>
          <m:e>
            <m:r>
              <m:rPr/>
              <w:rPr>
                <w:rFonts w:ascii="Cambria Math" w:hAnsi="Cambria Math"/>
              </w:rPr>
              <m:t>W</m:t>
            </m:r>
            <m:ctrlPr>
              <w:rPr>
                <w:rFonts w:ascii="Cambria Math" w:hAnsi="Cambria Math"/>
                <w:i/>
              </w:rPr>
            </m:ctrlPr>
          </m:e>
          <m:sub>
            <m:sSub>
              <m:sSubPr>
                <m:ctrlPr>
                  <w:rPr>
                    <w:rFonts w:ascii="Cambria Math" w:hAnsi="Cambria Math"/>
                    <w:i/>
                  </w:rPr>
                </m:ctrlPr>
              </m:sSubPr>
              <m:e>
                <m:r>
                  <m:rPr/>
                  <w:rPr>
                    <w:rFonts w:ascii="Cambria Math" w:hAnsi="Cambria Math"/>
                  </w:rPr>
                  <m:t>CO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ascii="Cambria Math" w:hAnsi="Cambria Math"/>
          </w:rPr>
          <m:t xml:space="preserve"> </m:t>
        </m:r>
      </m:oMath>
      <w:r>
        <w:rPr>
          <w:rFonts w:ascii="微软雅黑" w:hAnsi="微软雅黑" w:eastAsia="微软雅黑"/>
        </w:rPr>
        <w:tab/>
      </w:r>
      <w:r>
        <w:t>(</w:t>
      </w:r>
      <w:r>
        <w:rPr>
          <w:rFonts w:hint="eastAsia"/>
        </w:rPr>
        <w:t>1</w:t>
      </w:r>
      <w:r>
        <w:t>4)</w:t>
      </w:r>
    </w:p>
    <w:p>
      <w:pPr>
        <w:pStyle w:val="75"/>
        <w:ind w:firstLine="420"/>
      </w:pPr>
      <w:r>
        <w:rPr>
          <w:rFonts w:hint="eastAsia"/>
        </w:rPr>
        <w:t>式中：</w:t>
      </w:r>
    </w:p>
    <w:p>
      <w:pPr>
        <w:pStyle w:val="76"/>
        <w:ind w:firstLine="420"/>
      </w:pPr>
      <w:r>
        <w:rPr>
          <w:rFonts w:hint="eastAsia"/>
        </w:rPr>
        <w:t>Q</w:t>
      </w:r>
      <w:r>
        <w:rPr>
          <w:rFonts w:hint="eastAsia"/>
          <w:vertAlign w:val="subscript"/>
        </w:rPr>
        <w:t xml:space="preserve">CO2平均   </w:t>
      </w:r>
      <w:r>
        <w:rPr>
          <w:vertAlign w:val="subscript"/>
        </w:rPr>
        <w:t xml:space="preserve"> </w:t>
      </w:r>
      <w:r>
        <w:rPr>
          <w:rFonts w:hint="eastAsia"/>
          <w:vertAlign w:val="subscript"/>
        </w:rPr>
        <w:t xml:space="preserve"> </w:t>
      </w:r>
      <w:r>
        <w:rPr>
          <w:rFonts w:hint="eastAsia"/>
        </w:rPr>
        <w:t>——为单株植物平均日固定CO</w:t>
      </w:r>
      <w:r>
        <w:rPr>
          <w:rFonts w:hint="eastAsia"/>
          <w:vertAlign w:val="subscript"/>
        </w:rPr>
        <w:t>2</w:t>
      </w:r>
      <w:r>
        <w:rPr>
          <w:rFonts w:hint="eastAsia"/>
        </w:rPr>
        <w:t>的量，单位为克每天（g/d）;</w:t>
      </w:r>
    </w:p>
    <w:p>
      <w:pPr>
        <w:pStyle w:val="76"/>
        <w:ind w:firstLine="420"/>
      </w:pPr>
      <w:r>
        <w:rPr>
          <w:rFonts w:hint="eastAsia"/>
        </w:rPr>
        <w:t>Y      ——为植物单株总叶面积;</w:t>
      </w:r>
    </w:p>
    <w:p>
      <w:pPr>
        <w:pStyle w:val="76"/>
        <w:ind w:firstLine="420"/>
        <w:rPr>
          <w:rFonts w:hAnsi="宋体" w:cs="宋体"/>
          <w:bCs/>
          <w:szCs w:val="21"/>
        </w:rPr>
      </w:pPr>
      <w:r>
        <w:rPr>
          <w:rFonts w:hint="eastAsia"/>
        </w:rPr>
        <w:t>P</w:t>
      </w:r>
      <w:r>
        <w:rPr>
          <w:rFonts w:hint="eastAsia"/>
          <w:vertAlign w:val="subscript"/>
        </w:rPr>
        <w:t xml:space="preserve">i           </w:t>
      </w:r>
      <w:r>
        <w:rPr>
          <w:rFonts w:hint="eastAsia"/>
        </w:rPr>
        <w:t>——为平均单位面积的日同化量，单位为毫摩尔每平方米每天（mmol/（m</w:t>
      </w:r>
      <w:r>
        <w:rPr>
          <w:rFonts w:hint="eastAsia"/>
          <w:vertAlign w:val="superscript"/>
        </w:rPr>
        <w:t>2</w:t>
      </w:r>
      <w:r>
        <w:rPr>
          <w:rFonts w:hint="eastAsia"/>
        </w:rPr>
        <w:t>·d））。</w:t>
      </w:r>
    </w:p>
    <w:p>
      <w:pPr>
        <w:pStyle w:val="124"/>
        <w:spacing w:before="312" w:after="312"/>
      </w:pPr>
      <w:bookmarkStart w:id="264" w:name="_Toc142550488"/>
      <w:bookmarkStart w:id="265" w:name="_Toc146472750"/>
      <w:bookmarkStart w:id="266" w:name="_Toc146472730"/>
      <w:bookmarkStart w:id="267" w:name="_Toc149555008"/>
      <w:bookmarkStart w:id="268" w:name="_Toc142550524"/>
      <w:bookmarkStart w:id="269" w:name="_Toc23242"/>
      <w:bookmarkStart w:id="270" w:name="_Toc149749340"/>
      <w:bookmarkStart w:id="271" w:name="_Toc142470999"/>
      <w:bookmarkStart w:id="272" w:name="_Toc146474204"/>
      <w:r>
        <w:rPr>
          <w:rFonts w:hint="eastAsia"/>
        </w:rPr>
        <w:t>监测结果</w:t>
      </w:r>
      <w:bookmarkEnd w:id="264"/>
      <w:bookmarkEnd w:id="265"/>
      <w:bookmarkEnd w:id="266"/>
      <w:bookmarkEnd w:id="267"/>
      <w:bookmarkEnd w:id="268"/>
      <w:bookmarkEnd w:id="269"/>
      <w:bookmarkEnd w:id="270"/>
      <w:bookmarkEnd w:id="271"/>
      <w:bookmarkEnd w:id="272"/>
    </w:p>
    <w:p>
      <w:pPr>
        <w:pStyle w:val="125"/>
        <w:spacing w:before="156" w:after="156"/>
      </w:pPr>
      <w:bookmarkStart w:id="273" w:name="_Toc146472751"/>
      <w:bookmarkStart w:id="274" w:name="_Toc142550525"/>
      <w:bookmarkStart w:id="275" w:name="_Toc7405"/>
      <w:bookmarkStart w:id="276" w:name="_Toc142550489"/>
      <w:bookmarkStart w:id="277" w:name="_Toc146472731"/>
      <w:bookmarkStart w:id="278" w:name="_Toc149555009"/>
      <w:bookmarkStart w:id="279" w:name="_Toc142471000"/>
      <w:bookmarkStart w:id="280" w:name="_Toc149749341"/>
      <w:bookmarkStart w:id="281" w:name="_Toc17932"/>
      <w:bookmarkStart w:id="282" w:name="_Toc146474205"/>
      <w:r>
        <w:rPr>
          <w:rFonts w:hint="eastAsia"/>
        </w:rPr>
        <w:t>监测数据库</w:t>
      </w:r>
      <w:bookmarkEnd w:id="273"/>
      <w:bookmarkEnd w:id="274"/>
      <w:bookmarkEnd w:id="275"/>
      <w:bookmarkEnd w:id="276"/>
      <w:bookmarkEnd w:id="277"/>
      <w:bookmarkEnd w:id="278"/>
      <w:bookmarkEnd w:id="279"/>
      <w:bookmarkEnd w:id="280"/>
      <w:bookmarkEnd w:id="281"/>
      <w:bookmarkEnd w:id="282"/>
    </w:p>
    <w:p>
      <w:pPr>
        <w:pStyle w:val="76"/>
        <w:ind w:firstLine="420"/>
      </w:pPr>
      <w:r>
        <w:rPr>
          <w:rFonts w:hint="eastAsia"/>
        </w:rPr>
        <w:t>按照不同起源、不同龄级、不同密度、不同立地条件的森林部分碳汇相关数据统计，利用数据库进行汇总。各个森林样地面积乘以类型样地单位面积上的植物和土壤有机碳的碳储量得到各类型森林部分总碳储量、固碳量及碳汇量。</w:t>
      </w:r>
    </w:p>
    <w:p>
      <w:pPr>
        <w:pStyle w:val="125"/>
        <w:spacing w:before="156" w:after="156"/>
      </w:pPr>
      <w:bookmarkStart w:id="283" w:name="_Toc142550526"/>
      <w:bookmarkStart w:id="284" w:name="_Toc22981"/>
      <w:bookmarkStart w:id="285" w:name="_Toc146472732"/>
      <w:bookmarkStart w:id="286" w:name="_Toc15719"/>
      <w:bookmarkStart w:id="287" w:name="_Toc142471001"/>
      <w:bookmarkStart w:id="288" w:name="_Toc142550490"/>
      <w:bookmarkStart w:id="289" w:name="_Toc149555010"/>
      <w:bookmarkStart w:id="290" w:name="_Toc149749342"/>
      <w:bookmarkStart w:id="291" w:name="_Toc146474206"/>
      <w:bookmarkStart w:id="292" w:name="_Toc146472752"/>
      <w:r>
        <w:rPr>
          <w:rFonts w:hint="eastAsia"/>
        </w:rPr>
        <w:t>制作成果图</w:t>
      </w:r>
      <w:bookmarkEnd w:id="283"/>
      <w:bookmarkEnd w:id="284"/>
      <w:bookmarkEnd w:id="285"/>
      <w:bookmarkEnd w:id="286"/>
      <w:bookmarkEnd w:id="287"/>
      <w:bookmarkEnd w:id="288"/>
      <w:bookmarkEnd w:id="289"/>
      <w:bookmarkEnd w:id="290"/>
      <w:bookmarkEnd w:id="291"/>
      <w:bookmarkEnd w:id="292"/>
    </w:p>
    <w:p>
      <w:pPr>
        <w:pStyle w:val="76"/>
        <w:ind w:firstLine="420"/>
      </w:pPr>
      <w:r>
        <w:rPr>
          <w:rFonts w:hint="eastAsia"/>
        </w:rPr>
        <w:t>通过GIS地理信息系统软件制作成果图，包括：位置图和分布图(按森林类型、植被类型、总碳储量、植被碳储量、土壤碳储量、年固碳量、碳汇量)。</w:t>
      </w:r>
    </w:p>
    <w:p>
      <w:pPr>
        <w:pStyle w:val="125"/>
        <w:spacing w:before="156" w:after="156"/>
      </w:pPr>
      <w:bookmarkStart w:id="293" w:name="_Toc146472733"/>
      <w:bookmarkStart w:id="294" w:name="_Toc146472753"/>
      <w:bookmarkStart w:id="295" w:name="_Toc142471002"/>
      <w:bookmarkStart w:id="296" w:name="_Toc142550527"/>
      <w:bookmarkStart w:id="297" w:name="_Toc146474207"/>
      <w:bookmarkStart w:id="298" w:name="_Toc142550491"/>
      <w:bookmarkStart w:id="299" w:name="_Toc15676"/>
      <w:bookmarkStart w:id="300" w:name="_Toc18383"/>
      <w:bookmarkStart w:id="301" w:name="_Toc149555011"/>
      <w:bookmarkStart w:id="302" w:name="_Toc149749343"/>
      <w:r>
        <w:rPr>
          <w:rFonts w:hint="eastAsia"/>
        </w:rPr>
        <w:t>监测报告</w:t>
      </w:r>
      <w:bookmarkEnd w:id="293"/>
      <w:bookmarkEnd w:id="294"/>
      <w:bookmarkEnd w:id="295"/>
      <w:bookmarkEnd w:id="296"/>
      <w:bookmarkEnd w:id="297"/>
      <w:bookmarkEnd w:id="298"/>
      <w:bookmarkEnd w:id="299"/>
      <w:bookmarkEnd w:id="300"/>
      <w:bookmarkEnd w:id="301"/>
      <w:bookmarkEnd w:id="302"/>
    </w:p>
    <w:p>
      <w:pPr>
        <w:pStyle w:val="76"/>
        <w:ind w:firstLine="420"/>
      </w:pPr>
      <w:r>
        <w:rPr>
          <w:rFonts w:hint="eastAsia"/>
        </w:rPr>
        <w:t>编写监测报告，包括：监测工作概况、技术方法、森林总体概况、植被群系、土壤相关因子等基本情况，并对不同类型森林的植被和土壤碳储量、年固碳量、碳汇量变化等内容进行详细叙述，综合比较分析。</w:t>
      </w:r>
    </w:p>
    <w:p>
      <w:pPr>
        <w:pStyle w:val="76"/>
        <w:ind w:firstLine="0" w:firstLineChars="0"/>
      </w:pPr>
    </w:p>
    <w:p>
      <w:pPr>
        <w:pStyle w:val="76"/>
        <w:ind w:firstLine="0" w:firstLineChars="0"/>
        <w:sectPr>
          <w:pgSz w:w="11906" w:h="16838"/>
          <w:pgMar w:top="1928" w:right="1134" w:bottom="1134" w:left="1134" w:header="1418" w:footer="1134" w:gutter="284"/>
          <w:pgNumType w:start="1"/>
          <w:cols w:space="425" w:num="1"/>
          <w:formProt w:val="0"/>
          <w:docGrid w:type="lines" w:linePitch="312" w:charSpace="0"/>
        </w:sectPr>
      </w:pPr>
    </w:p>
    <w:bookmarkEnd w:id="30"/>
    <w:p>
      <w:pPr>
        <w:pStyle w:val="218"/>
        <w:rPr>
          <w:vanish w:val="0"/>
        </w:rPr>
      </w:pPr>
      <w:bookmarkStart w:id="303" w:name="BookMark5"/>
    </w:p>
    <w:p>
      <w:pPr>
        <w:pStyle w:val="219"/>
        <w:rPr>
          <w:vanish w:val="0"/>
        </w:rPr>
      </w:pPr>
    </w:p>
    <w:p>
      <w:pPr>
        <w:pStyle w:val="96"/>
        <w:spacing w:after="156"/>
      </w:pPr>
      <w:r>
        <w:br w:type="textWrapping"/>
      </w:r>
      <w:bookmarkStart w:id="304" w:name="_Toc146472754"/>
      <w:bookmarkStart w:id="305" w:name="_Toc146474208"/>
      <w:bookmarkStart w:id="306" w:name="_Toc142471003"/>
      <w:bookmarkStart w:id="307" w:name="_Toc149749344"/>
      <w:bookmarkStart w:id="308" w:name="_Toc149555012"/>
      <w:bookmarkStart w:id="309" w:name="_Toc142550492"/>
      <w:bookmarkStart w:id="310" w:name="_Toc142550528"/>
      <w:bookmarkStart w:id="311" w:name="_Toc146472734"/>
      <w:r>
        <w:rPr>
          <w:rFonts w:hint="eastAsia"/>
        </w:rPr>
        <w:t>（规范性）</w:t>
      </w:r>
      <w:r>
        <w:br w:type="textWrapping"/>
      </w:r>
      <w:r>
        <w:rPr>
          <w:rFonts w:hint="eastAsia"/>
        </w:rPr>
        <w:t>标准样地调查档案</w:t>
      </w:r>
      <w:bookmarkEnd w:id="304"/>
      <w:bookmarkEnd w:id="305"/>
      <w:bookmarkEnd w:id="306"/>
      <w:bookmarkEnd w:id="307"/>
      <w:bookmarkEnd w:id="308"/>
      <w:bookmarkEnd w:id="309"/>
      <w:bookmarkEnd w:id="310"/>
      <w:bookmarkEnd w:id="311"/>
    </w:p>
    <w:p>
      <w:pPr>
        <w:pStyle w:val="97"/>
        <w:spacing w:before="156" w:after="156"/>
      </w:pPr>
      <w:r>
        <w:rPr>
          <w:rFonts w:hint="eastAsia"/>
        </w:rPr>
        <w:t>乔木标准木调查记录表</w:t>
      </w:r>
    </w:p>
    <w:p>
      <w:pPr>
        <w:widowControl/>
        <w:rPr>
          <w:rFonts w:ascii="黑体" w:hAnsi="黑体" w:eastAsia="黑体" w:cs="黑体"/>
          <w:color w:val="000000"/>
          <w:kern w:val="0"/>
          <w:sz w:val="18"/>
          <w:szCs w:val="18"/>
        </w:rPr>
      </w:pPr>
      <w:r>
        <w:rPr>
          <w:rFonts w:hint="eastAsia" w:ascii="黑体" w:hAnsi="黑体" w:eastAsia="黑体" w:cs="黑体"/>
          <w:color w:val="000000"/>
          <w:kern w:val="0"/>
          <w:sz w:val="18"/>
          <w:szCs w:val="18"/>
        </w:rPr>
        <w:t>样地经纬度：E</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N</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海拔</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样地名称及编码：</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样方号：</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总盖度：</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w:t>
      </w:r>
    </w:p>
    <w:p>
      <w:pPr>
        <w:widowControl/>
        <w:rPr>
          <w:rFonts w:ascii="黑体" w:hAnsi="黑体" w:eastAsia="黑体" w:cs="黑体"/>
          <w:color w:val="000000"/>
          <w:kern w:val="0"/>
          <w:sz w:val="18"/>
          <w:szCs w:val="18"/>
        </w:rPr>
      </w:pPr>
      <w:r>
        <w:rPr>
          <w:rFonts w:hint="eastAsia" w:ascii="黑体" w:hAnsi="黑体" w:eastAsia="黑体" w:cs="黑体"/>
          <w:color w:val="000000"/>
          <w:kern w:val="0"/>
          <w:sz w:val="18"/>
          <w:szCs w:val="18"/>
        </w:rPr>
        <w:t>记录人：</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调查日期：</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年</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月</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日 坡向：</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坡度：</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土壤类型：</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w:t>
      </w:r>
    </w:p>
    <w:p>
      <w:pPr>
        <w:widowControl/>
        <w:ind w:firstLine="4140" w:firstLineChars="2300"/>
        <w:rPr>
          <w:rFonts w:ascii="黑体" w:hAnsi="黑体" w:eastAsia="黑体" w:cs="黑体"/>
          <w:color w:val="000000"/>
          <w:kern w:val="0"/>
          <w:sz w:val="18"/>
          <w:szCs w:val="18"/>
          <w:u w:val="single"/>
        </w:rPr>
      </w:pPr>
      <w:r>
        <w:rPr>
          <w:rFonts w:hint="eastAsia" w:ascii="黑体" w:hAnsi="黑体" w:eastAsia="黑体" w:cs="黑体"/>
          <w:color w:val="000000"/>
          <w:kern w:val="0"/>
          <w:sz w:val="18"/>
          <w:szCs w:val="18"/>
        </w:rPr>
        <w:t xml:space="preserve">                                   单位为：株、百分比、米</w:t>
      </w:r>
    </w:p>
    <w:tbl>
      <w:tblPr>
        <w:tblStyle w:val="44"/>
        <w:tblpPr w:leftFromText="180" w:rightFromText="180" w:vertAnchor="text" w:horzAnchor="page" w:tblpX="1367" w:tblpY="64"/>
        <w:tblOverlap w:val="never"/>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870"/>
        <w:gridCol w:w="1023"/>
        <w:gridCol w:w="1000"/>
        <w:gridCol w:w="1246"/>
        <w:gridCol w:w="814"/>
        <w:gridCol w:w="1011"/>
        <w:gridCol w:w="912"/>
        <w:gridCol w:w="971"/>
        <w:gridCol w:w="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378" w:type="pct"/>
            <w:vAlign w:val="center"/>
          </w:tcPr>
          <w:p>
            <w:pPr>
              <w:jc w:val="center"/>
              <w:rPr>
                <w:rFonts w:ascii="宋体" w:hAnsi="宋体" w:cs="宋体"/>
                <w:sz w:val="18"/>
                <w:szCs w:val="18"/>
              </w:rPr>
            </w:pPr>
            <w:r>
              <w:rPr>
                <w:rFonts w:hint="eastAsia" w:ascii="宋体" w:hAnsi="宋体" w:cs="宋体"/>
                <w:sz w:val="18"/>
                <w:szCs w:val="18"/>
              </w:rPr>
              <w:t>树种</w:t>
            </w:r>
          </w:p>
        </w:tc>
        <w:tc>
          <w:tcPr>
            <w:tcW w:w="455" w:type="pct"/>
            <w:vAlign w:val="center"/>
          </w:tcPr>
          <w:p>
            <w:pPr>
              <w:jc w:val="center"/>
              <w:rPr>
                <w:rFonts w:ascii="宋体" w:hAnsi="宋体" w:cs="宋体"/>
                <w:sz w:val="18"/>
                <w:szCs w:val="18"/>
              </w:rPr>
            </w:pPr>
            <w:r>
              <w:rPr>
                <w:rFonts w:hint="eastAsia" w:ascii="宋体" w:hAnsi="宋体" w:cs="宋体"/>
                <w:sz w:val="18"/>
                <w:szCs w:val="18"/>
              </w:rPr>
              <w:t>编号</w:t>
            </w:r>
          </w:p>
        </w:tc>
        <w:tc>
          <w:tcPr>
            <w:tcW w:w="535" w:type="pct"/>
            <w:vAlign w:val="center"/>
          </w:tcPr>
          <w:p>
            <w:pPr>
              <w:jc w:val="center"/>
              <w:rPr>
                <w:rFonts w:ascii="宋体" w:hAnsi="宋体" w:cs="宋体"/>
                <w:sz w:val="18"/>
                <w:szCs w:val="18"/>
              </w:rPr>
            </w:pPr>
            <w:r>
              <w:rPr>
                <w:rFonts w:hint="eastAsia" w:ascii="宋体" w:hAnsi="宋体" w:cs="宋体"/>
                <w:sz w:val="18"/>
                <w:szCs w:val="18"/>
              </w:rPr>
              <w:t>胸径(cm)</w:t>
            </w:r>
          </w:p>
        </w:tc>
        <w:tc>
          <w:tcPr>
            <w:tcW w:w="523" w:type="pct"/>
            <w:vAlign w:val="center"/>
          </w:tcPr>
          <w:p>
            <w:pPr>
              <w:jc w:val="center"/>
              <w:rPr>
                <w:sz w:val="18"/>
                <w:szCs w:val="18"/>
              </w:rPr>
            </w:pPr>
            <w:r>
              <w:rPr>
                <w:rFonts w:hint="eastAsia" w:ascii="宋体" w:hAnsi="宋体" w:cs="宋体"/>
                <w:sz w:val="18"/>
                <w:szCs w:val="18"/>
              </w:rPr>
              <w:t>地径(cm)</w:t>
            </w:r>
          </w:p>
        </w:tc>
        <w:tc>
          <w:tcPr>
            <w:tcW w:w="652" w:type="pc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第一枝下高</w:t>
            </w:r>
          </w:p>
        </w:tc>
        <w:tc>
          <w:tcPr>
            <w:tcW w:w="426" w:type="pct"/>
            <w:vAlign w:val="center"/>
          </w:tcPr>
          <w:p>
            <w:pPr>
              <w:widowControl/>
              <w:jc w:val="center"/>
              <w:rPr>
                <w:rFonts w:ascii="宋体" w:hAnsi="宋体" w:cs="宋体"/>
                <w:sz w:val="18"/>
                <w:szCs w:val="18"/>
              </w:rPr>
            </w:pPr>
            <w:r>
              <w:rPr>
                <w:rFonts w:hint="eastAsia" w:ascii="宋体" w:hAnsi="宋体" w:cs="宋体"/>
                <w:color w:val="000000"/>
                <w:kern w:val="0"/>
                <w:sz w:val="18"/>
                <w:szCs w:val="18"/>
              </w:rPr>
              <w:t>冠幅X</w:t>
            </w:r>
          </w:p>
        </w:tc>
        <w:tc>
          <w:tcPr>
            <w:tcW w:w="529" w:type="pct"/>
            <w:vAlign w:val="center"/>
          </w:tcPr>
          <w:p>
            <w:pPr>
              <w:widowControl/>
              <w:jc w:val="center"/>
              <w:rPr>
                <w:rFonts w:ascii="宋体" w:hAnsi="宋体" w:cs="宋体"/>
                <w:sz w:val="18"/>
                <w:szCs w:val="18"/>
              </w:rPr>
            </w:pPr>
            <w:r>
              <w:rPr>
                <w:rFonts w:hint="eastAsia" w:ascii="宋体" w:hAnsi="宋体" w:cs="宋体"/>
                <w:color w:val="000000"/>
                <w:kern w:val="0"/>
                <w:sz w:val="18"/>
                <w:szCs w:val="18"/>
              </w:rPr>
              <w:t>冠幅Y</w:t>
            </w:r>
          </w:p>
        </w:tc>
        <w:tc>
          <w:tcPr>
            <w:tcW w:w="477" w:type="pct"/>
            <w:vAlign w:val="center"/>
          </w:tcPr>
          <w:p>
            <w:pPr>
              <w:jc w:val="center"/>
              <w:rPr>
                <w:rFonts w:ascii="宋体" w:hAnsi="宋体" w:cs="宋体"/>
                <w:sz w:val="18"/>
                <w:szCs w:val="18"/>
              </w:rPr>
            </w:pPr>
            <w:r>
              <w:rPr>
                <w:rFonts w:hint="eastAsia" w:ascii="宋体" w:hAnsi="宋体" w:cs="宋体"/>
                <w:sz w:val="18"/>
                <w:szCs w:val="18"/>
              </w:rPr>
              <w:t>树高</w:t>
            </w:r>
          </w:p>
        </w:tc>
        <w:tc>
          <w:tcPr>
            <w:tcW w:w="508" w:type="pct"/>
            <w:tcBorders>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color w:val="000000"/>
                <w:kern w:val="0"/>
                <w:sz w:val="18"/>
                <w:szCs w:val="18"/>
              </w:rPr>
              <w:t>密度</w:t>
            </w:r>
          </w:p>
        </w:tc>
        <w:tc>
          <w:tcPr>
            <w:tcW w:w="518" w:type="pct"/>
            <w:tcBorders>
              <w:left w:val="single" w:color="auto" w:sz="4" w:space="0"/>
              <w:bottom w:val="single" w:color="auto" w:sz="4" w:space="0"/>
              <w:right w:val="single" w:color="auto" w:sz="4" w:space="0"/>
            </w:tcBorders>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郁闭度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378" w:type="pct"/>
            <w:vAlign w:val="center"/>
          </w:tcPr>
          <w:p>
            <w:pPr>
              <w:ind w:firstLine="480"/>
              <w:jc w:val="center"/>
              <w:rPr>
                <w:rFonts w:ascii="宋体" w:hAnsi="宋体" w:cs="宋体"/>
                <w:sz w:val="24"/>
              </w:rPr>
            </w:pPr>
          </w:p>
        </w:tc>
        <w:tc>
          <w:tcPr>
            <w:tcW w:w="455" w:type="pct"/>
            <w:vAlign w:val="center"/>
          </w:tcPr>
          <w:p>
            <w:pPr>
              <w:ind w:firstLine="480"/>
              <w:jc w:val="center"/>
              <w:rPr>
                <w:rFonts w:ascii="宋体" w:hAnsi="宋体" w:cs="宋体"/>
                <w:sz w:val="24"/>
              </w:rPr>
            </w:pPr>
          </w:p>
        </w:tc>
        <w:tc>
          <w:tcPr>
            <w:tcW w:w="535" w:type="pct"/>
            <w:vAlign w:val="center"/>
          </w:tcPr>
          <w:p>
            <w:pPr>
              <w:ind w:firstLine="480"/>
              <w:jc w:val="center"/>
              <w:rPr>
                <w:rFonts w:ascii="宋体" w:hAnsi="宋体" w:cs="宋体"/>
                <w:sz w:val="24"/>
              </w:rPr>
            </w:pPr>
          </w:p>
        </w:tc>
        <w:tc>
          <w:tcPr>
            <w:tcW w:w="523" w:type="pct"/>
            <w:vAlign w:val="center"/>
          </w:tcPr>
          <w:p>
            <w:pPr>
              <w:ind w:firstLine="480"/>
              <w:jc w:val="center"/>
              <w:rPr>
                <w:rFonts w:ascii="宋体" w:hAnsi="宋体" w:cs="宋体"/>
                <w:sz w:val="24"/>
              </w:rPr>
            </w:pPr>
          </w:p>
        </w:tc>
        <w:tc>
          <w:tcPr>
            <w:tcW w:w="652" w:type="pct"/>
            <w:vAlign w:val="center"/>
          </w:tcPr>
          <w:p>
            <w:pPr>
              <w:ind w:firstLine="480"/>
              <w:jc w:val="center"/>
              <w:rPr>
                <w:rFonts w:ascii="宋体" w:hAnsi="宋体" w:cs="宋体"/>
                <w:sz w:val="24"/>
              </w:rPr>
            </w:pPr>
          </w:p>
        </w:tc>
        <w:tc>
          <w:tcPr>
            <w:tcW w:w="426" w:type="pct"/>
            <w:vAlign w:val="center"/>
          </w:tcPr>
          <w:p>
            <w:pPr>
              <w:ind w:firstLine="480"/>
              <w:jc w:val="center"/>
              <w:rPr>
                <w:rFonts w:ascii="宋体" w:hAnsi="宋体" w:cs="宋体"/>
                <w:sz w:val="24"/>
              </w:rPr>
            </w:pPr>
          </w:p>
        </w:tc>
        <w:tc>
          <w:tcPr>
            <w:tcW w:w="529" w:type="pct"/>
            <w:vAlign w:val="center"/>
          </w:tcPr>
          <w:p>
            <w:pPr>
              <w:ind w:firstLine="480"/>
              <w:jc w:val="center"/>
              <w:rPr>
                <w:rFonts w:ascii="宋体" w:hAnsi="宋体" w:cs="宋体"/>
                <w:sz w:val="24"/>
              </w:rPr>
            </w:pPr>
          </w:p>
        </w:tc>
        <w:tc>
          <w:tcPr>
            <w:tcW w:w="477" w:type="pct"/>
            <w:vAlign w:val="center"/>
          </w:tcPr>
          <w:p>
            <w:pPr>
              <w:ind w:firstLine="480"/>
              <w:jc w:val="center"/>
              <w:rPr>
                <w:rFonts w:ascii="宋体" w:hAnsi="宋体" w:cs="宋体"/>
                <w:sz w:val="24"/>
              </w:rPr>
            </w:pPr>
          </w:p>
        </w:tc>
        <w:tc>
          <w:tcPr>
            <w:tcW w:w="508" w:type="pct"/>
            <w:tcBorders>
              <w:top w:val="single" w:color="auto" w:sz="4" w:space="0"/>
              <w:bottom w:val="single" w:color="auto" w:sz="4" w:space="0"/>
              <w:right w:val="single" w:color="auto" w:sz="4" w:space="0"/>
            </w:tcBorders>
            <w:vAlign w:val="center"/>
          </w:tcPr>
          <w:p>
            <w:pPr>
              <w:widowControl/>
              <w:ind w:firstLine="480"/>
              <w:jc w:val="center"/>
              <w:rPr>
                <w:rFonts w:ascii="宋体" w:hAnsi="宋体" w:cs="宋体"/>
                <w:kern w:val="0"/>
                <w:sz w:val="24"/>
              </w:rPr>
            </w:pPr>
          </w:p>
        </w:tc>
        <w:tc>
          <w:tcPr>
            <w:tcW w:w="518" w:type="pct"/>
            <w:tcBorders>
              <w:top w:val="single" w:color="auto" w:sz="4" w:space="0"/>
              <w:left w:val="single" w:color="auto" w:sz="4" w:space="0"/>
              <w:bottom w:val="single" w:color="auto" w:sz="4" w:space="0"/>
              <w:right w:val="single" w:color="auto" w:sz="4" w:space="0"/>
            </w:tcBorders>
            <w:vAlign w:val="center"/>
          </w:tcPr>
          <w:p>
            <w:pPr>
              <w:ind w:firstLine="48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378" w:type="pct"/>
            <w:vAlign w:val="center"/>
          </w:tcPr>
          <w:p>
            <w:pPr>
              <w:ind w:firstLine="480"/>
              <w:jc w:val="center"/>
              <w:rPr>
                <w:rFonts w:ascii="宋体" w:hAnsi="宋体" w:cs="宋体"/>
                <w:sz w:val="24"/>
              </w:rPr>
            </w:pPr>
          </w:p>
        </w:tc>
        <w:tc>
          <w:tcPr>
            <w:tcW w:w="455" w:type="pct"/>
            <w:vAlign w:val="center"/>
          </w:tcPr>
          <w:p>
            <w:pPr>
              <w:ind w:firstLine="480"/>
              <w:jc w:val="center"/>
              <w:rPr>
                <w:rFonts w:ascii="宋体" w:hAnsi="宋体" w:cs="宋体"/>
                <w:sz w:val="24"/>
              </w:rPr>
            </w:pPr>
          </w:p>
        </w:tc>
        <w:tc>
          <w:tcPr>
            <w:tcW w:w="535" w:type="pct"/>
            <w:vAlign w:val="center"/>
          </w:tcPr>
          <w:p>
            <w:pPr>
              <w:ind w:firstLine="480"/>
              <w:jc w:val="center"/>
              <w:rPr>
                <w:rFonts w:ascii="宋体" w:hAnsi="宋体" w:cs="宋体"/>
                <w:sz w:val="24"/>
              </w:rPr>
            </w:pPr>
          </w:p>
        </w:tc>
        <w:tc>
          <w:tcPr>
            <w:tcW w:w="523" w:type="pct"/>
            <w:vAlign w:val="center"/>
          </w:tcPr>
          <w:p>
            <w:pPr>
              <w:ind w:firstLine="480"/>
              <w:jc w:val="center"/>
              <w:rPr>
                <w:rFonts w:ascii="宋体" w:hAnsi="宋体" w:cs="宋体"/>
                <w:sz w:val="24"/>
              </w:rPr>
            </w:pPr>
          </w:p>
        </w:tc>
        <w:tc>
          <w:tcPr>
            <w:tcW w:w="652" w:type="pct"/>
            <w:vAlign w:val="center"/>
          </w:tcPr>
          <w:p>
            <w:pPr>
              <w:ind w:firstLine="480"/>
              <w:jc w:val="center"/>
              <w:rPr>
                <w:rFonts w:ascii="宋体" w:hAnsi="宋体" w:cs="宋体"/>
                <w:sz w:val="24"/>
              </w:rPr>
            </w:pPr>
          </w:p>
        </w:tc>
        <w:tc>
          <w:tcPr>
            <w:tcW w:w="426" w:type="pct"/>
            <w:vAlign w:val="center"/>
          </w:tcPr>
          <w:p>
            <w:pPr>
              <w:ind w:firstLine="480"/>
              <w:jc w:val="center"/>
              <w:rPr>
                <w:rFonts w:ascii="宋体" w:hAnsi="宋体" w:cs="宋体"/>
                <w:sz w:val="24"/>
              </w:rPr>
            </w:pPr>
          </w:p>
        </w:tc>
        <w:tc>
          <w:tcPr>
            <w:tcW w:w="529" w:type="pct"/>
            <w:vAlign w:val="center"/>
          </w:tcPr>
          <w:p>
            <w:pPr>
              <w:ind w:firstLine="480"/>
              <w:jc w:val="center"/>
              <w:rPr>
                <w:rFonts w:ascii="宋体" w:hAnsi="宋体" w:cs="宋体"/>
                <w:sz w:val="24"/>
              </w:rPr>
            </w:pPr>
          </w:p>
        </w:tc>
        <w:tc>
          <w:tcPr>
            <w:tcW w:w="477" w:type="pct"/>
            <w:vAlign w:val="center"/>
          </w:tcPr>
          <w:p>
            <w:pPr>
              <w:ind w:firstLine="480"/>
              <w:jc w:val="center"/>
              <w:rPr>
                <w:rFonts w:ascii="宋体" w:hAnsi="宋体" w:cs="宋体"/>
                <w:sz w:val="24"/>
              </w:rPr>
            </w:pPr>
          </w:p>
        </w:tc>
        <w:tc>
          <w:tcPr>
            <w:tcW w:w="508" w:type="pct"/>
            <w:tcBorders>
              <w:top w:val="single" w:color="auto" w:sz="4" w:space="0"/>
              <w:bottom w:val="single" w:color="auto" w:sz="4" w:space="0"/>
              <w:right w:val="single" w:color="auto" w:sz="4" w:space="0"/>
            </w:tcBorders>
            <w:vAlign w:val="center"/>
          </w:tcPr>
          <w:p>
            <w:pPr>
              <w:widowControl/>
              <w:ind w:firstLine="480"/>
              <w:jc w:val="center"/>
              <w:rPr>
                <w:rFonts w:ascii="宋体" w:hAnsi="宋体" w:cs="宋体"/>
                <w:kern w:val="0"/>
                <w:sz w:val="24"/>
              </w:rPr>
            </w:pPr>
          </w:p>
        </w:tc>
        <w:tc>
          <w:tcPr>
            <w:tcW w:w="518" w:type="pct"/>
            <w:tcBorders>
              <w:top w:val="single" w:color="auto" w:sz="4" w:space="0"/>
              <w:left w:val="single" w:color="auto" w:sz="4" w:space="0"/>
              <w:bottom w:val="single" w:color="auto" w:sz="4" w:space="0"/>
              <w:right w:val="single" w:color="auto" w:sz="4" w:space="0"/>
            </w:tcBorders>
            <w:vAlign w:val="center"/>
          </w:tcPr>
          <w:p>
            <w:pPr>
              <w:ind w:firstLine="48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78" w:type="pct"/>
            <w:vAlign w:val="center"/>
          </w:tcPr>
          <w:p>
            <w:pPr>
              <w:ind w:firstLine="480"/>
              <w:jc w:val="center"/>
              <w:rPr>
                <w:rFonts w:ascii="宋体" w:hAnsi="宋体" w:cs="宋体"/>
                <w:sz w:val="24"/>
              </w:rPr>
            </w:pPr>
          </w:p>
        </w:tc>
        <w:tc>
          <w:tcPr>
            <w:tcW w:w="455" w:type="pct"/>
            <w:vAlign w:val="center"/>
          </w:tcPr>
          <w:p>
            <w:pPr>
              <w:ind w:firstLine="480"/>
              <w:jc w:val="center"/>
              <w:rPr>
                <w:rFonts w:ascii="宋体" w:hAnsi="宋体" w:cs="宋体"/>
                <w:sz w:val="24"/>
              </w:rPr>
            </w:pPr>
          </w:p>
        </w:tc>
        <w:tc>
          <w:tcPr>
            <w:tcW w:w="535" w:type="pct"/>
            <w:vAlign w:val="center"/>
          </w:tcPr>
          <w:p>
            <w:pPr>
              <w:ind w:firstLine="480"/>
              <w:jc w:val="center"/>
              <w:rPr>
                <w:rFonts w:ascii="宋体" w:hAnsi="宋体" w:cs="宋体"/>
                <w:sz w:val="24"/>
              </w:rPr>
            </w:pPr>
          </w:p>
        </w:tc>
        <w:tc>
          <w:tcPr>
            <w:tcW w:w="523" w:type="pct"/>
            <w:vAlign w:val="center"/>
          </w:tcPr>
          <w:p>
            <w:pPr>
              <w:ind w:firstLine="480"/>
              <w:jc w:val="center"/>
              <w:rPr>
                <w:rFonts w:ascii="宋体" w:hAnsi="宋体" w:cs="宋体"/>
                <w:sz w:val="24"/>
              </w:rPr>
            </w:pPr>
          </w:p>
        </w:tc>
        <w:tc>
          <w:tcPr>
            <w:tcW w:w="652" w:type="pct"/>
            <w:vAlign w:val="center"/>
          </w:tcPr>
          <w:p>
            <w:pPr>
              <w:ind w:firstLine="480"/>
              <w:jc w:val="center"/>
              <w:rPr>
                <w:rFonts w:ascii="宋体" w:hAnsi="宋体" w:cs="宋体"/>
                <w:sz w:val="24"/>
              </w:rPr>
            </w:pPr>
          </w:p>
        </w:tc>
        <w:tc>
          <w:tcPr>
            <w:tcW w:w="426" w:type="pct"/>
            <w:vAlign w:val="center"/>
          </w:tcPr>
          <w:p>
            <w:pPr>
              <w:ind w:firstLine="480"/>
              <w:jc w:val="center"/>
              <w:rPr>
                <w:rFonts w:ascii="宋体" w:hAnsi="宋体" w:cs="宋体"/>
                <w:sz w:val="24"/>
              </w:rPr>
            </w:pPr>
          </w:p>
        </w:tc>
        <w:tc>
          <w:tcPr>
            <w:tcW w:w="529" w:type="pct"/>
            <w:vAlign w:val="center"/>
          </w:tcPr>
          <w:p>
            <w:pPr>
              <w:ind w:firstLine="480"/>
              <w:jc w:val="center"/>
              <w:rPr>
                <w:rFonts w:ascii="宋体" w:hAnsi="宋体" w:cs="宋体"/>
                <w:sz w:val="24"/>
              </w:rPr>
            </w:pPr>
          </w:p>
        </w:tc>
        <w:tc>
          <w:tcPr>
            <w:tcW w:w="477" w:type="pct"/>
            <w:vAlign w:val="center"/>
          </w:tcPr>
          <w:p>
            <w:pPr>
              <w:ind w:firstLine="480"/>
              <w:jc w:val="center"/>
              <w:rPr>
                <w:rFonts w:ascii="宋体" w:hAnsi="宋体" w:cs="宋体"/>
                <w:sz w:val="24"/>
              </w:rPr>
            </w:pPr>
          </w:p>
        </w:tc>
        <w:tc>
          <w:tcPr>
            <w:tcW w:w="508" w:type="pct"/>
            <w:tcBorders>
              <w:top w:val="single" w:color="auto" w:sz="4" w:space="0"/>
            </w:tcBorders>
            <w:vAlign w:val="center"/>
          </w:tcPr>
          <w:p>
            <w:pPr>
              <w:widowControl/>
              <w:ind w:firstLine="480"/>
              <w:jc w:val="center"/>
              <w:rPr>
                <w:rFonts w:ascii="宋体" w:hAnsi="宋体" w:cs="宋体"/>
                <w:kern w:val="0"/>
                <w:sz w:val="24"/>
              </w:rPr>
            </w:pPr>
          </w:p>
        </w:tc>
        <w:tc>
          <w:tcPr>
            <w:tcW w:w="518" w:type="pct"/>
            <w:tcBorders>
              <w:top w:val="single" w:color="auto" w:sz="4" w:space="0"/>
            </w:tcBorders>
            <w:vAlign w:val="center"/>
          </w:tcPr>
          <w:p>
            <w:pPr>
              <w:ind w:firstLine="48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78" w:type="pct"/>
            <w:vAlign w:val="center"/>
          </w:tcPr>
          <w:p>
            <w:pPr>
              <w:ind w:firstLine="480"/>
              <w:jc w:val="center"/>
              <w:rPr>
                <w:rFonts w:ascii="宋体" w:hAnsi="宋体" w:cs="宋体"/>
                <w:sz w:val="24"/>
              </w:rPr>
            </w:pPr>
          </w:p>
        </w:tc>
        <w:tc>
          <w:tcPr>
            <w:tcW w:w="455" w:type="pct"/>
            <w:vAlign w:val="center"/>
          </w:tcPr>
          <w:p>
            <w:pPr>
              <w:ind w:firstLine="480"/>
              <w:jc w:val="center"/>
              <w:rPr>
                <w:rFonts w:ascii="宋体" w:hAnsi="宋体" w:cs="宋体"/>
                <w:sz w:val="24"/>
              </w:rPr>
            </w:pPr>
          </w:p>
        </w:tc>
        <w:tc>
          <w:tcPr>
            <w:tcW w:w="535" w:type="pct"/>
            <w:vAlign w:val="center"/>
          </w:tcPr>
          <w:p>
            <w:pPr>
              <w:ind w:firstLine="480"/>
              <w:jc w:val="center"/>
              <w:rPr>
                <w:rFonts w:ascii="宋体" w:hAnsi="宋体" w:cs="宋体"/>
                <w:sz w:val="24"/>
              </w:rPr>
            </w:pPr>
          </w:p>
        </w:tc>
        <w:tc>
          <w:tcPr>
            <w:tcW w:w="523" w:type="pct"/>
            <w:vAlign w:val="center"/>
          </w:tcPr>
          <w:p>
            <w:pPr>
              <w:ind w:firstLine="480"/>
              <w:jc w:val="center"/>
              <w:rPr>
                <w:rFonts w:ascii="宋体" w:hAnsi="宋体" w:cs="宋体"/>
                <w:sz w:val="24"/>
              </w:rPr>
            </w:pPr>
          </w:p>
        </w:tc>
        <w:tc>
          <w:tcPr>
            <w:tcW w:w="652" w:type="pct"/>
            <w:vAlign w:val="center"/>
          </w:tcPr>
          <w:p>
            <w:pPr>
              <w:ind w:firstLine="480"/>
              <w:jc w:val="center"/>
              <w:rPr>
                <w:rFonts w:ascii="宋体" w:hAnsi="宋体" w:cs="宋体"/>
                <w:sz w:val="24"/>
              </w:rPr>
            </w:pPr>
          </w:p>
        </w:tc>
        <w:tc>
          <w:tcPr>
            <w:tcW w:w="426" w:type="pct"/>
            <w:vAlign w:val="center"/>
          </w:tcPr>
          <w:p>
            <w:pPr>
              <w:ind w:firstLine="480"/>
              <w:jc w:val="center"/>
              <w:rPr>
                <w:rFonts w:ascii="宋体" w:hAnsi="宋体" w:cs="宋体"/>
                <w:sz w:val="24"/>
              </w:rPr>
            </w:pPr>
          </w:p>
        </w:tc>
        <w:tc>
          <w:tcPr>
            <w:tcW w:w="529" w:type="pct"/>
            <w:vAlign w:val="center"/>
          </w:tcPr>
          <w:p>
            <w:pPr>
              <w:ind w:firstLine="480"/>
              <w:jc w:val="center"/>
              <w:rPr>
                <w:rFonts w:ascii="宋体" w:hAnsi="宋体" w:cs="宋体"/>
                <w:sz w:val="24"/>
              </w:rPr>
            </w:pPr>
          </w:p>
        </w:tc>
        <w:tc>
          <w:tcPr>
            <w:tcW w:w="477" w:type="pct"/>
            <w:vAlign w:val="center"/>
          </w:tcPr>
          <w:p>
            <w:pPr>
              <w:ind w:firstLine="480"/>
              <w:jc w:val="center"/>
              <w:rPr>
                <w:rFonts w:ascii="宋体" w:hAnsi="宋体" w:cs="宋体"/>
                <w:sz w:val="24"/>
              </w:rPr>
            </w:pPr>
          </w:p>
        </w:tc>
        <w:tc>
          <w:tcPr>
            <w:tcW w:w="508" w:type="pct"/>
            <w:vAlign w:val="center"/>
          </w:tcPr>
          <w:p>
            <w:pPr>
              <w:widowControl/>
              <w:ind w:firstLine="480"/>
              <w:jc w:val="center"/>
              <w:rPr>
                <w:rFonts w:ascii="宋体" w:hAnsi="宋体" w:cs="宋体"/>
                <w:kern w:val="0"/>
                <w:sz w:val="24"/>
              </w:rPr>
            </w:pPr>
          </w:p>
        </w:tc>
        <w:tc>
          <w:tcPr>
            <w:tcW w:w="518" w:type="pct"/>
            <w:vAlign w:val="center"/>
          </w:tcPr>
          <w:p>
            <w:pPr>
              <w:ind w:firstLine="48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378" w:type="pct"/>
            <w:vAlign w:val="center"/>
          </w:tcPr>
          <w:p>
            <w:pPr>
              <w:ind w:firstLine="480"/>
              <w:jc w:val="center"/>
              <w:rPr>
                <w:rFonts w:ascii="宋体" w:hAnsi="宋体" w:cs="宋体"/>
                <w:sz w:val="24"/>
              </w:rPr>
            </w:pPr>
          </w:p>
        </w:tc>
        <w:tc>
          <w:tcPr>
            <w:tcW w:w="455" w:type="pct"/>
            <w:vAlign w:val="center"/>
          </w:tcPr>
          <w:p>
            <w:pPr>
              <w:ind w:firstLine="480"/>
              <w:jc w:val="center"/>
              <w:rPr>
                <w:rFonts w:ascii="宋体" w:hAnsi="宋体" w:cs="宋体"/>
                <w:sz w:val="24"/>
              </w:rPr>
            </w:pPr>
          </w:p>
        </w:tc>
        <w:tc>
          <w:tcPr>
            <w:tcW w:w="535" w:type="pct"/>
            <w:vAlign w:val="center"/>
          </w:tcPr>
          <w:p>
            <w:pPr>
              <w:ind w:firstLine="480"/>
              <w:jc w:val="center"/>
              <w:rPr>
                <w:rFonts w:ascii="宋体" w:hAnsi="宋体" w:cs="宋体"/>
                <w:sz w:val="24"/>
              </w:rPr>
            </w:pPr>
          </w:p>
        </w:tc>
        <w:tc>
          <w:tcPr>
            <w:tcW w:w="523" w:type="pct"/>
            <w:vAlign w:val="center"/>
          </w:tcPr>
          <w:p>
            <w:pPr>
              <w:ind w:firstLine="480"/>
              <w:jc w:val="center"/>
              <w:rPr>
                <w:rFonts w:ascii="宋体" w:hAnsi="宋体" w:cs="宋体"/>
                <w:sz w:val="24"/>
              </w:rPr>
            </w:pPr>
          </w:p>
        </w:tc>
        <w:tc>
          <w:tcPr>
            <w:tcW w:w="652" w:type="pct"/>
            <w:vAlign w:val="center"/>
          </w:tcPr>
          <w:p>
            <w:pPr>
              <w:ind w:firstLine="480"/>
              <w:jc w:val="center"/>
              <w:rPr>
                <w:rFonts w:ascii="宋体" w:hAnsi="宋体" w:cs="宋体"/>
                <w:sz w:val="24"/>
              </w:rPr>
            </w:pPr>
          </w:p>
        </w:tc>
        <w:tc>
          <w:tcPr>
            <w:tcW w:w="426" w:type="pct"/>
            <w:vAlign w:val="center"/>
          </w:tcPr>
          <w:p>
            <w:pPr>
              <w:ind w:firstLine="480"/>
              <w:jc w:val="center"/>
              <w:rPr>
                <w:rFonts w:ascii="宋体" w:hAnsi="宋体" w:cs="宋体"/>
                <w:sz w:val="24"/>
              </w:rPr>
            </w:pPr>
          </w:p>
        </w:tc>
        <w:tc>
          <w:tcPr>
            <w:tcW w:w="529" w:type="pct"/>
            <w:vAlign w:val="center"/>
          </w:tcPr>
          <w:p>
            <w:pPr>
              <w:ind w:firstLine="480"/>
              <w:jc w:val="center"/>
              <w:rPr>
                <w:rFonts w:ascii="宋体" w:hAnsi="宋体" w:cs="宋体"/>
                <w:sz w:val="24"/>
              </w:rPr>
            </w:pPr>
          </w:p>
        </w:tc>
        <w:tc>
          <w:tcPr>
            <w:tcW w:w="477" w:type="pct"/>
            <w:vAlign w:val="center"/>
          </w:tcPr>
          <w:p>
            <w:pPr>
              <w:ind w:firstLine="480"/>
              <w:jc w:val="center"/>
              <w:rPr>
                <w:rFonts w:ascii="宋体" w:hAnsi="宋体" w:cs="宋体"/>
                <w:sz w:val="24"/>
              </w:rPr>
            </w:pPr>
          </w:p>
        </w:tc>
        <w:tc>
          <w:tcPr>
            <w:tcW w:w="508" w:type="pct"/>
            <w:vAlign w:val="center"/>
          </w:tcPr>
          <w:p>
            <w:pPr>
              <w:widowControl/>
              <w:ind w:firstLine="480"/>
              <w:jc w:val="center"/>
              <w:rPr>
                <w:rFonts w:ascii="宋体" w:hAnsi="宋体" w:cs="宋体"/>
                <w:kern w:val="0"/>
                <w:sz w:val="24"/>
              </w:rPr>
            </w:pPr>
          </w:p>
        </w:tc>
        <w:tc>
          <w:tcPr>
            <w:tcW w:w="518" w:type="pct"/>
            <w:vAlign w:val="center"/>
          </w:tcPr>
          <w:p>
            <w:pPr>
              <w:ind w:firstLine="48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378" w:type="pct"/>
            <w:vAlign w:val="center"/>
          </w:tcPr>
          <w:p>
            <w:pPr>
              <w:ind w:firstLine="480"/>
              <w:jc w:val="center"/>
              <w:rPr>
                <w:rFonts w:ascii="宋体" w:hAnsi="宋体" w:cs="宋体"/>
                <w:sz w:val="24"/>
              </w:rPr>
            </w:pPr>
          </w:p>
        </w:tc>
        <w:tc>
          <w:tcPr>
            <w:tcW w:w="455" w:type="pct"/>
            <w:vAlign w:val="center"/>
          </w:tcPr>
          <w:p>
            <w:pPr>
              <w:ind w:firstLine="480"/>
              <w:jc w:val="center"/>
              <w:rPr>
                <w:rFonts w:ascii="宋体" w:hAnsi="宋体" w:cs="宋体"/>
                <w:sz w:val="24"/>
              </w:rPr>
            </w:pPr>
          </w:p>
        </w:tc>
        <w:tc>
          <w:tcPr>
            <w:tcW w:w="535" w:type="pct"/>
            <w:vAlign w:val="center"/>
          </w:tcPr>
          <w:p>
            <w:pPr>
              <w:ind w:firstLine="480"/>
              <w:jc w:val="center"/>
              <w:rPr>
                <w:rFonts w:ascii="宋体" w:hAnsi="宋体" w:cs="宋体"/>
                <w:sz w:val="24"/>
              </w:rPr>
            </w:pPr>
          </w:p>
        </w:tc>
        <w:tc>
          <w:tcPr>
            <w:tcW w:w="523" w:type="pct"/>
            <w:vAlign w:val="center"/>
          </w:tcPr>
          <w:p>
            <w:pPr>
              <w:ind w:firstLine="480"/>
              <w:jc w:val="center"/>
              <w:rPr>
                <w:rFonts w:ascii="宋体" w:hAnsi="宋体" w:cs="宋体"/>
                <w:sz w:val="24"/>
              </w:rPr>
            </w:pPr>
          </w:p>
        </w:tc>
        <w:tc>
          <w:tcPr>
            <w:tcW w:w="652" w:type="pct"/>
            <w:vAlign w:val="center"/>
          </w:tcPr>
          <w:p>
            <w:pPr>
              <w:ind w:firstLine="480"/>
              <w:jc w:val="center"/>
              <w:rPr>
                <w:rFonts w:ascii="宋体" w:hAnsi="宋体" w:cs="宋体"/>
                <w:sz w:val="24"/>
              </w:rPr>
            </w:pPr>
          </w:p>
        </w:tc>
        <w:tc>
          <w:tcPr>
            <w:tcW w:w="426" w:type="pct"/>
            <w:vAlign w:val="center"/>
          </w:tcPr>
          <w:p>
            <w:pPr>
              <w:ind w:firstLine="480"/>
              <w:jc w:val="center"/>
              <w:rPr>
                <w:rFonts w:ascii="宋体" w:hAnsi="宋体" w:cs="宋体"/>
                <w:sz w:val="24"/>
              </w:rPr>
            </w:pPr>
          </w:p>
        </w:tc>
        <w:tc>
          <w:tcPr>
            <w:tcW w:w="529" w:type="pct"/>
            <w:vAlign w:val="center"/>
          </w:tcPr>
          <w:p>
            <w:pPr>
              <w:ind w:firstLine="480"/>
              <w:jc w:val="center"/>
              <w:rPr>
                <w:rFonts w:ascii="宋体" w:hAnsi="宋体" w:cs="宋体"/>
                <w:sz w:val="24"/>
              </w:rPr>
            </w:pPr>
          </w:p>
        </w:tc>
        <w:tc>
          <w:tcPr>
            <w:tcW w:w="477" w:type="pct"/>
            <w:vAlign w:val="center"/>
          </w:tcPr>
          <w:p>
            <w:pPr>
              <w:ind w:firstLine="480"/>
              <w:jc w:val="center"/>
              <w:rPr>
                <w:rFonts w:ascii="宋体" w:hAnsi="宋体" w:cs="宋体"/>
                <w:sz w:val="24"/>
              </w:rPr>
            </w:pPr>
          </w:p>
        </w:tc>
        <w:tc>
          <w:tcPr>
            <w:tcW w:w="508" w:type="pct"/>
            <w:vAlign w:val="center"/>
          </w:tcPr>
          <w:p>
            <w:pPr>
              <w:widowControl/>
              <w:ind w:firstLine="480"/>
              <w:jc w:val="center"/>
              <w:rPr>
                <w:rFonts w:ascii="宋体" w:hAnsi="宋体" w:cs="宋体"/>
                <w:kern w:val="0"/>
                <w:sz w:val="24"/>
              </w:rPr>
            </w:pPr>
          </w:p>
        </w:tc>
        <w:tc>
          <w:tcPr>
            <w:tcW w:w="518" w:type="pct"/>
            <w:vAlign w:val="center"/>
          </w:tcPr>
          <w:p>
            <w:pPr>
              <w:ind w:firstLine="48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378" w:type="pct"/>
            <w:vAlign w:val="center"/>
          </w:tcPr>
          <w:p>
            <w:pPr>
              <w:ind w:firstLine="480"/>
              <w:jc w:val="center"/>
              <w:rPr>
                <w:rFonts w:ascii="宋体" w:hAnsi="宋体" w:cs="宋体"/>
                <w:sz w:val="24"/>
              </w:rPr>
            </w:pPr>
          </w:p>
        </w:tc>
        <w:tc>
          <w:tcPr>
            <w:tcW w:w="455" w:type="pct"/>
            <w:vAlign w:val="center"/>
          </w:tcPr>
          <w:p>
            <w:pPr>
              <w:ind w:firstLine="480"/>
              <w:jc w:val="center"/>
              <w:rPr>
                <w:rFonts w:ascii="宋体" w:hAnsi="宋体" w:cs="宋体"/>
                <w:sz w:val="24"/>
              </w:rPr>
            </w:pPr>
          </w:p>
        </w:tc>
        <w:tc>
          <w:tcPr>
            <w:tcW w:w="535" w:type="pct"/>
            <w:vAlign w:val="center"/>
          </w:tcPr>
          <w:p>
            <w:pPr>
              <w:ind w:firstLine="480"/>
              <w:jc w:val="center"/>
              <w:rPr>
                <w:rFonts w:ascii="宋体" w:hAnsi="宋体" w:cs="宋体"/>
                <w:sz w:val="24"/>
              </w:rPr>
            </w:pPr>
          </w:p>
        </w:tc>
        <w:tc>
          <w:tcPr>
            <w:tcW w:w="523" w:type="pct"/>
            <w:vAlign w:val="center"/>
          </w:tcPr>
          <w:p>
            <w:pPr>
              <w:ind w:firstLine="480"/>
              <w:jc w:val="center"/>
              <w:rPr>
                <w:rFonts w:ascii="宋体" w:hAnsi="宋体" w:cs="宋体"/>
                <w:sz w:val="24"/>
              </w:rPr>
            </w:pPr>
          </w:p>
        </w:tc>
        <w:tc>
          <w:tcPr>
            <w:tcW w:w="652" w:type="pct"/>
            <w:vAlign w:val="center"/>
          </w:tcPr>
          <w:p>
            <w:pPr>
              <w:ind w:firstLine="480"/>
              <w:jc w:val="center"/>
              <w:rPr>
                <w:rFonts w:ascii="宋体" w:hAnsi="宋体" w:cs="宋体"/>
                <w:sz w:val="24"/>
              </w:rPr>
            </w:pPr>
          </w:p>
        </w:tc>
        <w:tc>
          <w:tcPr>
            <w:tcW w:w="426" w:type="pct"/>
            <w:vAlign w:val="center"/>
          </w:tcPr>
          <w:p>
            <w:pPr>
              <w:ind w:firstLine="480"/>
              <w:jc w:val="center"/>
              <w:rPr>
                <w:rFonts w:ascii="宋体" w:hAnsi="宋体" w:cs="宋体"/>
                <w:sz w:val="24"/>
              </w:rPr>
            </w:pPr>
          </w:p>
        </w:tc>
        <w:tc>
          <w:tcPr>
            <w:tcW w:w="529" w:type="pct"/>
            <w:vAlign w:val="center"/>
          </w:tcPr>
          <w:p>
            <w:pPr>
              <w:ind w:firstLine="480"/>
              <w:jc w:val="center"/>
              <w:rPr>
                <w:rFonts w:ascii="宋体" w:hAnsi="宋体" w:cs="宋体"/>
                <w:sz w:val="24"/>
              </w:rPr>
            </w:pPr>
          </w:p>
        </w:tc>
        <w:tc>
          <w:tcPr>
            <w:tcW w:w="477" w:type="pct"/>
            <w:vAlign w:val="center"/>
          </w:tcPr>
          <w:p>
            <w:pPr>
              <w:ind w:firstLine="480"/>
              <w:jc w:val="center"/>
              <w:rPr>
                <w:rFonts w:ascii="宋体" w:hAnsi="宋体" w:cs="宋体"/>
                <w:sz w:val="24"/>
              </w:rPr>
            </w:pPr>
          </w:p>
        </w:tc>
        <w:tc>
          <w:tcPr>
            <w:tcW w:w="508" w:type="pct"/>
            <w:vAlign w:val="center"/>
          </w:tcPr>
          <w:p>
            <w:pPr>
              <w:widowControl/>
              <w:ind w:firstLine="480"/>
              <w:jc w:val="center"/>
              <w:rPr>
                <w:rFonts w:ascii="宋体" w:hAnsi="宋体" w:cs="宋体"/>
                <w:kern w:val="0"/>
                <w:sz w:val="24"/>
              </w:rPr>
            </w:pPr>
          </w:p>
        </w:tc>
        <w:tc>
          <w:tcPr>
            <w:tcW w:w="518" w:type="pct"/>
            <w:vAlign w:val="center"/>
          </w:tcPr>
          <w:p>
            <w:pPr>
              <w:ind w:firstLine="48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9" w:hRule="atLeast"/>
        </w:trPr>
        <w:tc>
          <w:tcPr>
            <w:tcW w:w="378" w:type="pct"/>
            <w:vAlign w:val="center"/>
          </w:tcPr>
          <w:p>
            <w:pPr>
              <w:ind w:firstLine="480"/>
              <w:jc w:val="center"/>
              <w:rPr>
                <w:rFonts w:ascii="宋体" w:hAnsi="宋体" w:cs="宋体"/>
                <w:sz w:val="24"/>
              </w:rPr>
            </w:pPr>
          </w:p>
        </w:tc>
        <w:tc>
          <w:tcPr>
            <w:tcW w:w="455" w:type="pct"/>
            <w:vAlign w:val="center"/>
          </w:tcPr>
          <w:p>
            <w:pPr>
              <w:ind w:firstLine="480"/>
              <w:jc w:val="center"/>
              <w:rPr>
                <w:rFonts w:ascii="宋体" w:hAnsi="宋体" w:cs="宋体"/>
                <w:sz w:val="24"/>
              </w:rPr>
            </w:pPr>
          </w:p>
        </w:tc>
        <w:tc>
          <w:tcPr>
            <w:tcW w:w="535" w:type="pct"/>
            <w:vAlign w:val="center"/>
          </w:tcPr>
          <w:p>
            <w:pPr>
              <w:ind w:firstLine="480"/>
              <w:jc w:val="center"/>
              <w:rPr>
                <w:rFonts w:ascii="宋体" w:hAnsi="宋体" w:cs="宋体"/>
                <w:sz w:val="24"/>
              </w:rPr>
            </w:pPr>
          </w:p>
        </w:tc>
        <w:tc>
          <w:tcPr>
            <w:tcW w:w="523" w:type="pct"/>
            <w:vAlign w:val="center"/>
          </w:tcPr>
          <w:p>
            <w:pPr>
              <w:ind w:firstLine="480"/>
              <w:jc w:val="center"/>
              <w:rPr>
                <w:rFonts w:ascii="宋体" w:hAnsi="宋体" w:cs="宋体"/>
                <w:sz w:val="24"/>
              </w:rPr>
            </w:pPr>
          </w:p>
        </w:tc>
        <w:tc>
          <w:tcPr>
            <w:tcW w:w="652" w:type="pct"/>
            <w:vAlign w:val="center"/>
          </w:tcPr>
          <w:p>
            <w:pPr>
              <w:ind w:firstLine="480"/>
              <w:jc w:val="center"/>
              <w:rPr>
                <w:rFonts w:ascii="宋体" w:hAnsi="宋体" w:cs="宋体"/>
                <w:sz w:val="24"/>
              </w:rPr>
            </w:pPr>
          </w:p>
        </w:tc>
        <w:tc>
          <w:tcPr>
            <w:tcW w:w="426" w:type="pct"/>
            <w:vAlign w:val="center"/>
          </w:tcPr>
          <w:p>
            <w:pPr>
              <w:ind w:firstLine="480"/>
              <w:jc w:val="center"/>
              <w:rPr>
                <w:rFonts w:ascii="宋体" w:hAnsi="宋体" w:cs="宋体"/>
                <w:sz w:val="24"/>
              </w:rPr>
            </w:pPr>
          </w:p>
        </w:tc>
        <w:tc>
          <w:tcPr>
            <w:tcW w:w="529" w:type="pct"/>
            <w:vAlign w:val="center"/>
          </w:tcPr>
          <w:p>
            <w:pPr>
              <w:ind w:firstLine="480"/>
              <w:jc w:val="center"/>
              <w:rPr>
                <w:rFonts w:ascii="宋体" w:hAnsi="宋体" w:cs="宋体"/>
                <w:sz w:val="24"/>
              </w:rPr>
            </w:pPr>
          </w:p>
        </w:tc>
        <w:tc>
          <w:tcPr>
            <w:tcW w:w="477" w:type="pct"/>
            <w:vAlign w:val="center"/>
          </w:tcPr>
          <w:p>
            <w:pPr>
              <w:ind w:firstLine="480"/>
              <w:jc w:val="center"/>
              <w:rPr>
                <w:rFonts w:ascii="宋体" w:hAnsi="宋体" w:cs="宋体"/>
                <w:sz w:val="24"/>
              </w:rPr>
            </w:pPr>
          </w:p>
        </w:tc>
        <w:tc>
          <w:tcPr>
            <w:tcW w:w="508" w:type="pct"/>
            <w:vAlign w:val="center"/>
          </w:tcPr>
          <w:p>
            <w:pPr>
              <w:widowControl/>
              <w:ind w:firstLine="480"/>
              <w:jc w:val="center"/>
              <w:rPr>
                <w:rFonts w:ascii="宋体" w:hAnsi="宋体" w:cs="宋体"/>
                <w:kern w:val="0"/>
                <w:sz w:val="24"/>
              </w:rPr>
            </w:pPr>
          </w:p>
        </w:tc>
        <w:tc>
          <w:tcPr>
            <w:tcW w:w="518" w:type="pct"/>
            <w:vAlign w:val="center"/>
          </w:tcPr>
          <w:p>
            <w:pPr>
              <w:ind w:firstLine="48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378" w:type="pct"/>
            <w:vAlign w:val="center"/>
          </w:tcPr>
          <w:p>
            <w:pPr>
              <w:ind w:firstLine="480"/>
              <w:jc w:val="center"/>
              <w:rPr>
                <w:rFonts w:ascii="宋体" w:hAnsi="宋体" w:cs="宋体"/>
                <w:sz w:val="24"/>
              </w:rPr>
            </w:pPr>
          </w:p>
        </w:tc>
        <w:tc>
          <w:tcPr>
            <w:tcW w:w="455" w:type="pct"/>
            <w:vAlign w:val="center"/>
          </w:tcPr>
          <w:p>
            <w:pPr>
              <w:ind w:firstLine="480"/>
              <w:jc w:val="center"/>
              <w:rPr>
                <w:rFonts w:ascii="宋体" w:hAnsi="宋体" w:cs="宋体"/>
                <w:sz w:val="24"/>
              </w:rPr>
            </w:pPr>
          </w:p>
        </w:tc>
        <w:tc>
          <w:tcPr>
            <w:tcW w:w="535" w:type="pct"/>
            <w:vAlign w:val="center"/>
          </w:tcPr>
          <w:p>
            <w:pPr>
              <w:ind w:firstLine="480"/>
              <w:jc w:val="center"/>
              <w:rPr>
                <w:rFonts w:ascii="宋体" w:hAnsi="宋体" w:cs="宋体"/>
                <w:sz w:val="24"/>
              </w:rPr>
            </w:pPr>
          </w:p>
        </w:tc>
        <w:tc>
          <w:tcPr>
            <w:tcW w:w="523" w:type="pct"/>
            <w:vAlign w:val="center"/>
          </w:tcPr>
          <w:p>
            <w:pPr>
              <w:ind w:firstLine="480"/>
              <w:jc w:val="center"/>
              <w:rPr>
                <w:rFonts w:ascii="宋体" w:hAnsi="宋体" w:cs="宋体"/>
                <w:sz w:val="24"/>
              </w:rPr>
            </w:pPr>
          </w:p>
        </w:tc>
        <w:tc>
          <w:tcPr>
            <w:tcW w:w="652" w:type="pct"/>
            <w:vAlign w:val="center"/>
          </w:tcPr>
          <w:p>
            <w:pPr>
              <w:ind w:firstLine="480"/>
              <w:jc w:val="center"/>
              <w:rPr>
                <w:rFonts w:ascii="宋体" w:hAnsi="宋体" w:cs="宋体"/>
                <w:sz w:val="24"/>
              </w:rPr>
            </w:pPr>
          </w:p>
        </w:tc>
        <w:tc>
          <w:tcPr>
            <w:tcW w:w="426" w:type="pct"/>
            <w:vAlign w:val="center"/>
          </w:tcPr>
          <w:p>
            <w:pPr>
              <w:ind w:firstLine="480"/>
              <w:jc w:val="center"/>
              <w:rPr>
                <w:rFonts w:ascii="宋体" w:hAnsi="宋体" w:cs="宋体"/>
                <w:sz w:val="24"/>
              </w:rPr>
            </w:pPr>
          </w:p>
        </w:tc>
        <w:tc>
          <w:tcPr>
            <w:tcW w:w="529" w:type="pct"/>
            <w:vAlign w:val="center"/>
          </w:tcPr>
          <w:p>
            <w:pPr>
              <w:ind w:firstLine="480"/>
              <w:jc w:val="center"/>
              <w:rPr>
                <w:rFonts w:ascii="宋体" w:hAnsi="宋体" w:cs="宋体"/>
                <w:sz w:val="24"/>
              </w:rPr>
            </w:pPr>
          </w:p>
        </w:tc>
        <w:tc>
          <w:tcPr>
            <w:tcW w:w="477" w:type="pct"/>
            <w:vAlign w:val="center"/>
          </w:tcPr>
          <w:p>
            <w:pPr>
              <w:ind w:firstLine="480"/>
              <w:jc w:val="center"/>
              <w:rPr>
                <w:rFonts w:ascii="宋体" w:hAnsi="宋体" w:cs="宋体"/>
                <w:sz w:val="24"/>
              </w:rPr>
            </w:pPr>
          </w:p>
        </w:tc>
        <w:tc>
          <w:tcPr>
            <w:tcW w:w="508" w:type="pct"/>
            <w:vAlign w:val="center"/>
          </w:tcPr>
          <w:p>
            <w:pPr>
              <w:widowControl/>
              <w:ind w:firstLine="480"/>
              <w:jc w:val="center"/>
              <w:rPr>
                <w:rFonts w:ascii="宋体" w:hAnsi="宋体" w:cs="宋体"/>
                <w:kern w:val="0"/>
                <w:sz w:val="24"/>
              </w:rPr>
            </w:pPr>
          </w:p>
        </w:tc>
        <w:tc>
          <w:tcPr>
            <w:tcW w:w="518" w:type="pct"/>
            <w:vAlign w:val="center"/>
          </w:tcPr>
          <w:p>
            <w:pPr>
              <w:ind w:firstLine="48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378" w:type="pct"/>
            <w:vAlign w:val="center"/>
          </w:tcPr>
          <w:p>
            <w:pPr>
              <w:ind w:firstLine="480"/>
              <w:jc w:val="center"/>
              <w:rPr>
                <w:rFonts w:ascii="宋体" w:hAnsi="宋体" w:cs="宋体"/>
                <w:sz w:val="24"/>
              </w:rPr>
            </w:pPr>
          </w:p>
        </w:tc>
        <w:tc>
          <w:tcPr>
            <w:tcW w:w="455" w:type="pct"/>
            <w:vAlign w:val="center"/>
          </w:tcPr>
          <w:p>
            <w:pPr>
              <w:ind w:firstLine="480"/>
              <w:jc w:val="center"/>
              <w:rPr>
                <w:rFonts w:ascii="宋体" w:hAnsi="宋体" w:cs="宋体"/>
                <w:sz w:val="24"/>
              </w:rPr>
            </w:pPr>
          </w:p>
        </w:tc>
        <w:tc>
          <w:tcPr>
            <w:tcW w:w="535" w:type="pct"/>
            <w:vAlign w:val="center"/>
          </w:tcPr>
          <w:p>
            <w:pPr>
              <w:ind w:firstLine="480"/>
              <w:jc w:val="center"/>
              <w:rPr>
                <w:rFonts w:ascii="宋体" w:hAnsi="宋体" w:cs="宋体"/>
                <w:sz w:val="24"/>
              </w:rPr>
            </w:pPr>
          </w:p>
        </w:tc>
        <w:tc>
          <w:tcPr>
            <w:tcW w:w="523" w:type="pct"/>
            <w:vAlign w:val="center"/>
          </w:tcPr>
          <w:p>
            <w:pPr>
              <w:ind w:firstLine="480"/>
              <w:jc w:val="center"/>
              <w:rPr>
                <w:rFonts w:ascii="宋体" w:hAnsi="宋体" w:cs="宋体"/>
                <w:sz w:val="24"/>
              </w:rPr>
            </w:pPr>
          </w:p>
        </w:tc>
        <w:tc>
          <w:tcPr>
            <w:tcW w:w="652" w:type="pct"/>
            <w:vAlign w:val="center"/>
          </w:tcPr>
          <w:p>
            <w:pPr>
              <w:ind w:firstLine="480"/>
              <w:jc w:val="center"/>
              <w:rPr>
                <w:rFonts w:ascii="宋体" w:hAnsi="宋体" w:cs="宋体"/>
                <w:sz w:val="24"/>
              </w:rPr>
            </w:pPr>
          </w:p>
        </w:tc>
        <w:tc>
          <w:tcPr>
            <w:tcW w:w="426" w:type="pct"/>
            <w:vAlign w:val="center"/>
          </w:tcPr>
          <w:p>
            <w:pPr>
              <w:ind w:firstLine="480"/>
              <w:jc w:val="center"/>
              <w:rPr>
                <w:rFonts w:ascii="宋体" w:hAnsi="宋体" w:cs="宋体"/>
                <w:sz w:val="24"/>
              </w:rPr>
            </w:pPr>
          </w:p>
        </w:tc>
        <w:tc>
          <w:tcPr>
            <w:tcW w:w="529" w:type="pct"/>
            <w:vAlign w:val="center"/>
          </w:tcPr>
          <w:p>
            <w:pPr>
              <w:ind w:firstLine="480"/>
              <w:jc w:val="center"/>
              <w:rPr>
                <w:rFonts w:ascii="宋体" w:hAnsi="宋体" w:cs="宋体"/>
                <w:sz w:val="24"/>
              </w:rPr>
            </w:pPr>
          </w:p>
        </w:tc>
        <w:tc>
          <w:tcPr>
            <w:tcW w:w="477" w:type="pct"/>
            <w:vAlign w:val="center"/>
          </w:tcPr>
          <w:p>
            <w:pPr>
              <w:ind w:firstLine="480"/>
              <w:jc w:val="center"/>
              <w:rPr>
                <w:rFonts w:ascii="宋体" w:hAnsi="宋体" w:cs="宋体"/>
                <w:sz w:val="24"/>
              </w:rPr>
            </w:pPr>
          </w:p>
        </w:tc>
        <w:tc>
          <w:tcPr>
            <w:tcW w:w="508" w:type="pct"/>
            <w:vAlign w:val="center"/>
          </w:tcPr>
          <w:p>
            <w:pPr>
              <w:widowControl/>
              <w:ind w:firstLine="480"/>
              <w:jc w:val="center"/>
              <w:rPr>
                <w:rFonts w:ascii="宋体" w:hAnsi="宋体" w:cs="宋体"/>
                <w:kern w:val="0"/>
                <w:sz w:val="24"/>
              </w:rPr>
            </w:pPr>
          </w:p>
        </w:tc>
        <w:tc>
          <w:tcPr>
            <w:tcW w:w="518" w:type="pct"/>
            <w:vAlign w:val="center"/>
          </w:tcPr>
          <w:p>
            <w:pPr>
              <w:ind w:firstLine="480"/>
              <w:jc w:val="center"/>
              <w:rPr>
                <w:rFonts w:ascii="宋体" w:hAnsi="宋体" w:cs="宋体"/>
                <w:sz w:val="24"/>
              </w:rPr>
            </w:pPr>
          </w:p>
        </w:tc>
      </w:tr>
    </w:tbl>
    <w:p>
      <w:pPr>
        <w:pStyle w:val="76"/>
        <w:ind w:firstLine="420"/>
      </w:pPr>
    </w:p>
    <w:p>
      <w:pPr>
        <w:pStyle w:val="76"/>
        <w:ind w:firstLine="420"/>
      </w:pPr>
    </w:p>
    <w:p>
      <w:pPr>
        <w:pStyle w:val="76"/>
        <w:ind w:firstLine="420"/>
      </w:pPr>
    </w:p>
    <w:p>
      <w:pPr>
        <w:pStyle w:val="76"/>
        <w:ind w:firstLine="420"/>
      </w:pPr>
    </w:p>
    <w:p>
      <w:pPr>
        <w:pStyle w:val="76"/>
        <w:ind w:firstLine="420"/>
      </w:pPr>
    </w:p>
    <w:p>
      <w:pPr>
        <w:pStyle w:val="76"/>
        <w:ind w:firstLine="420"/>
      </w:pPr>
    </w:p>
    <w:p>
      <w:pPr>
        <w:pStyle w:val="76"/>
        <w:ind w:firstLine="420"/>
      </w:pPr>
    </w:p>
    <w:p>
      <w:pPr>
        <w:pStyle w:val="76"/>
        <w:ind w:firstLine="420"/>
      </w:pPr>
    </w:p>
    <w:p>
      <w:pPr>
        <w:pStyle w:val="97"/>
        <w:spacing w:before="156" w:after="156"/>
      </w:pPr>
      <w:r>
        <w:rPr>
          <w:rFonts w:hint="eastAsia"/>
        </w:rPr>
        <w:t>灌木层调查记录表</w:t>
      </w:r>
    </w:p>
    <w:p>
      <w:pPr>
        <w:widowControl/>
        <w:rPr>
          <w:rFonts w:ascii="黑体" w:hAnsi="黑体" w:eastAsia="黑体" w:cs="黑体"/>
          <w:color w:val="000000"/>
          <w:kern w:val="0"/>
          <w:sz w:val="18"/>
          <w:szCs w:val="18"/>
        </w:rPr>
      </w:pPr>
      <w:r>
        <w:rPr>
          <w:rFonts w:hint="eastAsia" w:ascii="黑体" w:hAnsi="黑体" w:eastAsia="黑体" w:cs="黑体"/>
          <w:color w:val="000000"/>
          <w:kern w:val="0"/>
          <w:sz w:val="18"/>
          <w:szCs w:val="18"/>
        </w:rPr>
        <w:t>样地经纬度：E</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N</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海拔</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样地名称及编码：</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样方号：</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总盖度：</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w:t>
      </w:r>
    </w:p>
    <w:p>
      <w:pPr>
        <w:widowControl/>
        <w:jc w:val="left"/>
        <w:rPr>
          <w:rFonts w:ascii="宋体" w:hAnsi="宋体" w:cs="宋体"/>
          <w:kern w:val="0"/>
          <w:sz w:val="24"/>
        </w:rPr>
      </w:pPr>
      <w:r>
        <w:rPr>
          <w:rFonts w:hint="eastAsia" w:ascii="黑体" w:hAnsi="黑体" w:eastAsia="黑体" w:cs="黑体"/>
          <w:color w:val="000000"/>
          <w:kern w:val="0"/>
          <w:sz w:val="18"/>
          <w:szCs w:val="18"/>
        </w:rPr>
        <w:t>记录人：</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调查日期：</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年</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月</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日                         单位为：株、百分比、米</w:t>
      </w:r>
    </w:p>
    <w:tbl>
      <w:tblPr>
        <w:tblStyle w:val="33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92"/>
        <w:gridCol w:w="1437"/>
        <w:gridCol w:w="1403"/>
        <w:gridCol w:w="1403"/>
        <w:gridCol w:w="1555"/>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2" w:hRule="atLeast"/>
          <w:tblHeader/>
          <w:jc w:val="center"/>
        </w:trPr>
        <w:tc>
          <w:tcPr>
            <w:tcW w:w="95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灌木树种序号</w:t>
            </w: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树种中文名称</w:t>
            </w: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株数/丛数</w:t>
            </w: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盖度</w:t>
            </w: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平均高</w:t>
            </w:r>
          </w:p>
        </w:tc>
        <w:tc>
          <w:tcPr>
            <w:tcW w:w="945"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Times New Roman" w:cs="宋体"/>
                <w:kern w:val="0"/>
                <w:sz w:val="18"/>
                <w:szCs w:val="18"/>
              </w:rPr>
            </w:pPr>
            <w:r>
              <w:rPr>
                <w:rFonts w:hint="eastAsia" w:ascii="宋体" w:hAnsi="宋体" w:eastAsia="Times New Roman" w:cs="宋体"/>
                <w:kern w:val="0"/>
                <w:sz w:val="18"/>
                <w:szCs w:val="18"/>
              </w:rPr>
              <w:t>平均基径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jc w:val="center"/>
        </w:trPr>
        <w:tc>
          <w:tcPr>
            <w:tcW w:w="95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945" w:type="pct"/>
            <w:tcBorders>
              <w:top w:val="single" w:color="auto" w:sz="4" w:space="0"/>
              <w:left w:val="single" w:color="auto" w:sz="4" w:space="0"/>
              <w:bottom w:val="single" w:color="auto" w:sz="4" w:space="0"/>
              <w:right w:val="single" w:color="auto" w:sz="4" w:space="0"/>
            </w:tcBorders>
            <w:vAlign w:val="center"/>
          </w:tcPr>
          <w:p>
            <w:pPr>
              <w:spacing w:line="240" w:lineRule="atLeast"/>
              <w:ind w:firstLine="400"/>
              <w:jc w:val="center"/>
              <w:rPr>
                <w:rFonts w:ascii="Times New Roman" w:hAnsi="Times New Roman" w:eastAsia="仿宋"/>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jc w:val="center"/>
        </w:trPr>
        <w:tc>
          <w:tcPr>
            <w:tcW w:w="95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945" w:type="pct"/>
            <w:tcBorders>
              <w:top w:val="single" w:color="auto" w:sz="4" w:space="0"/>
              <w:left w:val="single" w:color="auto" w:sz="4" w:space="0"/>
              <w:bottom w:val="single" w:color="auto" w:sz="4" w:space="0"/>
              <w:right w:val="single" w:color="auto" w:sz="4" w:space="0"/>
            </w:tcBorders>
            <w:vAlign w:val="center"/>
          </w:tcPr>
          <w:p>
            <w:pPr>
              <w:spacing w:line="240" w:lineRule="atLeast"/>
              <w:ind w:firstLine="400"/>
              <w:jc w:val="center"/>
              <w:rPr>
                <w:rFonts w:ascii="Times New Roman" w:hAnsi="Times New Roman" w:eastAsia="仿宋"/>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jc w:val="center"/>
        </w:trPr>
        <w:tc>
          <w:tcPr>
            <w:tcW w:w="95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945" w:type="pct"/>
            <w:tcBorders>
              <w:top w:val="single" w:color="auto" w:sz="4" w:space="0"/>
              <w:left w:val="single" w:color="auto" w:sz="4" w:space="0"/>
              <w:bottom w:val="single" w:color="auto" w:sz="4" w:space="0"/>
              <w:right w:val="single" w:color="auto" w:sz="4" w:space="0"/>
            </w:tcBorders>
            <w:vAlign w:val="center"/>
          </w:tcPr>
          <w:p>
            <w:pPr>
              <w:spacing w:line="240" w:lineRule="atLeast"/>
              <w:ind w:firstLine="400"/>
              <w:jc w:val="center"/>
              <w:rPr>
                <w:rFonts w:ascii="Times New Roman" w:hAnsi="Times New Roman" w:eastAsia="仿宋"/>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jc w:val="center"/>
        </w:trPr>
        <w:tc>
          <w:tcPr>
            <w:tcW w:w="95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945" w:type="pct"/>
            <w:tcBorders>
              <w:top w:val="single" w:color="auto" w:sz="4" w:space="0"/>
              <w:left w:val="single" w:color="auto" w:sz="4" w:space="0"/>
              <w:bottom w:val="single" w:color="auto" w:sz="4" w:space="0"/>
              <w:right w:val="single" w:color="auto" w:sz="4" w:space="0"/>
            </w:tcBorders>
            <w:vAlign w:val="center"/>
          </w:tcPr>
          <w:p>
            <w:pPr>
              <w:spacing w:line="240" w:lineRule="atLeast"/>
              <w:ind w:firstLine="400"/>
              <w:jc w:val="center"/>
              <w:rPr>
                <w:rFonts w:ascii="Times New Roman" w:hAnsi="Times New Roman" w:eastAsia="仿宋"/>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jc w:val="center"/>
        </w:trPr>
        <w:tc>
          <w:tcPr>
            <w:tcW w:w="95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945" w:type="pct"/>
            <w:tcBorders>
              <w:top w:val="single" w:color="auto" w:sz="4" w:space="0"/>
              <w:left w:val="single" w:color="auto" w:sz="4" w:space="0"/>
              <w:bottom w:val="single" w:color="auto" w:sz="4" w:space="0"/>
              <w:right w:val="single" w:color="auto" w:sz="4" w:space="0"/>
            </w:tcBorders>
            <w:vAlign w:val="center"/>
          </w:tcPr>
          <w:p>
            <w:pPr>
              <w:spacing w:line="240" w:lineRule="atLeast"/>
              <w:ind w:firstLine="400"/>
              <w:jc w:val="center"/>
              <w:rPr>
                <w:rFonts w:ascii="Times New Roman" w:hAnsi="Times New Roman" w:eastAsia="仿宋"/>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jc w:val="center"/>
        </w:trPr>
        <w:tc>
          <w:tcPr>
            <w:tcW w:w="95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945" w:type="pct"/>
            <w:tcBorders>
              <w:top w:val="single" w:color="auto" w:sz="4" w:space="0"/>
              <w:left w:val="single" w:color="auto" w:sz="4" w:space="0"/>
              <w:bottom w:val="single" w:color="auto" w:sz="4" w:space="0"/>
              <w:right w:val="single" w:color="auto" w:sz="4" w:space="0"/>
            </w:tcBorders>
            <w:vAlign w:val="center"/>
          </w:tcPr>
          <w:p>
            <w:pPr>
              <w:spacing w:line="240" w:lineRule="atLeast"/>
              <w:ind w:firstLine="400"/>
              <w:jc w:val="center"/>
              <w:rPr>
                <w:rFonts w:ascii="Times New Roman" w:hAnsi="Times New Roman" w:eastAsia="仿宋"/>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jc w:val="center"/>
        </w:trPr>
        <w:tc>
          <w:tcPr>
            <w:tcW w:w="95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945" w:type="pct"/>
            <w:tcBorders>
              <w:top w:val="single" w:color="auto" w:sz="4" w:space="0"/>
              <w:left w:val="single" w:color="auto" w:sz="4" w:space="0"/>
              <w:bottom w:val="single" w:color="auto" w:sz="4" w:space="0"/>
              <w:right w:val="single" w:color="auto" w:sz="4" w:space="0"/>
            </w:tcBorders>
            <w:vAlign w:val="center"/>
          </w:tcPr>
          <w:p>
            <w:pPr>
              <w:spacing w:line="240" w:lineRule="atLeast"/>
              <w:ind w:firstLine="400"/>
              <w:jc w:val="center"/>
              <w:rPr>
                <w:rFonts w:ascii="Times New Roman" w:hAnsi="Times New Roman" w:eastAsia="仿宋"/>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7" w:hRule="atLeast"/>
          <w:jc w:val="center"/>
        </w:trPr>
        <w:tc>
          <w:tcPr>
            <w:tcW w:w="95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945" w:type="pct"/>
            <w:tcBorders>
              <w:top w:val="single" w:color="auto" w:sz="4" w:space="0"/>
              <w:left w:val="single" w:color="auto" w:sz="4" w:space="0"/>
              <w:bottom w:val="single" w:color="auto" w:sz="4" w:space="0"/>
              <w:right w:val="single" w:color="auto" w:sz="4" w:space="0"/>
            </w:tcBorders>
            <w:vAlign w:val="center"/>
          </w:tcPr>
          <w:p>
            <w:pPr>
              <w:spacing w:line="240" w:lineRule="atLeast"/>
              <w:ind w:firstLine="400"/>
              <w:jc w:val="center"/>
              <w:rPr>
                <w:rFonts w:ascii="Times New Roman" w:hAnsi="Times New Roman" w:eastAsia="仿宋"/>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jc w:val="center"/>
        </w:trPr>
        <w:tc>
          <w:tcPr>
            <w:tcW w:w="95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945" w:type="pct"/>
            <w:tcBorders>
              <w:top w:val="single" w:color="auto" w:sz="4" w:space="0"/>
              <w:left w:val="single" w:color="auto" w:sz="4" w:space="0"/>
              <w:bottom w:val="single" w:color="auto" w:sz="4" w:space="0"/>
              <w:right w:val="single" w:color="auto" w:sz="4" w:space="0"/>
            </w:tcBorders>
            <w:vAlign w:val="center"/>
          </w:tcPr>
          <w:p>
            <w:pPr>
              <w:spacing w:line="240" w:lineRule="atLeast"/>
              <w:ind w:firstLine="400"/>
              <w:jc w:val="center"/>
              <w:rPr>
                <w:rFonts w:ascii="Times New Roman" w:hAnsi="Times New Roman" w:eastAsia="仿宋"/>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atLeast"/>
          <w:jc w:val="center"/>
        </w:trPr>
        <w:tc>
          <w:tcPr>
            <w:tcW w:w="95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945" w:type="pct"/>
            <w:tcBorders>
              <w:top w:val="single" w:color="auto" w:sz="4" w:space="0"/>
              <w:left w:val="single" w:color="auto" w:sz="4" w:space="0"/>
              <w:bottom w:val="single" w:color="auto" w:sz="4" w:space="0"/>
              <w:right w:val="single" w:color="auto" w:sz="4" w:space="0"/>
            </w:tcBorders>
            <w:vAlign w:val="center"/>
          </w:tcPr>
          <w:p>
            <w:pPr>
              <w:spacing w:line="240" w:lineRule="atLeast"/>
              <w:ind w:firstLine="400"/>
              <w:jc w:val="center"/>
              <w:rPr>
                <w:rFonts w:ascii="Times New Roman" w:hAnsi="Times New Roman" w:eastAsia="仿宋"/>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atLeast"/>
          <w:jc w:val="center"/>
        </w:trPr>
        <w:tc>
          <w:tcPr>
            <w:tcW w:w="95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67"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830"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eastAsia="仿宋"/>
                <w:kern w:val="0"/>
              </w:rPr>
            </w:pPr>
          </w:p>
        </w:tc>
        <w:tc>
          <w:tcPr>
            <w:tcW w:w="945" w:type="pct"/>
            <w:tcBorders>
              <w:top w:val="single" w:color="auto" w:sz="4" w:space="0"/>
              <w:left w:val="single" w:color="auto" w:sz="4" w:space="0"/>
              <w:bottom w:val="single" w:color="auto" w:sz="4" w:space="0"/>
              <w:right w:val="single" w:color="auto" w:sz="4" w:space="0"/>
            </w:tcBorders>
            <w:vAlign w:val="center"/>
          </w:tcPr>
          <w:p>
            <w:pPr>
              <w:spacing w:line="240" w:lineRule="atLeast"/>
              <w:ind w:firstLine="400"/>
              <w:jc w:val="center"/>
              <w:rPr>
                <w:rFonts w:ascii="Times New Roman" w:hAnsi="Times New Roman" w:eastAsia="仿宋"/>
                <w:kern w:val="0"/>
                <w:sz w:val="20"/>
              </w:rPr>
            </w:pPr>
          </w:p>
        </w:tc>
      </w:tr>
    </w:tbl>
    <w:p>
      <w:pPr>
        <w:pStyle w:val="76"/>
        <w:ind w:firstLine="420"/>
      </w:pPr>
    </w:p>
    <w:p>
      <w:pPr>
        <w:pStyle w:val="76"/>
        <w:ind w:firstLine="420"/>
      </w:pPr>
    </w:p>
    <w:p>
      <w:pPr>
        <w:pStyle w:val="76"/>
        <w:ind w:firstLine="420"/>
      </w:pPr>
    </w:p>
    <w:p>
      <w:pPr>
        <w:pStyle w:val="76"/>
        <w:ind w:firstLine="420"/>
      </w:pPr>
    </w:p>
    <w:p>
      <w:pPr>
        <w:pStyle w:val="76"/>
        <w:ind w:firstLine="420"/>
      </w:pPr>
    </w:p>
    <w:p>
      <w:pPr>
        <w:pStyle w:val="76"/>
        <w:ind w:firstLine="420"/>
      </w:pPr>
    </w:p>
    <w:p>
      <w:pPr>
        <w:pStyle w:val="76"/>
        <w:ind w:firstLine="420"/>
      </w:pPr>
    </w:p>
    <w:p>
      <w:pPr>
        <w:pStyle w:val="76"/>
        <w:ind w:firstLine="420"/>
      </w:pPr>
    </w:p>
    <w:p>
      <w:pPr>
        <w:pStyle w:val="76"/>
        <w:ind w:firstLine="420"/>
      </w:pPr>
    </w:p>
    <w:p>
      <w:pPr>
        <w:pStyle w:val="97"/>
        <w:spacing w:before="156" w:after="156"/>
      </w:pPr>
      <w:r>
        <w:rPr>
          <w:rFonts w:hint="eastAsia"/>
        </w:rPr>
        <w:t>草本层调查记录表</w:t>
      </w:r>
    </w:p>
    <w:p>
      <w:pPr>
        <w:widowControl/>
        <w:rPr>
          <w:rFonts w:ascii="黑体" w:hAnsi="黑体" w:eastAsia="黑体" w:cs="黑体"/>
          <w:color w:val="000000"/>
          <w:kern w:val="0"/>
          <w:sz w:val="18"/>
          <w:szCs w:val="18"/>
        </w:rPr>
      </w:pPr>
      <w:r>
        <w:rPr>
          <w:rFonts w:hint="eastAsia" w:ascii="黑体" w:hAnsi="黑体" w:eastAsia="黑体" w:cs="黑体"/>
          <w:color w:val="000000"/>
          <w:kern w:val="0"/>
          <w:sz w:val="18"/>
          <w:szCs w:val="18"/>
        </w:rPr>
        <w:t>样地经纬度：E</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N</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海拔</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样地名称及编码：</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样方号：</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总盖度：</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w:t>
      </w:r>
    </w:p>
    <w:p>
      <w:pPr>
        <w:widowControl/>
        <w:rPr>
          <w:rFonts w:ascii="黑体" w:hAnsi="黑体" w:eastAsia="黑体" w:cs="黑体"/>
          <w:color w:val="000000"/>
          <w:kern w:val="0"/>
          <w:sz w:val="18"/>
          <w:szCs w:val="18"/>
        </w:rPr>
      </w:pPr>
      <w:r>
        <w:rPr>
          <w:rFonts w:hint="eastAsia" w:ascii="黑体" w:hAnsi="黑体" w:eastAsia="黑体" w:cs="黑体"/>
          <w:color w:val="000000"/>
          <w:kern w:val="0"/>
          <w:sz w:val="18"/>
          <w:szCs w:val="18"/>
        </w:rPr>
        <w:t>记录人：</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调查日期：</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年</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月</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日                          单位为：百分比、米、克</w:t>
      </w:r>
    </w:p>
    <w:tbl>
      <w:tblPr>
        <w:tblStyle w:val="334"/>
        <w:tblW w:w="51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68"/>
        <w:gridCol w:w="1882"/>
        <w:gridCol w:w="1220"/>
        <w:gridCol w:w="1370"/>
        <w:gridCol w:w="1636"/>
        <w:gridCol w:w="1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1" w:hRule="atLeast"/>
          <w:tblHeader/>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草种序号</w:t>
            </w: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草种中文名称</w:t>
            </w: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株数/丛数</w:t>
            </w: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盖度</w:t>
            </w: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平均高</w:t>
            </w:r>
          </w:p>
        </w:tc>
        <w:tc>
          <w:tcPr>
            <w:tcW w:w="85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Times New Roman" w:cs="宋体"/>
                <w:kern w:val="0"/>
                <w:sz w:val="18"/>
                <w:szCs w:val="18"/>
              </w:rPr>
            </w:pPr>
            <w:r>
              <w:rPr>
                <w:rFonts w:hint="eastAsia" w:ascii="宋体" w:hAnsi="宋体" w:eastAsia="Times New Roman" w:cs="宋体"/>
                <w:kern w:val="0"/>
                <w:sz w:val="18"/>
                <w:szCs w:val="18"/>
              </w:rPr>
              <w:t>取样样方鲜重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852" w:type="pct"/>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852" w:type="pct"/>
            <w:vMerge w:val="continue"/>
            <w:tcBorders>
              <w:left w:val="single" w:color="auto" w:sz="4" w:space="0"/>
              <w:right w:val="single" w:color="auto" w:sz="4" w:space="0"/>
            </w:tcBorders>
            <w:vAlign w:val="center"/>
          </w:tcPr>
          <w:p>
            <w:pPr>
              <w:jc w:val="center"/>
              <w:rPr>
                <w:rFonts w:ascii="Times New Roman" w:hAnsi="Times New Roman" w:eastAsia="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852" w:type="pct"/>
            <w:vMerge w:val="continue"/>
            <w:tcBorders>
              <w:left w:val="single" w:color="auto" w:sz="4" w:space="0"/>
              <w:right w:val="single" w:color="auto" w:sz="4" w:space="0"/>
            </w:tcBorders>
            <w:vAlign w:val="center"/>
          </w:tcPr>
          <w:p>
            <w:pPr>
              <w:jc w:val="center"/>
              <w:rPr>
                <w:rFonts w:ascii="Times New Roman" w:hAnsi="Times New Roman" w:eastAsia="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852" w:type="pct"/>
            <w:vMerge w:val="continue"/>
            <w:tcBorders>
              <w:left w:val="single" w:color="auto" w:sz="4" w:space="0"/>
              <w:right w:val="single" w:color="auto" w:sz="4" w:space="0"/>
            </w:tcBorders>
            <w:vAlign w:val="center"/>
          </w:tcPr>
          <w:p>
            <w:pPr>
              <w:jc w:val="center"/>
              <w:rPr>
                <w:rFonts w:ascii="Times New Roman" w:hAnsi="Times New Roman" w:eastAsia="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852" w:type="pct"/>
            <w:vMerge w:val="continue"/>
            <w:tcBorders>
              <w:left w:val="single" w:color="auto" w:sz="4" w:space="0"/>
              <w:right w:val="single" w:color="auto" w:sz="4" w:space="0"/>
            </w:tcBorders>
            <w:vAlign w:val="center"/>
          </w:tcPr>
          <w:p>
            <w:pPr>
              <w:jc w:val="center"/>
              <w:rPr>
                <w:rFonts w:ascii="Times New Roman" w:hAnsi="Times New Roman" w:eastAsia="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852" w:type="pct"/>
            <w:vMerge w:val="continue"/>
            <w:tcBorders>
              <w:left w:val="single" w:color="auto" w:sz="4" w:space="0"/>
              <w:right w:val="single" w:color="auto" w:sz="4" w:space="0"/>
            </w:tcBorders>
            <w:vAlign w:val="center"/>
          </w:tcPr>
          <w:p>
            <w:pPr>
              <w:jc w:val="center"/>
              <w:rPr>
                <w:rFonts w:ascii="Times New Roman" w:hAnsi="Times New Roman" w:eastAsia="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852" w:type="pct"/>
            <w:tcBorders>
              <w:left w:val="single" w:color="auto" w:sz="4" w:space="0"/>
              <w:right w:val="single" w:color="auto" w:sz="4" w:space="0"/>
            </w:tcBorders>
            <w:vAlign w:val="center"/>
          </w:tcPr>
          <w:p>
            <w:pPr>
              <w:jc w:val="center"/>
              <w:rPr>
                <w:rFonts w:ascii="Times New Roman" w:hAnsi="Times New Roman" w:eastAsia="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971"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97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63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85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kern w:val="0"/>
              </w:rPr>
            </w:pPr>
          </w:p>
        </w:tc>
        <w:tc>
          <w:tcPr>
            <w:tcW w:w="852" w:type="pct"/>
            <w:tcBorders>
              <w:left w:val="single" w:color="auto" w:sz="4" w:space="0"/>
              <w:right w:val="single" w:color="auto" w:sz="4" w:space="0"/>
            </w:tcBorders>
            <w:vAlign w:val="center"/>
          </w:tcPr>
          <w:p>
            <w:pPr>
              <w:jc w:val="center"/>
              <w:rPr>
                <w:rFonts w:ascii="Times New Roman" w:hAnsi="Times New Roman" w:eastAsia="仿宋"/>
                <w:kern w:val="0"/>
              </w:rPr>
            </w:pPr>
          </w:p>
        </w:tc>
      </w:tr>
    </w:tbl>
    <w:p>
      <w:pPr>
        <w:pStyle w:val="76"/>
        <w:ind w:firstLine="420"/>
      </w:pPr>
    </w:p>
    <w:p>
      <w:pPr>
        <w:pStyle w:val="76"/>
        <w:ind w:firstLine="420"/>
      </w:pPr>
    </w:p>
    <w:p>
      <w:pPr>
        <w:pStyle w:val="97"/>
        <w:spacing w:before="156" w:after="156"/>
        <w:rPr>
          <w:rFonts w:hAnsi="黑体" w:cs="黑体"/>
          <w:kern w:val="0"/>
          <w:sz w:val="18"/>
          <w:szCs w:val="18"/>
        </w:rPr>
      </w:pPr>
      <w:r>
        <w:rPr>
          <w:rFonts w:hint="eastAsia"/>
        </w:rPr>
        <w:t>枯落物调查记录表</w:t>
      </w:r>
      <w:r>
        <w:rPr>
          <w:rFonts w:hint="eastAsia" w:hAnsi="黑体" w:cs="黑体"/>
          <w:color w:val="000000"/>
          <w:kern w:val="0"/>
          <w:sz w:val="18"/>
          <w:szCs w:val="18"/>
        </w:rPr>
        <w:t xml:space="preserve">                       </w:t>
      </w:r>
    </w:p>
    <w:p>
      <w:pPr>
        <w:widowControl/>
        <w:rPr>
          <w:rFonts w:ascii="黑体" w:hAnsi="黑体" w:eastAsia="黑体" w:cs="黑体"/>
          <w:color w:val="000000"/>
          <w:kern w:val="0"/>
          <w:sz w:val="18"/>
          <w:szCs w:val="18"/>
        </w:rPr>
      </w:pPr>
      <w:r>
        <w:rPr>
          <w:rFonts w:hint="eastAsia" w:ascii="黑体" w:hAnsi="黑体" w:eastAsia="黑体" w:cs="黑体"/>
          <w:color w:val="000000"/>
          <w:kern w:val="0"/>
          <w:sz w:val="18"/>
          <w:szCs w:val="18"/>
        </w:rPr>
        <w:t>样地经纬度：E</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N</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海拔</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样地名称及编码：</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样方号：</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总盖度：</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 xml:space="preserve">                     </w:t>
      </w:r>
    </w:p>
    <w:p>
      <w:pPr>
        <w:widowControl/>
        <w:rPr>
          <w:rFonts w:ascii="黑体" w:hAnsi="黑体" w:eastAsia="黑体" w:cs="黑体"/>
          <w:kern w:val="0"/>
          <w:sz w:val="18"/>
          <w:szCs w:val="18"/>
        </w:rPr>
      </w:pPr>
      <w:r>
        <w:rPr>
          <w:rFonts w:hint="eastAsia" w:ascii="黑体" w:hAnsi="黑体" w:eastAsia="黑体" w:cs="黑体"/>
          <w:color w:val="000000"/>
          <w:kern w:val="0"/>
          <w:sz w:val="18"/>
          <w:szCs w:val="18"/>
        </w:rPr>
        <w:t>记录人：</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调查日期：</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年</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月</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日                                单位为：厘米、克</w:t>
      </w:r>
    </w:p>
    <w:tbl>
      <w:tblPr>
        <w:tblStyle w:val="335"/>
        <w:tblpPr w:leftFromText="180" w:rightFromText="180" w:vertAnchor="text" w:horzAnchor="page" w:tblpX="1373" w:tblpY="203"/>
        <w:tblOverlap w:val="never"/>
        <w:tblW w:w="9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2"/>
        <w:gridCol w:w="980"/>
        <w:gridCol w:w="1222"/>
        <w:gridCol w:w="980"/>
        <w:gridCol w:w="1706"/>
        <w:gridCol w:w="1464"/>
        <w:gridCol w:w="981"/>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2" w:hRule="atLeast"/>
          <w:tblHeader/>
        </w:trPr>
        <w:tc>
          <w:tcPr>
            <w:tcW w:w="0" w:type="auto"/>
            <w:gridSpan w:val="2"/>
            <w:vAlign w:val="center"/>
          </w:tcPr>
          <w:p>
            <w:pPr>
              <w:tabs>
                <w:tab w:val="left" w:pos="510"/>
                <w:tab w:val="center" w:pos="706"/>
              </w:tabs>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样方K1</w:t>
            </w:r>
          </w:p>
        </w:tc>
        <w:tc>
          <w:tcPr>
            <w:tcW w:w="0" w:type="auto"/>
            <w:gridSpan w:val="2"/>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样方K2</w:t>
            </w:r>
          </w:p>
        </w:tc>
        <w:tc>
          <w:tcPr>
            <w:tcW w:w="0" w:type="auto"/>
            <w:vMerge w:val="restart"/>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枯落物平均厚度</w:t>
            </w:r>
          </w:p>
        </w:tc>
        <w:tc>
          <w:tcPr>
            <w:tcW w:w="0" w:type="auto"/>
            <w:vMerge w:val="restart"/>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样方平均鲜重</w:t>
            </w:r>
          </w:p>
        </w:tc>
        <w:tc>
          <w:tcPr>
            <w:tcW w:w="0" w:type="auto"/>
            <w:vMerge w:val="restart"/>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样品鲜重</w:t>
            </w:r>
          </w:p>
        </w:tc>
        <w:tc>
          <w:tcPr>
            <w:tcW w:w="0" w:type="auto"/>
            <w:vMerge w:val="restart"/>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样品干重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2" w:hRule="atLeast"/>
          <w:tblHeader/>
        </w:trPr>
        <w:tc>
          <w:tcPr>
            <w:tcW w:w="0" w:type="auto"/>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枯落物厚度</w:t>
            </w:r>
          </w:p>
        </w:tc>
        <w:tc>
          <w:tcPr>
            <w:tcW w:w="0" w:type="auto"/>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样方鲜重</w:t>
            </w:r>
          </w:p>
        </w:tc>
        <w:tc>
          <w:tcPr>
            <w:tcW w:w="0" w:type="auto"/>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枯落物厚度</w:t>
            </w:r>
          </w:p>
        </w:tc>
        <w:tc>
          <w:tcPr>
            <w:tcW w:w="0" w:type="auto"/>
            <w:vAlign w:val="center"/>
          </w:tcPr>
          <w:p>
            <w:pPr>
              <w:spacing w:line="240" w:lineRule="atLeast"/>
              <w:jc w:val="center"/>
              <w:rPr>
                <w:rFonts w:ascii="宋体" w:hAnsi="宋体" w:eastAsia="Times New Roman" w:cs="宋体"/>
                <w:bCs/>
                <w:kern w:val="0"/>
                <w:sz w:val="18"/>
                <w:szCs w:val="18"/>
              </w:rPr>
            </w:pPr>
            <w:r>
              <w:rPr>
                <w:rFonts w:hint="eastAsia" w:ascii="宋体" w:hAnsi="宋体" w:eastAsia="Times New Roman" w:cs="宋体"/>
                <w:bCs/>
                <w:kern w:val="0"/>
                <w:sz w:val="18"/>
                <w:szCs w:val="18"/>
              </w:rPr>
              <w:t>样方鲜重</w:t>
            </w:r>
          </w:p>
        </w:tc>
        <w:tc>
          <w:tcPr>
            <w:tcW w:w="0" w:type="auto"/>
            <w:vMerge w:val="continue"/>
            <w:vAlign w:val="center"/>
          </w:tcPr>
          <w:p>
            <w:pPr>
              <w:spacing w:line="240" w:lineRule="atLeast"/>
              <w:ind w:left="840"/>
              <w:jc w:val="center"/>
              <w:rPr>
                <w:rFonts w:ascii="宋体" w:hAnsi="宋体" w:eastAsia="Times New Roman" w:cs="宋体"/>
                <w:bCs/>
                <w:kern w:val="0"/>
                <w:sz w:val="18"/>
                <w:szCs w:val="18"/>
              </w:rPr>
            </w:pPr>
          </w:p>
        </w:tc>
        <w:tc>
          <w:tcPr>
            <w:tcW w:w="0" w:type="auto"/>
            <w:vMerge w:val="continue"/>
            <w:vAlign w:val="center"/>
          </w:tcPr>
          <w:p>
            <w:pPr>
              <w:spacing w:line="240" w:lineRule="atLeast"/>
              <w:ind w:left="840"/>
              <w:jc w:val="center"/>
              <w:rPr>
                <w:rFonts w:ascii="宋体" w:hAnsi="宋体" w:eastAsia="Times New Roman" w:cs="宋体"/>
                <w:bCs/>
                <w:kern w:val="0"/>
                <w:sz w:val="18"/>
                <w:szCs w:val="18"/>
              </w:rPr>
            </w:pPr>
          </w:p>
        </w:tc>
        <w:tc>
          <w:tcPr>
            <w:tcW w:w="0" w:type="auto"/>
            <w:vMerge w:val="continue"/>
            <w:vAlign w:val="center"/>
          </w:tcPr>
          <w:p>
            <w:pPr>
              <w:spacing w:line="240" w:lineRule="atLeast"/>
              <w:ind w:left="840"/>
              <w:jc w:val="center"/>
              <w:rPr>
                <w:rFonts w:ascii="宋体" w:hAnsi="宋体" w:eastAsia="Times New Roman" w:cs="宋体"/>
                <w:bCs/>
                <w:kern w:val="0"/>
                <w:sz w:val="18"/>
                <w:szCs w:val="18"/>
              </w:rPr>
            </w:pPr>
          </w:p>
        </w:tc>
        <w:tc>
          <w:tcPr>
            <w:tcW w:w="0" w:type="auto"/>
            <w:vMerge w:val="continue"/>
            <w:vAlign w:val="center"/>
          </w:tcPr>
          <w:p>
            <w:pPr>
              <w:spacing w:line="240" w:lineRule="atLeast"/>
              <w:ind w:left="840"/>
              <w:jc w:val="center"/>
              <w:rPr>
                <w:rFonts w:ascii="宋体" w:hAnsi="宋体" w:eastAsia="Times New Roman"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3" w:hRule="atLeast"/>
          <w:tblHeader/>
        </w:trPr>
        <w:tc>
          <w:tcPr>
            <w:tcW w:w="0" w:type="auto"/>
            <w:vAlign w:val="center"/>
          </w:tcPr>
          <w:p>
            <w:pPr>
              <w:spacing w:line="240" w:lineRule="atLeast"/>
              <w:ind w:left="840"/>
              <w:jc w:val="center"/>
              <w:rPr>
                <w:rFonts w:ascii="宋体" w:hAnsi="宋体" w:eastAsia="Times New Roman" w:cs="宋体"/>
                <w:bCs/>
                <w:kern w:val="0"/>
                <w:sz w:val="18"/>
                <w:szCs w:val="18"/>
              </w:rPr>
            </w:pPr>
          </w:p>
        </w:tc>
        <w:tc>
          <w:tcPr>
            <w:tcW w:w="0" w:type="auto"/>
            <w:vAlign w:val="center"/>
          </w:tcPr>
          <w:p>
            <w:pPr>
              <w:spacing w:line="240" w:lineRule="atLeast"/>
              <w:ind w:left="840"/>
              <w:jc w:val="center"/>
              <w:rPr>
                <w:rFonts w:ascii="宋体" w:hAnsi="宋体" w:eastAsia="Times New Roman" w:cs="宋体"/>
                <w:bCs/>
                <w:kern w:val="0"/>
                <w:sz w:val="18"/>
                <w:szCs w:val="18"/>
              </w:rPr>
            </w:pPr>
          </w:p>
        </w:tc>
        <w:tc>
          <w:tcPr>
            <w:tcW w:w="0" w:type="auto"/>
            <w:vAlign w:val="center"/>
          </w:tcPr>
          <w:p>
            <w:pPr>
              <w:spacing w:line="240" w:lineRule="atLeast"/>
              <w:ind w:left="840"/>
              <w:jc w:val="center"/>
              <w:rPr>
                <w:rFonts w:ascii="宋体" w:hAnsi="宋体" w:eastAsia="Times New Roman" w:cs="宋体"/>
                <w:bCs/>
                <w:kern w:val="0"/>
                <w:sz w:val="18"/>
                <w:szCs w:val="18"/>
              </w:rPr>
            </w:pPr>
          </w:p>
        </w:tc>
        <w:tc>
          <w:tcPr>
            <w:tcW w:w="0" w:type="auto"/>
            <w:vAlign w:val="center"/>
          </w:tcPr>
          <w:p>
            <w:pPr>
              <w:spacing w:line="240" w:lineRule="atLeast"/>
              <w:ind w:left="840"/>
              <w:jc w:val="center"/>
              <w:rPr>
                <w:rFonts w:ascii="宋体" w:hAnsi="宋体" w:eastAsia="Times New Roman" w:cs="宋体"/>
                <w:bCs/>
                <w:kern w:val="0"/>
                <w:sz w:val="18"/>
                <w:szCs w:val="18"/>
              </w:rPr>
            </w:pPr>
          </w:p>
        </w:tc>
        <w:tc>
          <w:tcPr>
            <w:tcW w:w="0" w:type="auto"/>
            <w:vAlign w:val="center"/>
          </w:tcPr>
          <w:p>
            <w:pPr>
              <w:spacing w:line="240" w:lineRule="atLeast"/>
              <w:ind w:left="1200" w:hanging="360"/>
              <w:jc w:val="center"/>
              <w:rPr>
                <w:rFonts w:ascii="宋体" w:hAnsi="宋体" w:eastAsia="Times New Roman" w:cs="宋体"/>
                <w:bCs/>
                <w:kern w:val="0"/>
                <w:sz w:val="18"/>
                <w:szCs w:val="18"/>
              </w:rPr>
            </w:pPr>
          </w:p>
        </w:tc>
        <w:tc>
          <w:tcPr>
            <w:tcW w:w="0" w:type="auto"/>
            <w:vAlign w:val="center"/>
          </w:tcPr>
          <w:p>
            <w:pPr>
              <w:spacing w:line="240" w:lineRule="atLeast"/>
              <w:ind w:left="1200" w:hanging="360"/>
              <w:jc w:val="center"/>
              <w:rPr>
                <w:rFonts w:ascii="宋体" w:hAnsi="宋体" w:eastAsia="Times New Roman" w:cs="宋体"/>
                <w:bCs/>
                <w:kern w:val="0"/>
                <w:sz w:val="18"/>
                <w:szCs w:val="18"/>
              </w:rPr>
            </w:pPr>
          </w:p>
        </w:tc>
        <w:tc>
          <w:tcPr>
            <w:tcW w:w="0" w:type="auto"/>
            <w:vAlign w:val="center"/>
          </w:tcPr>
          <w:p>
            <w:pPr>
              <w:spacing w:line="240" w:lineRule="atLeast"/>
              <w:ind w:left="1200" w:hanging="360"/>
              <w:jc w:val="center"/>
              <w:rPr>
                <w:rFonts w:ascii="宋体" w:hAnsi="宋体" w:eastAsia="Times New Roman" w:cs="宋体"/>
                <w:bCs/>
                <w:kern w:val="0"/>
                <w:sz w:val="18"/>
                <w:szCs w:val="18"/>
              </w:rPr>
            </w:pPr>
          </w:p>
        </w:tc>
        <w:tc>
          <w:tcPr>
            <w:tcW w:w="0" w:type="auto"/>
            <w:vAlign w:val="center"/>
          </w:tcPr>
          <w:p>
            <w:pPr>
              <w:spacing w:line="240" w:lineRule="atLeast"/>
              <w:ind w:left="1200" w:hanging="360"/>
              <w:jc w:val="center"/>
              <w:rPr>
                <w:rFonts w:ascii="宋体" w:hAnsi="宋体" w:eastAsia="Times New Roman" w:cs="宋体"/>
                <w:bCs/>
                <w:kern w:val="0"/>
                <w:sz w:val="18"/>
                <w:szCs w:val="18"/>
              </w:rPr>
            </w:pPr>
          </w:p>
        </w:tc>
      </w:tr>
    </w:tbl>
    <w:p>
      <w:pPr>
        <w:pStyle w:val="76"/>
        <w:ind w:firstLine="420"/>
      </w:pPr>
    </w:p>
    <w:p>
      <w:pPr>
        <w:pStyle w:val="76"/>
        <w:ind w:firstLine="420"/>
      </w:pPr>
    </w:p>
    <w:p>
      <w:pPr>
        <w:pStyle w:val="76"/>
        <w:ind w:firstLine="420"/>
      </w:pPr>
    </w:p>
    <w:p>
      <w:pPr>
        <w:pStyle w:val="76"/>
        <w:ind w:firstLine="420"/>
      </w:pPr>
    </w:p>
    <w:p>
      <w:pPr>
        <w:pStyle w:val="76"/>
        <w:ind w:firstLine="420"/>
      </w:pPr>
    </w:p>
    <w:p>
      <w:pPr>
        <w:pStyle w:val="76"/>
        <w:ind w:firstLine="420"/>
      </w:pPr>
    </w:p>
    <w:p>
      <w:pPr>
        <w:pStyle w:val="76"/>
        <w:ind w:firstLine="420"/>
      </w:pPr>
    </w:p>
    <w:p>
      <w:pPr>
        <w:pStyle w:val="76"/>
        <w:ind w:firstLine="420"/>
      </w:pPr>
    </w:p>
    <w:p>
      <w:pPr>
        <w:pStyle w:val="76"/>
        <w:ind w:firstLine="420"/>
      </w:pPr>
    </w:p>
    <w:p>
      <w:pPr>
        <w:pStyle w:val="76"/>
        <w:ind w:firstLine="420"/>
      </w:pPr>
    </w:p>
    <w:p>
      <w:pPr>
        <w:pStyle w:val="76"/>
        <w:ind w:firstLine="420"/>
      </w:pPr>
    </w:p>
    <w:p>
      <w:pPr>
        <w:pStyle w:val="97"/>
        <w:spacing w:before="156" w:after="156"/>
      </w:pPr>
      <w:r>
        <w:rPr>
          <w:rFonts w:hint="eastAsia"/>
        </w:rPr>
        <w:t>土壤固定距离采样记录表</w:t>
      </w:r>
    </w:p>
    <w:p>
      <w:pPr>
        <w:widowControl/>
        <w:rPr>
          <w:rFonts w:ascii="宋体" w:hAnsi="宋体" w:eastAsia="黑体" w:cs="宋体"/>
          <w:kern w:val="0"/>
          <w:sz w:val="18"/>
          <w:szCs w:val="18"/>
        </w:rPr>
      </w:pPr>
      <w:r>
        <w:rPr>
          <w:rFonts w:hint="eastAsia" w:ascii="黑体" w:hAnsi="黑体" w:eastAsia="黑体" w:cs="黑体"/>
          <w:color w:val="000000"/>
          <w:kern w:val="0"/>
          <w:sz w:val="18"/>
          <w:szCs w:val="18"/>
        </w:rPr>
        <w:t>调查人员：</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记录人：</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调查日期：</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年</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月</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日      单位为：厘米、克、百分比</w:t>
      </w:r>
    </w:p>
    <w:tbl>
      <w:tblPr>
        <w:tblStyle w:val="44"/>
        <w:tblpPr w:leftFromText="180" w:rightFromText="180" w:vertAnchor="text" w:horzAnchor="page" w:tblpX="1291" w:tblpY="59"/>
        <w:tblOverlap w:val="never"/>
        <w:tblW w:w="50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157"/>
        <w:gridCol w:w="816"/>
        <w:gridCol w:w="860"/>
        <w:gridCol w:w="945"/>
        <w:gridCol w:w="945"/>
        <w:gridCol w:w="945"/>
        <w:gridCol w:w="949"/>
        <w:gridCol w:w="949"/>
        <w:gridCol w:w="949"/>
        <w:gridCol w:w="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032" w:hRule="exact"/>
        </w:trPr>
        <w:tc>
          <w:tcPr>
            <w:tcW w:w="61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ind w:firstLine="360"/>
              <w:jc w:val="center"/>
              <w:rPr>
                <w:rFonts w:ascii="宋体" w:hAnsi="宋体" w:cs="宋体"/>
                <w:sz w:val="18"/>
                <w:szCs w:val="18"/>
              </w:rPr>
            </w:pPr>
          </w:p>
          <w:p>
            <w:pPr>
              <w:autoSpaceDE w:val="0"/>
              <w:autoSpaceDN w:val="0"/>
              <w:spacing w:line="240" w:lineRule="exact"/>
              <w:jc w:val="center"/>
              <w:rPr>
                <w:rFonts w:ascii="宋体" w:hAnsi="宋体" w:cs="宋体"/>
                <w:sz w:val="18"/>
                <w:szCs w:val="18"/>
              </w:rPr>
            </w:pPr>
            <w:r>
              <w:rPr>
                <w:rFonts w:hint="eastAsia" w:ascii="宋体" w:hAnsi="宋体" w:cs="宋体"/>
                <w:sz w:val="18"/>
                <w:szCs w:val="18"/>
              </w:rPr>
              <w:t>辅助样地编号</w:t>
            </w:r>
          </w:p>
        </w:tc>
        <w:tc>
          <w:tcPr>
            <w:tcW w:w="43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240" w:lineRule="exact"/>
              <w:ind w:firstLine="360"/>
              <w:jc w:val="center"/>
              <w:rPr>
                <w:rFonts w:ascii="宋体" w:hAnsi="宋体" w:cs="宋体"/>
                <w:sz w:val="18"/>
                <w:szCs w:val="18"/>
              </w:rPr>
            </w:pPr>
          </w:p>
          <w:p>
            <w:pPr>
              <w:spacing w:line="240" w:lineRule="exact"/>
              <w:jc w:val="center"/>
              <w:rPr>
                <w:rFonts w:ascii="宋体" w:hAnsi="宋体" w:cs="宋体"/>
                <w:sz w:val="18"/>
                <w:szCs w:val="18"/>
              </w:rPr>
            </w:pPr>
            <w:r>
              <w:rPr>
                <w:rFonts w:hint="eastAsia" w:ascii="宋体" w:hAnsi="宋体" w:cs="宋体"/>
                <w:sz w:val="18"/>
                <w:szCs w:val="18"/>
              </w:rPr>
              <w:t>经纬度</w:t>
            </w:r>
          </w:p>
        </w:tc>
        <w:tc>
          <w:tcPr>
            <w:tcW w:w="45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rPr>
                <w:rFonts w:ascii="宋体" w:hAnsi="宋体" w:cs="宋体"/>
                <w:sz w:val="18"/>
                <w:szCs w:val="18"/>
              </w:rPr>
            </w:pPr>
          </w:p>
          <w:p>
            <w:pPr>
              <w:autoSpaceDE w:val="0"/>
              <w:autoSpaceDN w:val="0"/>
              <w:spacing w:line="240" w:lineRule="exact"/>
              <w:jc w:val="center"/>
              <w:rPr>
                <w:rFonts w:ascii="宋体" w:hAnsi="宋体" w:cs="宋体"/>
                <w:sz w:val="18"/>
                <w:szCs w:val="18"/>
              </w:rPr>
            </w:pPr>
            <w:r>
              <w:rPr>
                <w:rFonts w:hint="eastAsia" w:ascii="宋体" w:hAnsi="宋体" w:cs="宋体"/>
                <w:sz w:val="18"/>
                <w:szCs w:val="18"/>
              </w:rPr>
              <w:t>土壤类型</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ind w:firstLine="360"/>
              <w:jc w:val="center"/>
              <w:rPr>
                <w:rFonts w:ascii="宋体" w:hAnsi="宋体" w:cs="宋体"/>
                <w:sz w:val="18"/>
                <w:szCs w:val="18"/>
              </w:rPr>
            </w:pPr>
          </w:p>
          <w:p>
            <w:pPr>
              <w:autoSpaceDE w:val="0"/>
              <w:autoSpaceDN w:val="0"/>
              <w:spacing w:line="240" w:lineRule="exact"/>
              <w:jc w:val="center"/>
              <w:rPr>
                <w:rFonts w:ascii="宋体" w:hAnsi="宋体" w:cs="宋体"/>
                <w:sz w:val="18"/>
                <w:szCs w:val="18"/>
              </w:rPr>
            </w:pPr>
            <w:r>
              <w:rPr>
                <w:rFonts w:hint="eastAsia" w:ascii="宋体" w:hAnsi="宋体" w:cs="宋体"/>
                <w:sz w:val="18"/>
                <w:szCs w:val="18"/>
              </w:rPr>
              <w:t>土层厚度</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spacing w:line="240" w:lineRule="exact"/>
              <w:ind w:firstLine="360"/>
              <w:jc w:val="center"/>
              <w:rPr>
                <w:rFonts w:ascii="宋体" w:hAnsi="宋体" w:cs="宋体"/>
                <w:sz w:val="18"/>
                <w:szCs w:val="18"/>
              </w:rPr>
            </w:pPr>
          </w:p>
          <w:p>
            <w:pPr>
              <w:spacing w:line="240" w:lineRule="exact"/>
              <w:jc w:val="center"/>
              <w:rPr>
                <w:rFonts w:ascii="宋体" w:hAnsi="宋体" w:cs="宋体"/>
                <w:sz w:val="18"/>
                <w:szCs w:val="18"/>
              </w:rPr>
            </w:pPr>
            <w:r>
              <w:rPr>
                <w:rFonts w:hint="eastAsia" w:ascii="宋体" w:hAnsi="宋体" w:cs="宋体"/>
                <w:sz w:val="18"/>
                <w:szCs w:val="18"/>
              </w:rPr>
              <w:t>环刀样鲜重</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ind w:firstLine="360"/>
              <w:jc w:val="center"/>
              <w:rPr>
                <w:rFonts w:ascii="宋体" w:hAnsi="宋体" w:cs="宋体"/>
                <w:sz w:val="18"/>
                <w:szCs w:val="18"/>
              </w:rPr>
            </w:pPr>
          </w:p>
          <w:p>
            <w:pPr>
              <w:autoSpaceDE w:val="0"/>
              <w:autoSpaceDN w:val="0"/>
              <w:spacing w:line="240" w:lineRule="exact"/>
              <w:jc w:val="center"/>
              <w:rPr>
                <w:rFonts w:ascii="宋体" w:hAnsi="宋体" w:cs="宋体"/>
                <w:sz w:val="18"/>
                <w:szCs w:val="18"/>
              </w:rPr>
            </w:pPr>
            <w:r>
              <w:rPr>
                <w:rFonts w:hint="eastAsia" w:ascii="宋体" w:hAnsi="宋体" w:cs="宋体"/>
                <w:sz w:val="18"/>
                <w:szCs w:val="18"/>
              </w:rPr>
              <w:t>环刀样干重</w:t>
            </w: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ind w:firstLine="360"/>
              <w:jc w:val="center"/>
              <w:rPr>
                <w:rFonts w:ascii="宋体" w:hAnsi="宋体" w:cs="宋体"/>
                <w:sz w:val="18"/>
                <w:szCs w:val="18"/>
              </w:rPr>
            </w:pPr>
          </w:p>
          <w:p>
            <w:pPr>
              <w:autoSpaceDE w:val="0"/>
              <w:autoSpaceDN w:val="0"/>
              <w:spacing w:line="240" w:lineRule="exact"/>
              <w:jc w:val="center"/>
              <w:rPr>
                <w:rFonts w:ascii="宋体" w:hAnsi="宋体" w:cs="宋体"/>
                <w:sz w:val="18"/>
                <w:szCs w:val="18"/>
              </w:rPr>
            </w:pPr>
            <w:r>
              <w:rPr>
                <w:rFonts w:hint="eastAsia" w:ascii="宋体" w:hAnsi="宋体" w:cs="宋体"/>
                <w:sz w:val="18"/>
                <w:szCs w:val="18"/>
              </w:rPr>
              <w:t>N含量</w:t>
            </w: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ind w:firstLine="360"/>
              <w:jc w:val="center"/>
              <w:rPr>
                <w:rFonts w:ascii="宋体" w:hAnsi="宋体" w:cs="宋体"/>
                <w:sz w:val="18"/>
                <w:szCs w:val="18"/>
              </w:rPr>
            </w:pPr>
          </w:p>
          <w:p>
            <w:pPr>
              <w:autoSpaceDE w:val="0"/>
              <w:autoSpaceDN w:val="0"/>
              <w:spacing w:line="240" w:lineRule="exact"/>
              <w:jc w:val="center"/>
              <w:rPr>
                <w:rFonts w:ascii="宋体" w:hAnsi="宋体" w:cs="宋体"/>
                <w:sz w:val="18"/>
                <w:szCs w:val="18"/>
              </w:rPr>
            </w:pPr>
            <w:r>
              <w:rPr>
                <w:rFonts w:hint="eastAsia" w:ascii="宋体" w:hAnsi="宋体" w:cs="宋体"/>
                <w:sz w:val="18"/>
                <w:szCs w:val="18"/>
              </w:rPr>
              <w:t>P含量</w:t>
            </w: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ind w:firstLine="360"/>
              <w:jc w:val="center"/>
              <w:rPr>
                <w:rFonts w:ascii="宋体" w:hAnsi="宋体" w:cs="宋体"/>
                <w:sz w:val="18"/>
                <w:szCs w:val="18"/>
              </w:rPr>
            </w:pPr>
          </w:p>
          <w:p>
            <w:pPr>
              <w:autoSpaceDE w:val="0"/>
              <w:autoSpaceDN w:val="0"/>
              <w:spacing w:line="240" w:lineRule="exact"/>
              <w:jc w:val="center"/>
              <w:rPr>
                <w:rFonts w:ascii="宋体" w:hAnsi="宋体" w:cs="宋体"/>
                <w:sz w:val="18"/>
                <w:szCs w:val="18"/>
              </w:rPr>
            </w:pPr>
            <w:r>
              <w:rPr>
                <w:rFonts w:hint="eastAsia" w:ascii="宋体" w:hAnsi="宋体" w:cs="宋体"/>
                <w:sz w:val="18"/>
                <w:szCs w:val="18"/>
              </w:rPr>
              <w:t>K含量</w:t>
            </w: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autoSpaceDE w:val="0"/>
              <w:autoSpaceDN w:val="0"/>
              <w:spacing w:line="240" w:lineRule="exact"/>
              <w:ind w:firstLine="360"/>
              <w:jc w:val="center"/>
              <w:rPr>
                <w:rFonts w:ascii="宋体" w:hAnsi="宋体" w:cs="宋体"/>
                <w:sz w:val="18"/>
                <w:szCs w:val="18"/>
              </w:rPr>
            </w:pPr>
          </w:p>
          <w:p>
            <w:pPr>
              <w:autoSpaceDE w:val="0"/>
              <w:autoSpaceDN w:val="0"/>
              <w:spacing w:line="240" w:lineRule="exact"/>
              <w:jc w:val="center"/>
              <w:rPr>
                <w:rFonts w:ascii="宋体" w:hAnsi="宋体" w:cs="宋体"/>
                <w:sz w:val="18"/>
                <w:szCs w:val="18"/>
              </w:rPr>
            </w:pPr>
            <w:r>
              <w:rPr>
                <w:rFonts w:hint="eastAsia" w:ascii="宋体" w:hAnsi="宋体" w:cs="宋体"/>
                <w:sz w:val="18"/>
                <w:szCs w:val="18"/>
              </w:rPr>
              <w:t>有机质含量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3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54"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Times New Roman" w:hAnsi="Times New Roman" w:eastAsia="仿宋"/>
                <w:sz w:val="18"/>
                <w:szCs w:val="18"/>
              </w:rPr>
            </w:pPr>
            <w:r>
              <w:rPr>
                <w:rFonts w:ascii="Times New Roman" w:hAnsi="Times New Roman" w:eastAsia="仿宋"/>
                <w:sz w:val="18"/>
                <w:szCs w:val="18"/>
              </w:rPr>
              <w:t>0～30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Times New Roman" w:hAnsi="Times New Roman" w:eastAsia="仿宋"/>
                <w:sz w:val="18"/>
                <w:szCs w:val="18"/>
              </w:rPr>
            </w:pPr>
            <w:r>
              <w:rPr>
                <w:rFonts w:ascii="Times New Roman" w:hAnsi="Times New Roman" w:eastAsia="仿宋"/>
                <w:sz w:val="18"/>
                <w:szCs w:val="18"/>
              </w:rPr>
              <w:t>30～60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Times New Roman" w:hAnsi="Times New Roman" w:eastAsia="仿宋"/>
                <w:sz w:val="18"/>
                <w:szCs w:val="18"/>
              </w:rPr>
            </w:pPr>
            <w:r>
              <w:rPr>
                <w:rFonts w:ascii="Times New Roman" w:hAnsi="Times New Roman" w:eastAsia="仿宋"/>
                <w:sz w:val="18"/>
                <w:szCs w:val="18"/>
              </w:rPr>
              <w:t>60～90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3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54"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Times New Roman" w:hAnsi="Times New Roman" w:eastAsia="仿宋"/>
                <w:sz w:val="18"/>
                <w:szCs w:val="18"/>
              </w:rPr>
            </w:pPr>
            <w:r>
              <w:rPr>
                <w:rFonts w:ascii="Times New Roman" w:hAnsi="Times New Roman" w:eastAsia="仿宋"/>
                <w:sz w:val="18"/>
                <w:szCs w:val="18"/>
              </w:rPr>
              <w:t>0～30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Times New Roman" w:hAnsi="Times New Roman" w:eastAsia="仿宋"/>
                <w:sz w:val="18"/>
                <w:szCs w:val="18"/>
              </w:rPr>
            </w:pPr>
            <w:r>
              <w:rPr>
                <w:rFonts w:ascii="Times New Roman" w:hAnsi="Times New Roman" w:eastAsia="仿宋"/>
                <w:sz w:val="18"/>
                <w:szCs w:val="18"/>
              </w:rPr>
              <w:t>30～60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Times New Roman" w:hAnsi="Times New Roman" w:eastAsia="仿宋"/>
                <w:sz w:val="18"/>
                <w:szCs w:val="18"/>
              </w:rPr>
            </w:pPr>
            <w:r>
              <w:rPr>
                <w:rFonts w:ascii="Times New Roman" w:hAnsi="Times New Roman" w:eastAsia="仿宋"/>
                <w:sz w:val="18"/>
                <w:szCs w:val="18"/>
              </w:rPr>
              <w:t>60～90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eastAsia="仿宋"/>
              </w:rPr>
            </w:pPr>
          </w:p>
        </w:tc>
        <w:tc>
          <w:tcPr>
            <w:tcW w:w="431"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eastAsia="仿宋"/>
              </w:rPr>
            </w:pPr>
          </w:p>
        </w:tc>
        <w:tc>
          <w:tcPr>
            <w:tcW w:w="454"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Times New Roman" w:hAnsi="Times New Roman" w:eastAsia="仿宋"/>
                <w:sz w:val="18"/>
                <w:szCs w:val="18"/>
              </w:rPr>
            </w:pPr>
            <w:r>
              <w:rPr>
                <w:rFonts w:ascii="Times New Roman" w:hAnsi="Times New Roman" w:eastAsia="仿宋"/>
                <w:sz w:val="18"/>
                <w:szCs w:val="18"/>
              </w:rPr>
              <w:t>0～30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continue"/>
            <w:tcBorders>
              <w:left w:val="single" w:color="auto" w:sz="4" w:space="0"/>
              <w:right w:val="single" w:color="auto" w:sz="4" w:space="0"/>
            </w:tcBorders>
            <w:shd w:val="clear" w:color="auto" w:fill="FFFFFF"/>
            <w:vAlign w:val="center"/>
          </w:tcPr>
          <w:p>
            <w:pPr>
              <w:widowControl/>
              <w:jc w:val="center"/>
              <w:rPr>
                <w:rFonts w:eastAsia="仿宋"/>
              </w:rPr>
            </w:pPr>
          </w:p>
        </w:tc>
        <w:tc>
          <w:tcPr>
            <w:tcW w:w="431" w:type="pct"/>
            <w:vMerge w:val="continue"/>
            <w:tcBorders>
              <w:left w:val="single" w:color="auto" w:sz="4" w:space="0"/>
              <w:right w:val="single" w:color="auto" w:sz="4" w:space="0"/>
            </w:tcBorders>
            <w:shd w:val="clear" w:color="auto" w:fill="FFFFFF"/>
            <w:vAlign w:val="center"/>
          </w:tcPr>
          <w:p>
            <w:pPr>
              <w:widowControl/>
              <w:jc w:val="center"/>
              <w:rPr>
                <w:rFonts w:eastAsia="仿宋"/>
              </w:rPr>
            </w:pPr>
          </w:p>
        </w:tc>
        <w:tc>
          <w:tcPr>
            <w:tcW w:w="454" w:type="pct"/>
            <w:vMerge w:val="continue"/>
            <w:tcBorders>
              <w:left w:val="single" w:color="auto" w:sz="4" w:space="0"/>
              <w:right w:val="single" w:color="auto" w:sz="4" w:space="0"/>
            </w:tcBorders>
            <w:shd w:val="clear" w:color="auto" w:fill="FFFFFF"/>
            <w:vAlign w:val="center"/>
          </w:tcPr>
          <w:p>
            <w:pPr>
              <w:widowControl/>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Times New Roman" w:hAnsi="Times New Roman" w:eastAsia="仿宋"/>
                <w:sz w:val="18"/>
                <w:szCs w:val="18"/>
              </w:rPr>
            </w:pPr>
            <w:r>
              <w:rPr>
                <w:rFonts w:ascii="Times New Roman" w:hAnsi="Times New Roman" w:eastAsia="仿宋"/>
                <w:sz w:val="18"/>
                <w:szCs w:val="18"/>
              </w:rPr>
              <w:t>30～60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31"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54"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Times New Roman" w:hAnsi="Times New Roman" w:eastAsia="仿宋"/>
                <w:sz w:val="18"/>
                <w:szCs w:val="18"/>
              </w:rPr>
            </w:pPr>
            <w:r>
              <w:rPr>
                <w:rFonts w:ascii="Times New Roman" w:hAnsi="Times New Roman" w:eastAsia="仿宋"/>
                <w:sz w:val="18"/>
                <w:szCs w:val="18"/>
              </w:rPr>
              <w:t>60～90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31"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54" w:type="pct"/>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Times New Roman" w:hAnsi="Times New Roman" w:eastAsia="仿宋"/>
                <w:sz w:val="18"/>
                <w:szCs w:val="18"/>
              </w:rPr>
            </w:pPr>
            <w:r>
              <w:rPr>
                <w:rFonts w:ascii="Times New Roman" w:hAnsi="Times New Roman" w:eastAsia="仿宋"/>
                <w:sz w:val="18"/>
                <w:szCs w:val="18"/>
              </w:rPr>
              <w:t>0～30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Times New Roman" w:hAnsi="Times New Roman" w:eastAsia="仿宋"/>
                <w:sz w:val="18"/>
                <w:szCs w:val="18"/>
              </w:rPr>
            </w:pPr>
            <w:r>
              <w:rPr>
                <w:rFonts w:ascii="Times New Roman" w:hAnsi="Times New Roman" w:eastAsia="仿宋"/>
                <w:sz w:val="18"/>
                <w:szCs w:val="18"/>
              </w:rPr>
              <w:t>30～60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Times New Roman" w:hAnsi="Times New Roman" w:eastAsia="仿宋"/>
                <w:sz w:val="18"/>
                <w:szCs w:val="18"/>
              </w:rPr>
            </w:pPr>
            <w:r>
              <w:rPr>
                <w:rFonts w:ascii="Times New Roman" w:hAnsi="Times New Roman" w:eastAsia="仿宋"/>
                <w:sz w:val="18"/>
                <w:szCs w:val="18"/>
              </w:rPr>
              <w:t>60～90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eastAsia="仿宋"/>
              </w:rPr>
            </w:pPr>
          </w:p>
        </w:tc>
        <w:tc>
          <w:tcPr>
            <w:tcW w:w="431"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eastAsia="仿宋"/>
              </w:rPr>
            </w:pPr>
          </w:p>
        </w:tc>
        <w:tc>
          <w:tcPr>
            <w:tcW w:w="454" w:type="pct"/>
            <w:vMerge w:val="restart"/>
            <w:tcBorders>
              <w:top w:val="single" w:color="auto" w:sz="4" w:space="0"/>
              <w:left w:val="single" w:color="auto" w:sz="4" w:space="0"/>
              <w:right w:val="single" w:color="auto" w:sz="4" w:space="0"/>
            </w:tcBorders>
            <w:shd w:val="clear" w:color="auto" w:fill="FFFFFF"/>
            <w:vAlign w:val="center"/>
          </w:tcPr>
          <w:p>
            <w:pPr>
              <w:widowControl/>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Times New Roman" w:hAnsi="Times New Roman" w:eastAsia="仿宋"/>
                <w:sz w:val="18"/>
                <w:szCs w:val="18"/>
              </w:rPr>
            </w:pPr>
            <w:r>
              <w:rPr>
                <w:rFonts w:ascii="Times New Roman" w:hAnsi="Times New Roman" w:eastAsia="仿宋"/>
                <w:sz w:val="18"/>
                <w:szCs w:val="18"/>
              </w:rPr>
              <w:t>0～30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continue"/>
            <w:tcBorders>
              <w:left w:val="single" w:color="auto" w:sz="4" w:space="0"/>
              <w:right w:val="single" w:color="auto" w:sz="4" w:space="0"/>
            </w:tcBorders>
            <w:shd w:val="clear" w:color="auto" w:fill="FFFFFF"/>
            <w:vAlign w:val="center"/>
          </w:tcPr>
          <w:p>
            <w:pPr>
              <w:widowControl/>
              <w:jc w:val="center"/>
              <w:rPr>
                <w:rFonts w:eastAsia="仿宋"/>
              </w:rPr>
            </w:pPr>
          </w:p>
        </w:tc>
        <w:tc>
          <w:tcPr>
            <w:tcW w:w="431" w:type="pct"/>
            <w:vMerge w:val="continue"/>
            <w:tcBorders>
              <w:left w:val="single" w:color="auto" w:sz="4" w:space="0"/>
              <w:right w:val="single" w:color="auto" w:sz="4" w:space="0"/>
            </w:tcBorders>
            <w:shd w:val="clear" w:color="auto" w:fill="FFFFFF"/>
            <w:vAlign w:val="center"/>
          </w:tcPr>
          <w:p>
            <w:pPr>
              <w:widowControl/>
              <w:jc w:val="center"/>
              <w:rPr>
                <w:rFonts w:eastAsia="仿宋"/>
              </w:rPr>
            </w:pPr>
          </w:p>
        </w:tc>
        <w:tc>
          <w:tcPr>
            <w:tcW w:w="454" w:type="pct"/>
            <w:vMerge w:val="continue"/>
            <w:tcBorders>
              <w:left w:val="single" w:color="auto" w:sz="4" w:space="0"/>
              <w:right w:val="single" w:color="auto" w:sz="4" w:space="0"/>
            </w:tcBorders>
            <w:shd w:val="clear" w:color="auto" w:fill="FFFFFF"/>
            <w:vAlign w:val="center"/>
          </w:tcPr>
          <w:p>
            <w:pPr>
              <w:widowControl/>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Times New Roman" w:hAnsi="Times New Roman" w:eastAsia="仿宋"/>
                <w:sz w:val="18"/>
                <w:szCs w:val="18"/>
              </w:rPr>
            </w:pPr>
            <w:r>
              <w:rPr>
                <w:rFonts w:ascii="Times New Roman" w:hAnsi="Times New Roman" w:eastAsia="仿宋"/>
                <w:sz w:val="18"/>
                <w:szCs w:val="18"/>
              </w:rPr>
              <w:t>30～60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24" w:hRule="atLeast"/>
        </w:trPr>
        <w:tc>
          <w:tcPr>
            <w:tcW w:w="611"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31"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54" w:type="pct"/>
            <w:vMerge w:val="continue"/>
            <w:tcBorders>
              <w:left w:val="single" w:color="auto" w:sz="4" w:space="0"/>
              <w:bottom w:val="single" w:color="auto" w:sz="4" w:space="0"/>
              <w:right w:val="single" w:color="auto" w:sz="4" w:space="0"/>
            </w:tcBorders>
            <w:shd w:val="clear" w:color="auto" w:fill="FFFFFF"/>
            <w:vAlign w:val="center"/>
          </w:tcPr>
          <w:p>
            <w:pPr>
              <w:widowControl/>
              <w:jc w:val="center"/>
              <w:rPr>
                <w:rFonts w:eastAsia="仿宋"/>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jc w:val="center"/>
              <w:rPr>
                <w:rFonts w:ascii="Times New Roman" w:hAnsi="Times New Roman" w:eastAsia="仿宋"/>
                <w:sz w:val="18"/>
                <w:szCs w:val="18"/>
              </w:rPr>
            </w:pPr>
            <w:r>
              <w:rPr>
                <w:rFonts w:ascii="Times New Roman" w:hAnsi="Times New Roman" w:eastAsia="仿宋"/>
                <w:sz w:val="18"/>
                <w:szCs w:val="18"/>
              </w:rPr>
              <w:t>60～90</w:t>
            </w: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499"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1"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c>
          <w:tcPr>
            <w:tcW w:w="504" w:type="pc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ind w:firstLine="560"/>
              <w:jc w:val="center"/>
              <w:rPr>
                <w:rFonts w:eastAsia="仿宋"/>
                <w:sz w:val="28"/>
              </w:rPr>
            </w:pPr>
          </w:p>
        </w:tc>
      </w:tr>
    </w:tbl>
    <w:p>
      <w:pPr>
        <w:pStyle w:val="76"/>
        <w:ind w:firstLine="420"/>
      </w:pPr>
    </w:p>
    <w:p>
      <w:pPr>
        <w:pStyle w:val="76"/>
        <w:ind w:firstLine="420"/>
      </w:pPr>
    </w:p>
    <w:p>
      <w:pPr>
        <w:pStyle w:val="76"/>
        <w:ind w:firstLine="420"/>
      </w:pPr>
    </w:p>
    <w:p>
      <w:pPr>
        <w:pStyle w:val="76"/>
        <w:ind w:firstLine="420"/>
      </w:pPr>
    </w:p>
    <w:p>
      <w:pPr>
        <w:pStyle w:val="76"/>
        <w:ind w:firstLine="420"/>
      </w:pPr>
    </w:p>
    <w:p>
      <w:pPr>
        <w:pStyle w:val="76"/>
        <w:ind w:firstLine="420"/>
      </w:pPr>
    </w:p>
    <w:p>
      <w:pPr>
        <w:pStyle w:val="97"/>
        <w:spacing w:before="156" w:after="156"/>
      </w:pPr>
      <w:r>
        <w:rPr>
          <w:rFonts w:hint="eastAsia"/>
        </w:rPr>
        <w:t>CI-202 叶片总数调查记录表</w:t>
      </w:r>
    </w:p>
    <w:p>
      <w:pPr>
        <w:widowControl/>
        <w:rPr>
          <w:rFonts w:ascii="宋体" w:hAnsi="宋体" w:eastAsia="黑体" w:cs="宋体"/>
          <w:kern w:val="0"/>
          <w:sz w:val="18"/>
          <w:szCs w:val="18"/>
        </w:rPr>
      </w:pPr>
      <w:r>
        <w:rPr>
          <w:rFonts w:hint="eastAsia" w:ascii="黑体" w:hAnsi="黑体" w:eastAsia="黑体" w:cs="黑体"/>
          <w:color w:val="000000"/>
          <w:kern w:val="0"/>
          <w:sz w:val="18"/>
          <w:szCs w:val="18"/>
        </w:rPr>
        <w:t>调查人员：</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记录人：</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调查日期：</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年</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月</w:t>
      </w:r>
      <w:r>
        <w:rPr>
          <w:rFonts w:hint="eastAsia" w:ascii="黑体" w:hAnsi="黑体" w:eastAsia="黑体" w:cs="黑体"/>
          <w:color w:val="000000"/>
          <w:kern w:val="0"/>
          <w:sz w:val="18"/>
          <w:szCs w:val="18"/>
          <w:u w:val="single"/>
        </w:rPr>
        <w:t xml:space="preserve">        </w:t>
      </w:r>
      <w:r>
        <w:rPr>
          <w:rFonts w:hint="eastAsia" w:ascii="黑体" w:hAnsi="黑体" w:eastAsia="黑体" w:cs="黑体"/>
          <w:color w:val="000000"/>
          <w:kern w:val="0"/>
          <w:sz w:val="18"/>
          <w:szCs w:val="18"/>
        </w:rPr>
        <w:t>日                单位为：片、条</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1497"/>
        <w:gridCol w:w="1497"/>
        <w:gridCol w:w="1497"/>
        <w:gridCol w:w="1497"/>
        <w:gridCol w:w="2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9"/>
              <w:jc w:val="center"/>
              <w:rPr>
                <w:rFonts w:ascii="宋体"/>
                <w:sz w:val="18"/>
                <w:szCs w:val="18"/>
              </w:rPr>
            </w:pPr>
            <w:r>
              <w:rPr>
                <w:rFonts w:hint="eastAsia" w:ascii="宋体"/>
                <w:sz w:val="18"/>
                <w:szCs w:val="18"/>
              </w:rPr>
              <w:t>存储序号</w:t>
            </w:r>
          </w:p>
        </w:tc>
        <w:tc>
          <w:tcPr>
            <w:tcW w:w="782" w:type="pct"/>
            <w:vAlign w:val="center"/>
          </w:tcPr>
          <w:p>
            <w:pPr>
              <w:pStyle w:val="19"/>
              <w:jc w:val="center"/>
              <w:rPr>
                <w:rFonts w:ascii="宋体"/>
                <w:sz w:val="18"/>
                <w:szCs w:val="18"/>
              </w:rPr>
            </w:pPr>
            <w:r>
              <w:rPr>
                <w:rFonts w:hint="eastAsia" w:ascii="宋体"/>
                <w:sz w:val="18"/>
                <w:szCs w:val="18"/>
              </w:rPr>
              <w:t>种名</w:t>
            </w:r>
          </w:p>
        </w:tc>
        <w:tc>
          <w:tcPr>
            <w:tcW w:w="782" w:type="pct"/>
            <w:vAlign w:val="center"/>
          </w:tcPr>
          <w:p>
            <w:pPr>
              <w:pStyle w:val="19"/>
              <w:jc w:val="center"/>
              <w:rPr>
                <w:rFonts w:ascii="宋体"/>
                <w:sz w:val="18"/>
                <w:szCs w:val="18"/>
              </w:rPr>
            </w:pPr>
            <w:r>
              <w:rPr>
                <w:rFonts w:hint="eastAsia" w:ascii="宋体"/>
                <w:sz w:val="18"/>
                <w:szCs w:val="18"/>
              </w:rPr>
              <w:t>龄级</w:t>
            </w:r>
          </w:p>
        </w:tc>
        <w:tc>
          <w:tcPr>
            <w:tcW w:w="782" w:type="pct"/>
            <w:vAlign w:val="center"/>
          </w:tcPr>
          <w:p>
            <w:pPr>
              <w:pStyle w:val="19"/>
              <w:jc w:val="center"/>
              <w:rPr>
                <w:rFonts w:ascii="宋体"/>
                <w:sz w:val="18"/>
                <w:szCs w:val="18"/>
              </w:rPr>
            </w:pPr>
            <w:r>
              <w:rPr>
                <w:rFonts w:hint="eastAsia" w:ascii="宋体"/>
                <w:sz w:val="18"/>
                <w:szCs w:val="18"/>
              </w:rPr>
              <w:t>单枝叶数</w:t>
            </w:r>
          </w:p>
        </w:tc>
        <w:tc>
          <w:tcPr>
            <w:tcW w:w="782" w:type="pct"/>
            <w:vAlign w:val="center"/>
          </w:tcPr>
          <w:p>
            <w:pPr>
              <w:pStyle w:val="19"/>
              <w:jc w:val="center"/>
              <w:rPr>
                <w:rFonts w:ascii="宋体"/>
                <w:sz w:val="18"/>
                <w:szCs w:val="18"/>
              </w:rPr>
            </w:pPr>
            <w:r>
              <w:rPr>
                <w:rFonts w:hint="eastAsia" w:ascii="宋体"/>
                <w:sz w:val="18"/>
                <w:szCs w:val="18"/>
              </w:rPr>
              <w:t>枝数</w:t>
            </w:r>
          </w:p>
        </w:tc>
        <w:tc>
          <w:tcPr>
            <w:tcW w:w="1078" w:type="pct"/>
            <w:vAlign w:val="center"/>
          </w:tcPr>
          <w:p>
            <w:pPr>
              <w:pStyle w:val="19"/>
              <w:jc w:val="center"/>
              <w:rPr>
                <w:rFonts w:ascii="宋体"/>
                <w:sz w:val="18"/>
                <w:szCs w:val="18"/>
              </w:rPr>
            </w:pPr>
            <w:r>
              <w:rPr>
                <w:rFonts w:hint="eastAsia" w:ascii="宋体"/>
                <w:sz w:val="18"/>
                <w:szCs w:val="18"/>
              </w:rPr>
              <w:t>叶片总数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1078" w:type="pct"/>
            <w:vAlign w:val="center"/>
          </w:tcPr>
          <w:p>
            <w:pPr>
              <w:pStyle w:val="19"/>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1078" w:type="pct"/>
            <w:vAlign w:val="center"/>
          </w:tcPr>
          <w:p>
            <w:pPr>
              <w:pStyle w:val="19"/>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1078" w:type="pct"/>
            <w:vAlign w:val="center"/>
          </w:tcPr>
          <w:p>
            <w:pPr>
              <w:pStyle w:val="19"/>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1078" w:type="pct"/>
            <w:vAlign w:val="center"/>
          </w:tcPr>
          <w:p>
            <w:pPr>
              <w:pStyle w:val="19"/>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1078" w:type="pct"/>
            <w:vAlign w:val="center"/>
          </w:tcPr>
          <w:p>
            <w:pPr>
              <w:pStyle w:val="19"/>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1078" w:type="pct"/>
            <w:vAlign w:val="center"/>
          </w:tcPr>
          <w:p>
            <w:pPr>
              <w:pStyle w:val="19"/>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1078" w:type="pct"/>
            <w:vAlign w:val="center"/>
          </w:tcPr>
          <w:p>
            <w:pPr>
              <w:pStyle w:val="19"/>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1078" w:type="pct"/>
            <w:vAlign w:val="center"/>
          </w:tcPr>
          <w:p>
            <w:pPr>
              <w:pStyle w:val="19"/>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1078" w:type="pct"/>
            <w:vAlign w:val="center"/>
          </w:tcPr>
          <w:p>
            <w:pPr>
              <w:pStyle w:val="19"/>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1078" w:type="pct"/>
            <w:vAlign w:val="center"/>
          </w:tcPr>
          <w:p>
            <w:pPr>
              <w:pStyle w:val="19"/>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1078" w:type="pct"/>
            <w:vAlign w:val="center"/>
          </w:tcPr>
          <w:p>
            <w:pPr>
              <w:pStyle w:val="19"/>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1" w:hRule="atLeast"/>
        </w:trPr>
        <w:tc>
          <w:tcPr>
            <w:tcW w:w="790"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1078" w:type="pct"/>
            <w:vAlign w:val="center"/>
          </w:tcPr>
          <w:p>
            <w:pPr>
              <w:pStyle w:val="19"/>
              <w:ind w:firstLine="480"/>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90"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782" w:type="pct"/>
            <w:vAlign w:val="center"/>
          </w:tcPr>
          <w:p>
            <w:pPr>
              <w:pStyle w:val="19"/>
              <w:ind w:firstLine="480"/>
              <w:rPr>
                <w:rFonts w:ascii="宋体"/>
                <w:sz w:val="24"/>
              </w:rPr>
            </w:pPr>
          </w:p>
        </w:tc>
        <w:tc>
          <w:tcPr>
            <w:tcW w:w="1078" w:type="pct"/>
            <w:vAlign w:val="center"/>
          </w:tcPr>
          <w:p>
            <w:pPr>
              <w:pStyle w:val="19"/>
              <w:ind w:firstLine="480"/>
              <w:rPr>
                <w:rFonts w:ascii="宋体"/>
                <w:sz w:val="24"/>
              </w:rPr>
            </w:pPr>
          </w:p>
        </w:tc>
      </w:tr>
    </w:tbl>
    <w:p>
      <w:pPr>
        <w:pStyle w:val="76"/>
        <w:ind w:firstLine="199" w:firstLineChars="95"/>
      </w:pPr>
    </w:p>
    <w:p>
      <w:pPr>
        <w:pStyle w:val="76"/>
        <w:ind w:firstLine="199" w:firstLineChars="95"/>
        <w:sectPr>
          <w:pgSz w:w="11906" w:h="16838"/>
          <w:pgMar w:top="1928" w:right="1134" w:bottom="1134" w:left="1134" w:header="1418" w:footer="1134" w:gutter="284"/>
          <w:cols w:space="425" w:num="1"/>
          <w:formProt w:val="0"/>
          <w:docGrid w:type="lines" w:linePitch="312" w:charSpace="0"/>
        </w:sectPr>
      </w:pPr>
    </w:p>
    <w:p>
      <w:pPr>
        <w:pStyle w:val="218"/>
        <w:rPr>
          <w:vanish w:val="0"/>
        </w:rPr>
      </w:pPr>
    </w:p>
    <w:p>
      <w:pPr>
        <w:pStyle w:val="219"/>
        <w:rPr>
          <w:vanish w:val="0"/>
        </w:rPr>
      </w:pPr>
    </w:p>
    <w:p>
      <w:pPr>
        <w:pStyle w:val="96"/>
        <w:spacing w:after="156"/>
      </w:pPr>
      <w:r>
        <w:br w:type="textWrapping"/>
      </w:r>
      <w:bookmarkStart w:id="312" w:name="_Toc149749345"/>
      <w:bookmarkStart w:id="313" w:name="_Toc142471004"/>
      <w:bookmarkStart w:id="314" w:name="_Toc149555013"/>
      <w:bookmarkStart w:id="315" w:name="_Toc146472755"/>
      <w:bookmarkStart w:id="316" w:name="_Toc146472735"/>
      <w:bookmarkStart w:id="317" w:name="_Toc146474209"/>
      <w:bookmarkStart w:id="318" w:name="_Toc142550529"/>
      <w:bookmarkStart w:id="319" w:name="_Toc142550493"/>
      <w:r>
        <w:rPr>
          <w:rFonts w:hint="eastAsia"/>
        </w:rPr>
        <w:t>（规范性）</w:t>
      </w:r>
      <w:r>
        <w:br w:type="textWrapping"/>
      </w:r>
      <w:r>
        <w:rPr>
          <w:rFonts w:hint="eastAsia"/>
        </w:rPr>
        <w:t>测试、检测档案</w:t>
      </w:r>
      <w:bookmarkEnd w:id="312"/>
      <w:bookmarkEnd w:id="313"/>
      <w:bookmarkEnd w:id="314"/>
      <w:bookmarkEnd w:id="315"/>
      <w:bookmarkEnd w:id="316"/>
      <w:bookmarkEnd w:id="317"/>
      <w:bookmarkEnd w:id="318"/>
      <w:bookmarkEnd w:id="319"/>
    </w:p>
    <w:p>
      <w:pPr>
        <w:pStyle w:val="97"/>
        <w:spacing w:before="156" w:after="156"/>
      </w:pPr>
      <w:r>
        <w:rPr>
          <w:rFonts w:hint="eastAsia"/>
        </w:rPr>
        <w:t>样品测定记录表</w:t>
      </w:r>
    </w:p>
    <w:p>
      <w:pPr>
        <w:pStyle w:val="76"/>
        <w:ind w:left="7920" w:hanging="7920" w:hangingChars="4400"/>
        <w:rPr>
          <w:rFonts w:eastAsia="黑体"/>
        </w:rPr>
      </w:pPr>
      <w:r>
        <w:rPr>
          <w:rFonts w:hint="eastAsia" w:ascii="黑体" w:hAnsi="黑体" w:eastAsia="黑体" w:cs="黑体"/>
          <w:color w:val="000000"/>
          <w:sz w:val="18"/>
          <w:szCs w:val="18"/>
        </w:rPr>
        <w:t>调查人员：</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记录人：</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调查日期：</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年</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月</w:t>
      </w:r>
      <w:r>
        <w:rPr>
          <w:rFonts w:hint="eastAsia" w:ascii="黑体" w:hAnsi="黑体" w:eastAsia="黑体" w:cs="黑体"/>
          <w:color w:val="000000"/>
          <w:sz w:val="18"/>
          <w:szCs w:val="18"/>
          <w:u w:val="single"/>
        </w:rPr>
        <w:t xml:space="preserve">        </w:t>
      </w:r>
      <w:r>
        <w:rPr>
          <w:rFonts w:hint="eastAsia" w:ascii="黑体" w:hAnsi="黑体" w:eastAsia="黑体" w:cs="黑体"/>
          <w:color w:val="000000"/>
          <w:sz w:val="18"/>
          <w:szCs w:val="18"/>
        </w:rPr>
        <w:t>日</w:t>
      </w:r>
      <w:r>
        <w:rPr>
          <w:rFonts w:hint="eastAsia" w:ascii="黑体" w:hAnsi="黑体" w:eastAsia="黑体" w:cs="黑体"/>
        </w:rPr>
        <w:t xml:space="preserve">                单位为:克</w:t>
      </w:r>
    </w:p>
    <w:tbl>
      <w:tblPr>
        <w:tblStyle w:val="333"/>
        <w:tblpPr w:leftFromText="180" w:rightFromText="180" w:vertAnchor="text" w:tblpX="1" w:tblpY="1"/>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3572"/>
        <w:gridCol w:w="3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1" w:hRule="atLeast"/>
        </w:trPr>
        <w:tc>
          <w:tcPr>
            <w:tcW w:w="1223" w:type="pct"/>
            <w:vAlign w:val="center"/>
          </w:tcPr>
          <w:p>
            <w:pPr>
              <w:jc w:val="center"/>
              <w:rPr>
                <w:rFonts w:ascii="宋体" w:hAnsi="宋体" w:eastAsia="等线" w:cs="宋体"/>
                <w:kern w:val="0"/>
                <w:sz w:val="18"/>
                <w:szCs w:val="18"/>
                <w:highlight w:val="cyan"/>
              </w:rPr>
            </w:pPr>
            <w:r>
              <w:rPr>
                <w:rFonts w:hint="eastAsia" w:ascii="宋体" w:hAnsi="宋体" w:eastAsia="等线" w:cs="宋体"/>
                <w:kern w:val="0"/>
                <w:sz w:val="18"/>
                <w:szCs w:val="18"/>
              </w:rPr>
              <w:t>取样部位</w:t>
            </w:r>
          </w:p>
        </w:tc>
        <w:tc>
          <w:tcPr>
            <w:tcW w:w="1866" w:type="pct"/>
            <w:vAlign w:val="center"/>
          </w:tcPr>
          <w:p>
            <w:pPr>
              <w:jc w:val="center"/>
              <w:rPr>
                <w:rFonts w:ascii="宋体" w:hAnsi="宋体" w:eastAsia="等线" w:cs="宋体"/>
                <w:kern w:val="0"/>
                <w:sz w:val="18"/>
                <w:szCs w:val="18"/>
              </w:rPr>
            </w:pPr>
            <w:r>
              <w:rPr>
                <w:rFonts w:hint="eastAsia" w:ascii="宋体" w:hAnsi="宋体" w:eastAsia="等线" w:cs="宋体"/>
                <w:kern w:val="0"/>
                <w:sz w:val="18"/>
                <w:szCs w:val="18"/>
              </w:rPr>
              <w:t>样品总鲜重</w:t>
            </w:r>
          </w:p>
        </w:tc>
        <w:tc>
          <w:tcPr>
            <w:tcW w:w="1910" w:type="pct"/>
            <w:vAlign w:val="center"/>
          </w:tcPr>
          <w:p>
            <w:pPr>
              <w:jc w:val="center"/>
              <w:rPr>
                <w:rFonts w:ascii="宋体" w:hAnsi="宋体" w:eastAsia="等线" w:cs="宋体"/>
                <w:kern w:val="0"/>
                <w:sz w:val="18"/>
                <w:szCs w:val="18"/>
              </w:rPr>
            </w:pPr>
            <w:r>
              <w:rPr>
                <w:rFonts w:hint="eastAsia" w:ascii="宋体" w:hAnsi="宋体" w:eastAsia="等线" w:cs="宋体"/>
                <w:kern w:val="0"/>
                <w:sz w:val="18"/>
                <w:szCs w:val="18"/>
              </w:rPr>
              <w:t>样品总干重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223" w:type="pct"/>
            <w:vAlign w:val="center"/>
          </w:tcPr>
          <w:p>
            <w:pPr>
              <w:jc w:val="center"/>
              <w:rPr>
                <w:rFonts w:ascii="宋体" w:hAnsi="宋体" w:eastAsia="等线" w:cs="宋体"/>
                <w:kern w:val="0"/>
                <w:sz w:val="18"/>
                <w:szCs w:val="18"/>
                <w:highlight w:val="cyan"/>
              </w:rPr>
            </w:pPr>
          </w:p>
        </w:tc>
        <w:tc>
          <w:tcPr>
            <w:tcW w:w="1866" w:type="pct"/>
            <w:vAlign w:val="center"/>
          </w:tcPr>
          <w:p>
            <w:pPr>
              <w:ind w:firstLine="360"/>
              <w:jc w:val="center"/>
              <w:rPr>
                <w:rFonts w:ascii="宋体" w:hAnsi="宋体" w:eastAsia="等线" w:cs="宋体"/>
                <w:kern w:val="0"/>
                <w:sz w:val="18"/>
                <w:szCs w:val="18"/>
              </w:rPr>
            </w:pPr>
          </w:p>
        </w:tc>
        <w:tc>
          <w:tcPr>
            <w:tcW w:w="1910" w:type="pct"/>
            <w:vAlign w:val="center"/>
          </w:tcPr>
          <w:p>
            <w:pPr>
              <w:ind w:firstLine="360"/>
              <w:jc w:val="center"/>
              <w:rPr>
                <w:rFonts w:ascii="宋体" w:hAnsi="宋体" w:eastAsia="等线"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223" w:type="pct"/>
            <w:vAlign w:val="center"/>
          </w:tcPr>
          <w:p>
            <w:pPr>
              <w:jc w:val="center"/>
              <w:rPr>
                <w:rFonts w:ascii="Times New Roman" w:hAnsi="Times New Roman" w:eastAsia="仿宋"/>
                <w:kern w:val="0"/>
              </w:rPr>
            </w:pPr>
          </w:p>
        </w:tc>
        <w:tc>
          <w:tcPr>
            <w:tcW w:w="1866" w:type="pct"/>
            <w:vAlign w:val="center"/>
          </w:tcPr>
          <w:p>
            <w:pPr>
              <w:jc w:val="center"/>
              <w:rPr>
                <w:rFonts w:ascii="Times New Roman" w:hAnsi="Times New Roman" w:eastAsia="仿宋"/>
                <w:kern w:val="0"/>
              </w:rPr>
            </w:pPr>
          </w:p>
        </w:tc>
        <w:tc>
          <w:tcPr>
            <w:tcW w:w="1910" w:type="pct"/>
            <w:vAlign w:val="center"/>
          </w:tcPr>
          <w:p>
            <w:pPr>
              <w:jc w:val="center"/>
              <w:rPr>
                <w:rFonts w:ascii="Times New Roman" w:hAnsi="Times New Roman" w:eastAsia="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223" w:type="pct"/>
            <w:vAlign w:val="center"/>
          </w:tcPr>
          <w:p>
            <w:pPr>
              <w:jc w:val="center"/>
              <w:rPr>
                <w:rFonts w:ascii="Times New Roman" w:hAnsi="Times New Roman" w:eastAsia="仿宋"/>
                <w:kern w:val="0"/>
              </w:rPr>
            </w:pPr>
          </w:p>
        </w:tc>
        <w:tc>
          <w:tcPr>
            <w:tcW w:w="1866" w:type="pct"/>
            <w:vAlign w:val="center"/>
          </w:tcPr>
          <w:p>
            <w:pPr>
              <w:jc w:val="center"/>
              <w:rPr>
                <w:rFonts w:ascii="Times New Roman" w:hAnsi="Times New Roman" w:eastAsia="仿宋"/>
                <w:kern w:val="0"/>
              </w:rPr>
            </w:pPr>
          </w:p>
        </w:tc>
        <w:tc>
          <w:tcPr>
            <w:tcW w:w="1910" w:type="pct"/>
            <w:vAlign w:val="center"/>
          </w:tcPr>
          <w:p>
            <w:pPr>
              <w:jc w:val="center"/>
              <w:rPr>
                <w:rFonts w:ascii="Times New Roman" w:hAnsi="Times New Roman" w:eastAsia="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223" w:type="pct"/>
            <w:vAlign w:val="center"/>
          </w:tcPr>
          <w:p>
            <w:pPr>
              <w:jc w:val="center"/>
              <w:rPr>
                <w:rFonts w:ascii="Times New Roman" w:hAnsi="Times New Roman" w:eastAsia="仿宋"/>
                <w:kern w:val="0"/>
              </w:rPr>
            </w:pPr>
          </w:p>
        </w:tc>
        <w:tc>
          <w:tcPr>
            <w:tcW w:w="1866" w:type="pct"/>
            <w:vAlign w:val="center"/>
          </w:tcPr>
          <w:p>
            <w:pPr>
              <w:jc w:val="center"/>
              <w:rPr>
                <w:rFonts w:ascii="Times New Roman" w:hAnsi="Times New Roman" w:eastAsia="仿宋"/>
                <w:kern w:val="0"/>
              </w:rPr>
            </w:pPr>
          </w:p>
        </w:tc>
        <w:tc>
          <w:tcPr>
            <w:tcW w:w="1910" w:type="pct"/>
            <w:vAlign w:val="center"/>
          </w:tcPr>
          <w:p>
            <w:pPr>
              <w:jc w:val="center"/>
              <w:rPr>
                <w:rFonts w:ascii="Times New Roman" w:hAnsi="Times New Roman" w:eastAsia="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3" w:hRule="atLeast"/>
        </w:trPr>
        <w:tc>
          <w:tcPr>
            <w:tcW w:w="1223" w:type="pct"/>
            <w:vAlign w:val="center"/>
          </w:tcPr>
          <w:p>
            <w:pPr>
              <w:jc w:val="center"/>
              <w:rPr>
                <w:rFonts w:ascii="Times New Roman" w:hAnsi="Times New Roman" w:eastAsia="仿宋"/>
                <w:kern w:val="0"/>
              </w:rPr>
            </w:pPr>
          </w:p>
        </w:tc>
        <w:tc>
          <w:tcPr>
            <w:tcW w:w="1866" w:type="pct"/>
            <w:vAlign w:val="center"/>
          </w:tcPr>
          <w:p>
            <w:pPr>
              <w:jc w:val="center"/>
              <w:rPr>
                <w:rFonts w:ascii="Times New Roman" w:hAnsi="Times New Roman" w:eastAsia="仿宋"/>
                <w:kern w:val="0"/>
              </w:rPr>
            </w:pPr>
          </w:p>
        </w:tc>
        <w:tc>
          <w:tcPr>
            <w:tcW w:w="1910" w:type="pct"/>
            <w:vAlign w:val="center"/>
          </w:tcPr>
          <w:p>
            <w:pPr>
              <w:jc w:val="center"/>
              <w:rPr>
                <w:rFonts w:ascii="Times New Roman" w:hAnsi="Times New Roman" w:eastAsia="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3" w:hRule="atLeast"/>
        </w:trPr>
        <w:tc>
          <w:tcPr>
            <w:tcW w:w="1223" w:type="pct"/>
            <w:vAlign w:val="center"/>
          </w:tcPr>
          <w:p>
            <w:pPr>
              <w:jc w:val="center"/>
              <w:rPr>
                <w:rFonts w:ascii="Times New Roman" w:hAnsi="Times New Roman" w:eastAsia="仿宋"/>
                <w:kern w:val="0"/>
              </w:rPr>
            </w:pPr>
          </w:p>
        </w:tc>
        <w:tc>
          <w:tcPr>
            <w:tcW w:w="1866" w:type="pct"/>
            <w:vAlign w:val="center"/>
          </w:tcPr>
          <w:p>
            <w:pPr>
              <w:jc w:val="center"/>
              <w:rPr>
                <w:rFonts w:ascii="Times New Roman" w:hAnsi="Times New Roman" w:eastAsia="仿宋"/>
                <w:kern w:val="0"/>
              </w:rPr>
            </w:pPr>
          </w:p>
        </w:tc>
        <w:tc>
          <w:tcPr>
            <w:tcW w:w="1910" w:type="pct"/>
            <w:vAlign w:val="center"/>
          </w:tcPr>
          <w:p>
            <w:pPr>
              <w:jc w:val="center"/>
              <w:rPr>
                <w:rFonts w:ascii="Times New Roman" w:hAnsi="Times New Roman" w:eastAsia="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223" w:type="pct"/>
            <w:vAlign w:val="center"/>
          </w:tcPr>
          <w:p>
            <w:pPr>
              <w:jc w:val="center"/>
              <w:rPr>
                <w:rFonts w:ascii="Times New Roman" w:hAnsi="Times New Roman" w:eastAsia="仿宋"/>
                <w:kern w:val="0"/>
              </w:rPr>
            </w:pPr>
          </w:p>
        </w:tc>
        <w:tc>
          <w:tcPr>
            <w:tcW w:w="1866" w:type="pct"/>
            <w:vAlign w:val="center"/>
          </w:tcPr>
          <w:p>
            <w:pPr>
              <w:jc w:val="center"/>
              <w:rPr>
                <w:rFonts w:ascii="Times New Roman" w:hAnsi="Times New Roman" w:eastAsia="仿宋"/>
                <w:kern w:val="0"/>
              </w:rPr>
            </w:pPr>
          </w:p>
        </w:tc>
        <w:tc>
          <w:tcPr>
            <w:tcW w:w="1910" w:type="pct"/>
            <w:vAlign w:val="center"/>
          </w:tcPr>
          <w:p>
            <w:pPr>
              <w:jc w:val="center"/>
              <w:rPr>
                <w:rFonts w:ascii="Times New Roman" w:hAnsi="Times New Roman" w:eastAsia="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223" w:type="pct"/>
            <w:vAlign w:val="center"/>
          </w:tcPr>
          <w:p>
            <w:pPr>
              <w:jc w:val="center"/>
              <w:rPr>
                <w:rFonts w:ascii="Times New Roman" w:hAnsi="Times New Roman" w:eastAsia="仿宋"/>
                <w:kern w:val="0"/>
              </w:rPr>
            </w:pPr>
          </w:p>
        </w:tc>
        <w:tc>
          <w:tcPr>
            <w:tcW w:w="1866" w:type="pct"/>
            <w:vAlign w:val="center"/>
          </w:tcPr>
          <w:p>
            <w:pPr>
              <w:jc w:val="center"/>
              <w:rPr>
                <w:rFonts w:ascii="Times New Roman" w:hAnsi="Times New Roman" w:eastAsia="仿宋"/>
                <w:kern w:val="0"/>
              </w:rPr>
            </w:pPr>
          </w:p>
        </w:tc>
        <w:tc>
          <w:tcPr>
            <w:tcW w:w="1910" w:type="pct"/>
            <w:vAlign w:val="center"/>
          </w:tcPr>
          <w:p>
            <w:pPr>
              <w:jc w:val="center"/>
              <w:rPr>
                <w:rFonts w:ascii="Times New Roman" w:hAnsi="Times New Roman" w:eastAsia="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223" w:type="pct"/>
            <w:vAlign w:val="center"/>
          </w:tcPr>
          <w:p>
            <w:pPr>
              <w:jc w:val="center"/>
              <w:rPr>
                <w:rFonts w:ascii="Times New Roman" w:hAnsi="Times New Roman" w:eastAsia="仿宋"/>
                <w:kern w:val="0"/>
              </w:rPr>
            </w:pPr>
          </w:p>
        </w:tc>
        <w:tc>
          <w:tcPr>
            <w:tcW w:w="1866" w:type="pct"/>
            <w:vAlign w:val="center"/>
          </w:tcPr>
          <w:p>
            <w:pPr>
              <w:jc w:val="center"/>
              <w:rPr>
                <w:rFonts w:ascii="Times New Roman" w:hAnsi="Times New Roman" w:eastAsia="仿宋"/>
                <w:kern w:val="0"/>
              </w:rPr>
            </w:pPr>
          </w:p>
        </w:tc>
        <w:tc>
          <w:tcPr>
            <w:tcW w:w="1910" w:type="pct"/>
            <w:vAlign w:val="center"/>
          </w:tcPr>
          <w:p>
            <w:pPr>
              <w:jc w:val="center"/>
              <w:rPr>
                <w:rFonts w:ascii="Times New Roman" w:hAnsi="Times New Roman" w:eastAsia="仿宋"/>
                <w:kern w:val="0"/>
              </w:rPr>
            </w:pPr>
          </w:p>
        </w:tc>
      </w:tr>
    </w:tbl>
    <w:p>
      <w:pPr>
        <w:ind w:firstLine="422"/>
        <w:rPr>
          <w:b/>
          <w:bCs/>
        </w:rPr>
      </w:pPr>
    </w:p>
    <w:p>
      <w:pPr>
        <w:pStyle w:val="2"/>
        <w:ind w:firstLine="420"/>
      </w:pPr>
    </w:p>
    <w:p/>
    <w:p>
      <w:pPr>
        <w:pStyle w:val="2"/>
        <w:ind w:firstLine="420"/>
      </w:pPr>
    </w:p>
    <w:p/>
    <w:p>
      <w:pPr>
        <w:pStyle w:val="96"/>
        <w:spacing w:after="156"/>
      </w:pPr>
      <w:r>
        <w:br w:type="textWrapping"/>
      </w:r>
      <w:bookmarkStart w:id="320" w:name="_Toc149749346"/>
      <w:bookmarkStart w:id="321" w:name="_Toc149555014"/>
      <w:r>
        <w:rPr>
          <w:rFonts w:hint="eastAsia"/>
        </w:rPr>
        <w:t>（规范性）</w:t>
      </w:r>
      <w:r>
        <w:br w:type="textWrapping"/>
      </w:r>
      <w:r>
        <w:rPr>
          <w:rFonts w:hint="eastAsia"/>
        </w:rPr>
        <w:t>森林碳汇调查与监测方案模板</w:t>
      </w:r>
      <w:bookmarkEnd w:id="320"/>
      <w:bookmarkEnd w:id="321"/>
    </w:p>
    <w:p>
      <w:pPr>
        <w:pStyle w:val="76"/>
        <w:ind w:firstLine="420"/>
        <w:rPr>
          <w:szCs w:val="21"/>
        </w:rPr>
      </w:pPr>
      <w:r>
        <w:rPr>
          <w:rFonts w:hint="eastAsia"/>
          <w:szCs w:val="21"/>
        </w:rPr>
        <w:t>前言</w:t>
      </w:r>
    </w:p>
    <w:p>
      <w:pPr>
        <w:pStyle w:val="76"/>
        <w:ind w:firstLine="420"/>
        <w:rPr>
          <w:szCs w:val="21"/>
        </w:rPr>
      </w:pPr>
      <w:r>
        <w:rPr>
          <w:rFonts w:hint="eastAsia"/>
          <w:szCs w:val="21"/>
        </w:rPr>
        <w:t>1基本概况</w:t>
      </w:r>
    </w:p>
    <w:p>
      <w:pPr>
        <w:pStyle w:val="76"/>
        <w:ind w:firstLine="420"/>
        <w:rPr>
          <w:szCs w:val="21"/>
        </w:rPr>
      </w:pPr>
      <w:r>
        <w:rPr>
          <w:rFonts w:hint="eastAsia"/>
          <w:szCs w:val="21"/>
        </w:rPr>
        <w:t>2主要工作内容与拟取得的成果</w:t>
      </w:r>
    </w:p>
    <w:p>
      <w:pPr>
        <w:pStyle w:val="76"/>
        <w:ind w:firstLine="420"/>
        <w:rPr>
          <w:szCs w:val="21"/>
        </w:rPr>
      </w:pPr>
      <w:r>
        <w:rPr>
          <w:rFonts w:hint="eastAsia"/>
          <w:szCs w:val="21"/>
        </w:rPr>
        <w:t>3监测技术</w:t>
      </w:r>
    </w:p>
    <w:p>
      <w:pPr>
        <w:pStyle w:val="76"/>
        <w:ind w:firstLine="420"/>
        <w:rPr>
          <w:szCs w:val="21"/>
        </w:rPr>
      </w:pPr>
      <w:r>
        <w:rPr>
          <w:rFonts w:hint="eastAsia"/>
          <w:szCs w:val="21"/>
        </w:rPr>
        <w:t>3.1调查方法</w:t>
      </w:r>
    </w:p>
    <w:p>
      <w:pPr>
        <w:pStyle w:val="76"/>
        <w:ind w:firstLine="420"/>
        <w:rPr>
          <w:szCs w:val="21"/>
        </w:rPr>
      </w:pPr>
      <w:r>
        <w:rPr>
          <w:rFonts w:hint="eastAsia"/>
          <w:szCs w:val="21"/>
        </w:rPr>
        <w:t>3.2碳储量调查监测方法</w:t>
      </w:r>
    </w:p>
    <w:p>
      <w:pPr>
        <w:pStyle w:val="76"/>
        <w:ind w:firstLine="420"/>
        <w:rPr>
          <w:szCs w:val="21"/>
        </w:rPr>
      </w:pPr>
      <w:r>
        <w:rPr>
          <w:rFonts w:hint="eastAsia"/>
          <w:szCs w:val="21"/>
        </w:rPr>
        <w:t>3.3碳汇计量监测方法</w:t>
      </w:r>
    </w:p>
    <w:p>
      <w:pPr>
        <w:pStyle w:val="76"/>
        <w:ind w:firstLine="420"/>
        <w:rPr>
          <w:szCs w:val="21"/>
        </w:rPr>
      </w:pPr>
      <w:r>
        <w:rPr>
          <w:rFonts w:hint="eastAsia"/>
          <w:szCs w:val="21"/>
        </w:rPr>
        <w:t>4 森林数据整理</w:t>
      </w:r>
    </w:p>
    <w:p>
      <w:pPr>
        <w:pStyle w:val="76"/>
        <w:ind w:firstLine="420"/>
        <w:rPr>
          <w:szCs w:val="21"/>
        </w:rPr>
      </w:pPr>
      <w:r>
        <w:rPr>
          <w:rFonts w:hint="eastAsia"/>
          <w:szCs w:val="21"/>
        </w:rPr>
        <w:t>5 后续工作安排</w:t>
      </w:r>
    </w:p>
    <w:p>
      <w:pPr>
        <w:pStyle w:val="76"/>
        <w:ind w:firstLine="420"/>
        <w:rPr>
          <w:szCs w:val="21"/>
        </w:rPr>
      </w:pPr>
      <w:r>
        <w:rPr>
          <w:rFonts w:hint="eastAsia"/>
          <w:szCs w:val="21"/>
        </w:rPr>
        <w:t>5.1碳储量调查监测工作安排</w:t>
      </w:r>
    </w:p>
    <w:p>
      <w:pPr>
        <w:pStyle w:val="76"/>
        <w:ind w:firstLine="420"/>
        <w:rPr>
          <w:szCs w:val="21"/>
        </w:rPr>
      </w:pPr>
      <w:r>
        <w:rPr>
          <w:rFonts w:hint="eastAsia"/>
          <w:szCs w:val="21"/>
        </w:rPr>
        <w:t>5.2碳汇计量监测工作安排</w:t>
      </w:r>
    </w:p>
    <w:p>
      <w:pPr>
        <w:pStyle w:val="76"/>
        <w:ind w:firstLine="420"/>
        <w:rPr>
          <w:szCs w:val="21"/>
        </w:rPr>
      </w:pPr>
      <w:r>
        <w:rPr>
          <w:rFonts w:hint="eastAsia"/>
          <w:szCs w:val="21"/>
        </w:rPr>
        <w:t>6 年度经费预算</w:t>
      </w:r>
    </w:p>
    <w:p>
      <w:pPr>
        <w:pStyle w:val="76"/>
        <w:ind w:firstLine="420"/>
        <w:rPr>
          <w:szCs w:val="21"/>
        </w:rPr>
      </w:pPr>
      <w:r>
        <w:rPr>
          <w:rFonts w:hint="eastAsia"/>
          <w:szCs w:val="21"/>
        </w:rPr>
        <w:t>7安全调查的基本要求</w:t>
      </w:r>
    </w:p>
    <w:p>
      <w:pPr>
        <w:pStyle w:val="76"/>
        <w:ind w:firstLine="420"/>
        <w:rPr>
          <w:szCs w:val="21"/>
        </w:rPr>
      </w:pPr>
      <w:r>
        <w:rPr>
          <w:rFonts w:hint="eastAsia"/>
          <w:szCs w:val="21"/>
        </w:rPr>
        <w:t>8附表</w:t>
      </w:r>
    </w:p>
    <w:p>
      <w:pPr>
        <w:pStyle w:val="76"/>
        <w:ind w:firstLine="199" w:firstLineChars="95"/>
        <w:sectPr>
          <w:pgSz w:w="11906" w:h="16838"/>
          <w:pgMar w:top="1928" w:right="1134" w:bottom="1134" w:left="1134" w:header="1418" w:footer="1134" w:gutter="284"/>
          <w:cols w:space="425" w:num="1"/>
          <w:formProt w:val="0"/>
          <w:docGrid w:type="lines" w:linePitch="312" w:charSpace="0"/>
        </w:sectPr>
      </w:pPr>
    </w:p>
    <w:p>
      <w:pPr>
        <w:pStyle w:val="218"/>
        <w:rPr>
          <w:vanish w:val="0"/>
        </w:rPr>
      </w:pPr>
    </w:p>
    <w:p>
      <w:pPr>
        <w:pStyle w:val="219"/>
        <w:rPr>
          <w:vanish w:val="0"/>
        </w:rPr>
      </w:pPr>
    </w:p>
    <w:bookmarkEnd w:id="303"/>
    <w:p>
      <w:pPr>
        <w:pStyle w:val="83"/>
        <w:spacing w:after="156"/>
      </w:pPr>
      <w:bookmarkStart w:id="322" w:name="_Toc149555015"/>
      <w:bookmarkStart w:id="323" w:name="_Toc149749347"/>
      <w:bookmarkStart w:id="324" w:name="BookMark6"/>
      <w:r>
        <w:rPr>
          <w:rFonts w:hint="eastAsia"/>
          <w:spacing w:val="105"/>
        </w:rPr>
        <w:t>参考文</w:t>
      </w:r>
      <w:r>
        <w:rPr>
          <w:rFonts w:hint="eastAsia"/>
        </w:rPr>
        <w:t>献</w:t>
      </w:r>
      <w:bookmarkEnd w:id="322"/>
      <w:bookmarkEnd w:id="323"/>
    </w:p>
    <w:p>
      <w:pPr>
        <w:pStyle w:val="76"/>
        <w:ind w:firstLine="420"/>
      </w:pPr>
      <w:r>
        <w:rPr>
          <w:rFonts w:hint="eastAsia"/>
        </w:rPr>
        <w:t>[</w:t>
      </w:r>
      <w:r>
        <w:t>1]</w:t>
      </w:r>
      <w:r>
        <w:rPr>
          <w:rFonts w:hint="eastAsia"/>
        </w:rPr>
        <w:t xml:space="preserve"> </w:t>
      </w:r>
      <w:r>
        <w:t xml:space="preserve">GB/T41198-2021  </w:t>
      </w:r>
      <w:r>
        <w:rPr>
          <w:rFonts w:hint="eastAsia"/>
        </w:rPr>
        <w:t>林业碳汇项目审定和核证指南</w:t>
      </w:r>
    </w:p>
    <w:p>
      <w:pPr>
        <w:pStyle w:val="76"/>
        <w:ind w:firstLine="420"/>
      </w:pPr>
      <w:r>
        <w:rPr>
          <w:rFonts w:hint="eastAsia"/>
        </w:rPr>
        <w:t>[2</w:t>
      </w:r>
      <w:r>
        <w:t xml:space="preserve">] GB/T 38590-2020  </w:t>
      </w:r>
      <w:r>
        <w:rPr>
          <w:rFonts w:hint="eastAsia"/>
        </w:rPr>
        <w:t>森林资源连续清查技术规程</w:t>
      </w:r>
    </w:p>
    <w:p>
      <w:pPr>
        <w:pStyle w:val="76"/>
        <w:ind w:firstLine="420"/>
      </w:pPr>
      <w:r>
        <w:rPr>
          <w:rFonts w:hint="eastAsia"/>
        </w:rPr>
        <w:t>[3</w:t>
      </w:r>
      <w:r>
        <w:t xml:space="preserve">] T/CSF 011-2022  </w:t>
      </w:r>
      <w:r>
        <w:rPr>
          <w:rFonts w:hint="eastAsia"/>
        </w:rPr>
        <w:t>林业碳汇项目基线调查技术规程</w:t>
      </w:r>
    </w:p>
    <w:p>
      <w:pPr>
        <w:pStyle w:val="76"/>
        <w:ind w:firstLine="420"/>
      </w:pPr>
      <w:r>
        <w:rPr>
          <w:rFonts w:hint="eastAsia"/>
        </w:rPr>
        <w:t>[4</w:t>
      </w:r>
      <w:r>
        <w:t xml:space="preserve">] HJ 1171—2021  </w:t>
      </w:r>
      <w:r>
        <w:rPr>
          <w:rFonts w:hint="eastAsia"/>
        </w:rPr>
        <w:t>全国生态状况调查评估技术规范——生态系统格局评估</w:t>
      </w:r>
    </w:p>
    <w:p>
      <w:pPr>
        <w:pStyle w:val="76"/>
        <w:ind w:firstLine="420"/>
      </w:pPr>
      <w:r>
        <w:t xml:space="preserve">[5] DZ/T 0143-1994 </w:t>
      </w:r>
      <w:r>
        <w:rPr>
          <w:rFonts w:hint="eastAsia"/>
        </w:rPr>
        <w:t>卫星遥感图象产品质量控制规范</w:t>
      </w:r>
    </w:p>
    <w:p>
      <w:pPr>
        <w:pStyle w:val="76"/>
        <w:ind w:firstLine="420"/>
      </w:pPr>
      <w:r>
        <w:rPr>
          <w:rFonts w:hint="eastAsia"/>
        </w:rPr>
        <w:t>[</w:t>
      </w:r>
      <w:r>
        <w:t xml:space="preserve">6] DB15/T2527-2022  </w:t>
      </w:r>
      <w:r>
        <w:rPr>
          <w:rFonts w:hint="eastAsia"/>
        </w:rPr>
        <w:t>主要灌木树种固碳效益监测技术规程</w:t>
      </w:r>
    </w:p>
    <w:p>
      <w:pPr>
        <w:pStyle w:val="76"/>
        <w:ind w:firstLine="420"/>
      </w:pPr>
    </w:p>
    <w:p>
      <w:pPr>
        <w:pStyle w:val="76"/>
        <w:ind w:firstLine="420"/>
      </w:pPr>
    </w:p>
    <w:bookmarkEnd w:id="324"/>
    <w:p>
      <w:pPr>
        <w:pStyle w:val="76"/>
        <w:ind w:firstLine="0" w:firstLineChars="0"/>
        <w:jc w:val="center"/>
      </w:pPr>
      <w:bookmarkStart w:id="325"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25"/>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STB">
    <w:altName w:val="Times New Roman"/>
    <w:panose1 w:val="00000000000000000000"/>
    <w:charset w:val="00"/>
    <w:family w:val="roman"/>
    <w:pitch w:val="default"/>
    <w:sig w:usb0="00000000" w:usb1="00000000" w:usb2="00000000" w:usb3="00000000" w:csb0="00000000" w:csb1="00000000"/>
  </w:font>
  <w:font w:name="STA">
    <w:altName w:val="Segoe Print"/>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2"/>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1"/>
    </w:pPr>
    <w:r>
      <w:fldChar w:fldCharType="begin"/>
    </w:r>
    <w:r>
      <w:instrText xml:space="preserve"> STYLEREF  标准文件_文件编号  \* MERGEFORMAT </w:instrText>
    </w:r>
    <w:r>
      <w:fldChar w:fldCharType="separate"/>
    </w:r>
    <w: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8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79"/>
      <w:suff w:val="nothing"/>
      <w:lvlText w:val="%1%2.%3　"/>
      <w:lvlJc w:val="left"/>
      <w:pPr>
        <w:ind w:left="0" w:firstLine="0"/>
      </w:pPr>
    </w:lvl>
    <w:lvl w:ilvl="3" w:tentative="0">
      <w:start w:val="1"/>
      <w:numFmt w:val="decimal"/>
      <w:pStyle w:val="138"/>
      <w:suff w:val="nothing"/>
      <w:lvlText w:val="%1%2.%3.%4　"/>
      <w:lvlJc w:val="left"/>
      <w:pPr>
        <w:ind w:left="0" w:firstLine="0"/>
      </w:pPr>
    </w:lvl>
    <w:lvl w:ilvl="4" w:tentative="0">
      <w:start w:val="1"/>
      <w:numFmt w:val="decimal"/>
      <w:pStyle w:val="173"/>
      <w:suff w:val="nothing"/>
      <w:lvlText w:val="%1%2.%3.%4.%5　"/>
      <w:lvlJc w:val="left"/>
      <w:pPr>
        <w:ind w:left="0" w:firstLine="0"/>
      </w:pPr>
    </w:lvl>
    <w:lvl w:ilvl="5" w:tentative="0">
      <w:start w:val="1"/>
      <w:numFmt w:val="decimal"/>
      <w:pStyle w:val="175"/>
      <w:suff w:val="nothing"/>
      <w:lvlText w:val="%1%2.%3.%4.%5.%6　"/>
      <w:lvlJc w:val="left"/>
      <w:pPr>
        <w:ind w:left="0" w:firstLine="0"/>
      </w:pPr>
    </w:lvl>
    <w:lvl w:ilvl="6" w:tentative="0">
      <w:start w:val="1"/>
      <w:numFmt w:val="decimal"/>
      <w:pStyle w:val="17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20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109"/>
      <w:lvlText w:val="%1"/>
      <w:lvlJc w:val="left"/>
      <w:pPr>
        <w:ind w:left="425" w:hanging="425"/>
      </w:pPr>
      <w:rPr>
        <w:rFonts w:hint="eastAsia"/>
      </w:rPr>
    </w:lvl>
    <w:lvl w:ilvl="1" w:tentative="0">
      <w:start w:val="1"/>
      <w:numFmt w:val="decimal"/>
      <w:pStyle w:val="220"/>
      <w:suff w:val="nothing"/>
      <w:lvlText w:val="%10.%2 "/>
      <w:lvlJc w:val="left"/>
      <w:pPr>
        <w:ind w:left="0" w:firstLine="0"/>
      </w:pPr>
      <w:rPr>
        <w:rFonts w:hint="eastAsia" w:ascii="黑体" w:eastAsia="黑体" w:hAnsiTheme="minorHAnsi"/>
        <w:b w:val="0"/>
        <w:i w:val="0"/>
        <w:sz w:val="21"/>
      </w:rPr>
    </w:lvl>
    <w:lvl w:ilvl="2" w:tentative="0">
      <w:start w:val="1"/>
      <w:numFmt w:val="decimal"/>
      <w:pStyle w:val="221"/>
      <w:suff w:val="nothing"/>
      <w:lvlText w:val="%10.%2.%3 "/>
      <w:lvlJc w:val="left"/>
      <w:pPr>
        <w:ind w:left="0" w:firstLine="0"/>
      </w:pPr>
      <w:rPr>
        <w:rFonts w:hint="eastAsia" w:ascii="黑体" w:eastAsia="黑体" w:hAnsiTheme="minorHAnsi"/>
        <w:b w:val="0"/>
        <w:i w:val="0"/>
        <w:sz w:val="21"/>
      </w:rPr>
    </w:lvl>
    <w:lvl w:ilvl="3" w:tentative="0">
      <w:start w:val="1"/>
      <w:numFmt w:val="decimal"/>
      <w:pStyle w:val="222"/>
      <w:suff w:val="nothing"/>
      <w:lvlText w:val="%10.%2.%3.%4 "/>
      <w:lvlJc w:val="left"/>
      <w:pPr>
        <w:ind w:left="0" w:firstLine="0"/>
      </w:pPr>
      <w:rPr>
        <w:rFonts w:hint="eastAsia" w:ascii="黑体" w:eastAsia="黑体" w:hAnsiTheme="minorHAnsi"/>
        <w:b w:val="0"/>
        <w:i w:val="0"/>
        <w:sz w:val="21"/>
      </w:rPr>
    </w:lvl>
    <w:lvl w:ilvl="4" w:tentative="0">
      <w:start w:val="1"/>
      <w:numFmt w:val="decimal"/>
      <w:pStyle w:val="223"/>
      <w:suff w:val="nothing"/>
      <w:lvlText w:val="%10.%2.%3.%4.%5 "/>
      <w:lvlJc w:val="left"/>
      <w:pPr>
        <w:ind w:left="0" w:firstLine="0"/>
      </w:pPr>
      <w:rPr>
        <w:rFonts w:hint="eastAsia" w:ascii="黑体" w:eastAsia="黑体" w:hAnsiTheme="minorHAnsi"/>
        <w:b w:val="0"/>
        <w:i w:val="0"/>
        <w:sz w:val="21"/>
      </w:rPr>
    </w:lvl>
    <w:lvl w:ilvl="5" w:tentative="0">
      <w:start w:val="1"/>
      <w:numFmt w:val="decimal"/>
      <w:pStyle w:val="22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93C6778"/>
    <w:multiLevelType w:val="multilevel"/>
    <w:tmpl w:val="093C6778"/>
    <w:lvl w:ilvl="0" w:tentative="0">
      <w:start w:val="1"/>
      <w:numFmt w:val="decimal"/>
      <w:pStyle w:val="31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0AE367E9"/>
    <w:multiLevelType w:val="multilevel"/>
    <w:tmpl w:val="0AE367E9"/>
    <w:lvl w:ilvl="0" w:tentative="0">
      <w:start w:val="1"/>
      <w:numFmt w:val="none"/>
      <w:pStyle w:val="20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8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8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3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10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DBF583A"/>
    <w:multiLevelType w:val="multilevel"/>
    <w:tmpl w:val="1DBF583A"/>
    <w:lvl w:ilvl="0" w:tentative="0">
      <w:start w:val="1"/>
      <w:numFmt w:val="decimal"/>
      <w:pStyle w:val="279"/>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1">
    <w:nsid w:val="1EAA1992"/>
    <w:multiLevelType w:val="multilevel"/>
    <w:tmpl w:val="1EAA1992"/>
    <w:lvl w:ilvl="0" w:tentative="0">
      <w:start w:val="1"/>
      <w:numFmt w:val="none"/>
      <w:pStyle w:val="11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56"/>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65"/>
      <w:suff w:val="nothing"/>
      <w:lvlText w:val="%1.%2.%3.%4　"/>
      <w:lvlJc w:val="left"/>
      <w:pPr>
        <w:ind w:left="0" w:firstLine="0"/>
      </w:pPr>
      <w:rPr>
        <w:rFonts w:hint="eastAsia" w:ascii="黑体" w:hAnsi="Times New Roman" w:eastAsia="黑体"/>
        <w:b w:val="0"/>
        <w:i w:val="0"/>
        <w:sz w:val="21"/>
      </w:rPr>
    </w:lvl>
    <w:lvl w:ilvl="4" w:tentative="0">
      <w:start w:val="1"/>
      <w:numFmt w:val="decimal"/>
      <w:pStyle w:val="269"/>
      <w:suff w:val="nothing"/>
      <w:lvlText w:val="%1.%2.%3.%4.%5　"/>
      <w:lvlJc w:val="left"/>
      <w:pPr>
        <w:ind w:left="0" w:firstLine="0"/>
      </w:pPr>
      <w:rPr>
        <w:rFonts w:hint="eastAsia" w:ascii="黑体" w:hAnsi="Times New Roman" w:eastAsia="黑体"/>
        <w:b w:val="0"/>
        <w:i w:val="0"/>
        <w:sz w:val="21"/>
      </w:rPr>
    </w:lvl>
    <w:lvl w:ilvl="5" w:tentative="0">
      <w:start w:val="1"/>
      <w:numFmt w:val="decimal"/>
      <w:pStyle w:val="27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2A8F7113"/>
    <w:multiLevelType w:val="multilevel"/>
    <w:tmpl w:val="2A8F7113"/>
    <w:lvl w:ilvl="0" w:tentative="0">
      <w:start w:val="1"/>
      <w:numFmt w:val="upperLetter"/>
      <w:pStyle w:val="299"/>
      <w:suff w:val="space"/>
      <w:lvlText w:val="%1"/>
      <w:lvlJc w:val="left"/>
      <w:pPr>
        <w:ind w:left="623" w:hanging="425"/>
      </w:pPr>
      <w:rPr>
        <w:rFonts w:hint="eastAsia"/>
      </w:rPr>
    </w:lvl>
    <w:lvl w:ilvl="1" w:tentative="0">
      <w:start w:val="1"/>
      <w:numFmt w:val="decimal"/>
      <w:pStyle w:val="300"/>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4">
    <w:nsid w:val="2C5917C3"/>
    <w:multiLevelType w:val="multilevel"/>
    <w:tmpl w:val="2C5917C3"/>
    <w:lvl w:ilvl="0" w:tentative="0">
      <w:start w:val="1"/>
      <w:numFmt w:val="none"/>
      <w:pStyle w:val="15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07"/>
      <w:lvlText w:val=""/>
      <w:lvlJc w:val="left"/>
      <w:pPr>
        <w:ind w:left="851" w:hanging="431"/>
      </w:pPr>
      <w:rPr>
        <w:rFonts w:hint="default" w:ascii="Symbol" w:hAnsi="Symbol"/>
        <w:sz w:val="21"/>
      </w:rPr>
    </w:lvl>
    <w:lvl w:ilvl="2" w:tentative="0">
      <w:start w:val="1"/>
      <w:numFmt w:val="bullet"/>
      <w:pStyle w:val="19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5">
    <w:nsid w:val="32F04FB2"/>
    <w:multiLevelType w:val="multilevel"/>
    <w:tmpl w:val="32F04FB2"/>
    <w:lvl w:ilvl="0" w:tentative="0">
      <w:start w:val="1"/>
      <w:numFmt w:val="lowerLetter"/>
      <w:pStyle w:val="12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6">
    <w:nsid w:val="44C50F90"/>
    <w:multiLevelType w:val="multilevel"/>
    <w:tmpl w:val="44C50F90"/>
    <w:lvl w:ilvl="0" w:tentative="0">
      <w:start w:val="1"/>
      <w:numFmt w:val="lowerLetter"/>
      <w:pStyle w:val="194"/>
      <w:lvlText w:val="%1)"/>
      <w:lvlJc w:val="left"/>
      <w:pPr>
        <w:tabs>
          <w:tab w:val="left" w:pos="851"/>
        </w:tabs>
        <w:ind w:left="851" w:hanging="426"/>
      </w:pPr>
      <w:rPr>
        <w:rFonts w:hint="eastAsia" w:ascii="宋体" w:hAnsi="Times New Roman" w:eastAsia="宋体"/>
        <w:sz w:val="21"/>
      </w:rPr>
    </w:lvl>
    <w:lvl w:ilvl="1" w:tentative="0">
      <w:start w:val="1"/>
      <w:numFmt w:val="decimal"/>
      <w:pStyle w:val="129"/>
      <w:lvlText w:val="%2)"/>
      <w:lvlJc w:val="left"/>
      <w:pPr>
        <w:tabs>
          <w:tab w:val="left" w:pos="1276"/>
        </w:tabs>
        <w:ind w:left="1276" w:hanging="425"/>
      </w:pPr>
      <w:rPr>
        <w:rFonts w:hint="eastAsia" w:ascii="宋体" w:hAnsi="Times New Roman" w:eastAsia="宋体"/>
        <w:sz w:val="21"/>
      </w:rPr>
    </w:lvl>
    <w:lvl w:ilvl="2" w:tentative="0">
      <w:start w:val="1"/>
      <w:numFmt w:val="decimal"/>
      <w:pStyle w:val="13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tentative="0">
      <w:start w:val="1"/>
      <w:numFmt w:val="upperLetter"/>
      <w:pStyle w:val="218"/>
      <w:lvlText w:val="%1"/>
      <w:lvlJc w:val="left"/>
      <w:pPr>
        <w:ind w:left="420" w:hanging="420"/>
      </w:pPr>
      <w:rPr>
        <w:rFonts w:hint="eastAsia"/>
      </w:rPr>
    </w:lvl>
    <w:lvl w:ilvl="1" w:tentative="0">
      <w:start w:val="1"/>
      <w:numFmt w:val="decimal"/>
      <w:pStyle w:val="10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B733A5F"/>
    <w:multiLevelType w:val="multilevel"/>
    <w:tmpl w:val="4B733A5F"/>
    <w:lvl w:ilvl="0" w:tentative="0">
      <w:start w:val="1"/>
      <w:numFmt w:val="decimal"/>
      <w:pStyle w:val="20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tentative="0">
      <w:start w:val="1"/>
      <w:numFmt w:val="decimal"/>
      <w:pStyle w:val="13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4632751"/>
    <w:multiLevelType w:val="multilevel"/>
    <w:tmpl w:val="54632751"/>
    <w:lvl w:ilvl="0" w:tentative="0">
      <w:start w:val="1"/>
      <w:numFmt w:val="none"/>
      <w:pStyle w:val="11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57C2AF5"/>
    <w:multiLevelType w:val="multilevel"/>
    <w:tmpl w:val="557C2AF5"/>
    <w:lvl w:ilvl="0" w:tentative="0">
      <w:start w:val="1"/>
      <w:numFmt w:val="decimal"/>
      <w:pStyle w:val="13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603797C"/>
    <w:multiLevelType w:val="multilevel"/>
    <w:tmpl w:val="5603797C"/>
    <w:lvl w:ilvl="0" w:tentative="0">
      <w:start w:val="1"/>
      <w:numFmt w:val="upperLetter"/>
      <w:pStyle w:val="219"/>
      <w:suff w:val="space"/>
      <w:lvlText w:val="%1"/>
      <w:lvlJc w:val="left"/>
      <w:pPr>
        <w:ind w:left="425" w:hanging="425"/>
      </w:pPr>
      <w:rPr>
        <w:rFonts w:hint="eastAsia"/>
      </w:rPr>
    </w:lvl>
    <w:lvl w:ilvl="1" w:tentative="0">
      <w:start w:val="1"/>
      <w:numFmt w:val="decimal"/>
      <w:pStyle w:val="9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64D2089"/>
    <w:multiLevelType w:val="multilevel"/>
    <w:tmpl w:val="564D2089"/>
    <w:lvl w:ilvl="0" w:tentative="0">
      <w:start w:val="1"/>
      <w:numFmt w:val="none"/>
      <w:pStyle w:val="13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60B55DC2"/>
    <w:multiLevelType w:val="multilevel"/>
    <w:tmpl w:val="60B55DC2"/>
    <w:lvl w:ilvl="0" w:tentative="0">
      <w:start w:val="1"/>
      <w:numFmt w:val="upperLetter"/>
      <w:pStyle w:val="287"/>
      <w:lvlText w:val="%1"/>
      <w:lvlJc w:val="left"/>
      <w:pPr>
        <w:tabs>
          <w:tab w:val="left" w:pos="0"/>
        </w:tabs>
        <w:ind w:left="0" w:hanging="425"/>
      </w:pPr>
      <w:rPr>
        <w:rFonts w:hint="eastAsia"/>
      </w:rPr>
    </w:lvl>
    <w:lvl w:ilvl="1" w:tentative="0">
      <w:start w:val="1"/>
      <w:numFmt w:val="decimal"/>
      <w:pStyle w:val="28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5">
    <w:nsid w:val="644622F9"/>
    <w:multiLevelType w:val="multilevel"/>
    <w:tmpl w:val="644622F9"/>
    <w:lvl w:ilvl="0" w:tentative="0">
      <w:start w:val="1"/>
      <w:numFmt w:val="upperRoman"/>
      <w:pStyle w:val="18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6">
    <w:nsid w:val="646260FA"/>
    <w:multiLevelType w:val="multilevel"/>
    <w:tmpl w:val="646260FA"/>
    <w:lvl w:ilvl="0" w:tentative="0">
      <w:start w:val="1"/>
      <w:numFmt w:val="decimal"/>
      <w:pStyle w:val="13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7">
    <w:nsid w:val="654A26C9"/>
    <w:multiLevelType w:val="multilevel"/>
    <w:tmpl w:val="654A26C9"/>
    <w:lvl w:ilvl="0" w:tentative="0">
      <w:start w:val="1"/>
      <w:numFmt w:val="none"/>
      <w:pStyle w:val="20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8">
    <w:nsid w:val="657D3FBC"/>
    <w:multiLevelType w:val="multilevel"/>
    <w:tmpl w:val="657D3FBC"/>
    <w:lvl w:ilvl="0" w:tentative="0">
      <w:start w:val="1"/>
      <w:numFmt w:val="upperLetter"/>
      <w:pStyle w:val="96"/>
      <w:suff w:val="nothing"/>
      <w:lvlText w:val="附录%1"/>
      <w:lvlJc w:val="left"/>
      <w:pPr>
        <w:ind w:left="0" w:firstLine="0"/>
      </w:pPr>
      <w:rPr>
        <w:rFonts w:hint="eastAsia"/>
        <w:spacing w:val="100"/>
      </w:rPr>
    </w:lvl>
    <w:lvl w:ilvl="1" w:tentative="0">
      <w:start w:val="1"/>
      <w:numFmt w:val="decimal"/>
      <w:pStyle w:val="98"/>
      <w:suff w:val="nothing"/>
      <w:lvlText w:val="%1.%2　"/>
      <w:lvlJc w:val="left"/>
      <w:pPr>
        <w:ind w:left="0" w:firstLine="0"/>
      </w:pPr>
      <w:rPr>
        <w:rFonts w:hint="eastAsia" w:ascii="黑体" w:eastAsia="黑体"/>
        <w:b w:val="0"/>
        <w:i w:val="0"/>
        <w:sz w:val="21"/>
      </w:rPr>
    </w:lvl>
    <w:lvl w:ilvl="2" w:tentative="0">
      <w:start w:val="1"/>
      <w:numFmt w:val="decimal"/>
      <w:pStyle w:val="99"/>
      <w:suff w:val="nothing"/>
      <w:lvlText w:val="%1.%2.%3　"/>
      <w:lvlJc w:val="left"/>
      <w:pPr>
        <w:ind w:left="0" w:firstLine="0"/>
      </w:pPr>
      <w:rPr>
        <w:rFonts w:hint="eastAsia" w:ascii="黑体" w:eastAsia="黑体"/>
        <w:b w:val="0"/>
        <w:i w:val="0"/>
        <w:sz w:val="21"/>
      </w:rPr>
    </w:lvl>
    <w:lvl w:ilvl="3" w:tentative="0">
      <w:start w:val="1"/>
      <w:numFmt w:val="decimal"/>
      <w:pStyle w:val="101"/>
      <w:suff w:val="nothing"/>
      <w:lvlText w:val="%1.%2.%3.%4　"/>
      <w:lvlJc w:val="left"/>
      <w:pPr>
        <w:ind w:left="0" w:firstLine="0"/>
      </w:pPr>
      <w:rPr>
        <w:rFonts w:hint="eastAsia" w:ascii="黑体" w:eastAsia="黑体"/>
        <w:b w:val="0"/>
        <w:i w:val="0"/>
        <w:sz w:val="21"/>
      </w:rPr>
    </w:lvl>
    <w:lvl w:ilvl="4" w:tentative="0">
      <w:start w:val="1"/>
      <w:numFmt w:val="decimal"/>
      <w:pStyle w:val="102"/>
      <w:suff w:val="nothing"/>
      <w:lvlText w:val="%1.%2.%3.%4.%5　"/>
      <w:lvlJc w:val="left"/>
      <w:pPr>
        <w:ind w:left="0" w:firstLine="0"/>
      </w:pPr>
      <w:rPr>
        <w:rFonts w:hint="eastAsia" w:ascii="黑体" w:eastAsia="黑体"/>
        <w:b w:val="0"/>
        <w:i w:val="0"/>
        <w:sz w:val="21"/>
      </w:rPr>
    </w:lvl>
    <w:lvl w:ilvl="5" w:tentative="0">
      <w:start w:val="1"/>
      <w:numFmt w:val="decimal"/>
      <w:pStyle w:val="10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9506ABF"/>
    <w:multiLevelType w:val="multilevel"/>
    <w:tmpl w:val="69506ABF"/>
    <w:lvl w:ilvl="0" w:tentative="0">
      <w:start w:val="1"/>
      <w:numFmt w:val="bullet"/>
      <w:pStyle w:val="20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0">
    <w:nsid w:val="6CA41985"/>
    <w:multiLevelType w:val="multilevel"/>
    <w:tmpl w:val="6CA41985"/>
    <w:lvl w:ilvl="0" w:tentative="0">
      <w:start w:val="1"/>
      <w:numFmt w:val="decimal"/>
      <w:pStyle w:val="11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6CE42AC1"/>
    <w:multiLevelType w:val="multilevel"/>
    <w:tmpl w:val="6CE42AC1"/>
    <w:lvl w:ilvl="0" w:tentative="0">
      <w:start w:val="1"/>
      <w:numFmt w:val="lowerLetter"/>
      <w:pStyle w:val="19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CEA2025"/>
    <w:multiLevelType w:val="multilevel"/>
    <w:tmpl w:val="6CEA2025"/>
    <w:lvl w:ilvl="0" w:tentative="0">
      <w:start w:val="1"/>
      <w:numFmt w:val="none"/>
      <w:pStyle w:val="172"/>
      <w:suff w:val="nothing"/>
      <w:lvlText w:val="%1"/>
      <w:lvlJc w:val="left"/>
      <w:pPr>
        <w:ind w:left="0" w:firstLine="0"/>
      </w:pPr>
      <w:rPr>
        <w:rFonts w:hint="eastAsia"/>
      </w:rPr>
    </w:lvl>
    <w:lvl w:ilvl="1" w:tentative="0">
      <w:start w:val="1"/>
      <w:numFmt w:val="decimal"/>
      <w:pStyle w:val="124"/>
      <w:suff w:val="nothing"/>
      <w:lvlText w:val="%1%2　"/>
      <w:lvlJc w:val="left"/>
      <w:pPr>
        <w:ind w:left="0" w:firstLine="0"/>
      </w:pPr>
      <w:rPr>
        <w:rFonts w:hint="eastAsia" w:ascii="黑体" w:eastAsia="黑体"/>
        <w:b w:val="0"/>
        <w:i w:val="0"/>
        <w:sz w:val="21"/>
      </w:rPr>
    </w:lvl>
    <w:lvl w:ilvl="2" w:tentative="0">
      <w:start w:val="1"/>
      <w:numFmt w:val="decimal"/>
      <w:pStyle w:val="12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114"/>
      <w:suff w:val="nothing"/>
      <w:lvlText w:val="%1%2.%3.%4.%5　"/>
      <w:lvlJc w:val="left"/>
      <w:pPr>
        <w:ind w:left="0" w:firstLine="0"/>
      </w:pPr>
      <w:rPr>
        <w:rFonts w:hint="eastAsia" w:ascii="黑体" w:eastAsia="黑体"/>
        <w:b w:val="0"/>
        <w:i w:val="0"/>
        <w:sz w:val="21"/>
      </w:rPr>
    </w:lvl>
    <w:lvl w:ilvl="5" w:tentative="0">
      <w:start w:val="1"/>
      <w:numFmt w:val="decimal"/>
      <w:pStyle w:val="118"/>
      <w:suff w:val="nothing"/>
      <w:lvlText w:val="%1%2.%3.%4.%5.%6　"/>
      <w:lvlJc w:val="left"/>
      <w:pPr>
        <w:ind w:left="0" w:firstLine="0"/>
      </w:pPr>
      <w:rPr>
        <w:rFonts w:hint="eastAsia" w:ascii="黑体" w:eastAsia="黑体"/>
        <w:b w:val="0"/>
        <w:i w:val="0"/>
        <w:sz w:val="21"/>
      </w:rPr>
    </w:lvl>
    <w:lvl w:ilvl="6" w:tentative="0">
      <w:start w:val="1"/>
      <w:numFmt w:val="decimal"/>
      <w:pStyle w:val="12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3">
    <w:nsid w:val="6D6C07CD"/>
    <w:multiLevelType w:val="multilevel"/>
    <w:tmpl w:val="6D6C07CD"/>
    <w:lvl w:ilvl="0" w:tentative="0">
      <w:start w:val="1"/>
      <w:numFmt w:val="lowerLetter"/>
      <w:pStyle w:val="306"/>
      <w:lvlText w:val="%1)"/>
      <w:lvlJc w:val="left"/>
      <w:pPr>
        <w:tabs>
          <w:tab w:val="left" w:pos="839"/>
        </w:tabs>
        <w:ind w:left="839" w:hanging="419"/>
      </w:pPr>
      <w:rPr>
        <w:rFonts w:hint="eastAsia" w:ascii="宋体" w:eastAsia="宋体"/>
        <w:b w:val="0"/>
        <w:i w:val="0"/>
        <w:sz w:val="21"/>
      </w:rPr>
    </w:lvl>
    <w:lvl w:ilvl="1" w:tentative="0">
      <w:start w:val="1"/>
      <w:numFmt w:val="decimal"/>
      <w:pStyle w:val="29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4">
    <w:nsid w:val="6DBF04F4"/>
    <w:multiLevelType w:val="multilevel"/>
    <w:tmpl w:val="6DBF04F4"/>
    <w:lvl w:ilvl="0" w:tentative="0">
      <w:start w:val="1"/>
      <w:numFmt w:val="none"/>
      <w:pStyle w:val="19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tentative="0">
      <w:start w:val="1"/>
      <w:numFmt w:val="decimal"/>
      <w:pStyle w:val="13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6">
    <w:nsid w:val="76933334"/>
    <w:multiLevelType w:val="multilevel"/>
    <w:tmpl w:val="76933334"/>
    <w:lvl w:ilvl="0" w:tentative="0">
      <w:start w:val="1"/>
      <w:numFmt w:val="none"/>
      <w:pStyle w:val="15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2"/>
  </w:num>
  <w:num w:numId="3">
    <w:abstractNumId w:val="6"/>
  </w:num>
  <w:num w:numId="4">
    <w:abstractNumId w:val="28"/>
  </w:num>
  <w:num w:numId="5">
    <w:abstractNumId w:val="22"/>
  </w:num>
  <w:num w:numId="6">
    <w:abstractNumId w:val="17"/>
  </w:num>
  <w:num w:numId="7">
    <w:abstractNumId w:val="9"/>
  </w:num>
  <w:num w:numId="8">
    <w:abstractNumId w:val="3"/>
  </w:num>
  <w:num w:numId="9">
    <w:abstractNumId w:val="11"/>
  </w:num>
  <w:num w:numId="10">
    <w:abstractNumId w:val="20"/>
  </w:num>
  <w:num w:numId="11">
    <w:abstractNumId w:val="30"/>
  </w:num>
  <w:num w:numId="12">
    <w:abstractNumId w:val="15"/>
  </w:num>
  <w:num w:numId="13">
    <w:abstractNumId w:val="16"/>
  </w:num>
  <w:num w:numId="14">
    <w:abstractNumId w:val="8"/>
  </w:num>
  <w:num w:numId="15">
    <w:abstractNumId w:val="23"/>
  </w:num>
  <w:num w:numId="16">
    <w:abstractNumId w:val="26"/>
  </w:num>
  <w:num w:numId="17">
    <w:abstractNumId w:val="21"/>
  </w:num>
  <w:num w:numId="18">
    <w:abstractNumId w:val="35"/>
  </w:num>
  <w:num w:numId="19">
    <w:abstractNumId w:val="19"/>
  </w:num>
  <w:num w:numId="20">
    <w:abstractNumId w:val="1"/>
  </w:num>
  <w:num w:numId="21">
    <w:abstractNumId w:val="14"/>
  </w:num>
  <w:num w:numId="22">
    <w:abstractNumId w:val="36"/>
  </w:num>
  <w:num w:numId="23">
    <w:abstractNumId w:val="25"/>
  </w:num>
  <w:num w:numId="24">
    <w:abstractNumId w:val="7"/>
  </w:num>
  <w:num w:numId="25">
    <w:abstractNumId w:val="31"/>
  </w:num>
  <w:num w:numId="26">
    <w:abstractNumId w:val="34"/>
  </w:num>
  <w:num w:numId="27">
    <w:abstractNumId w:val="2"/>
  </w:num>
  <w:num w:numId="28">
    <w:abstractNumId w:val="5"/>
  </w:num>
  <w:num w:numId="29">
    <w:abstractNumId w:val="18"/>
  </w:num>
  <w:num w:numId="30">
    <w:abstractNumId w:val="29"/>
  </w:num>
  <w:num w:numId="31">
    <w:abstractNumId w:val="27"/>
  </w:num>
  <w:num w:numId="32">
    <w:abstractNumId w:val="12"/>
  </w:num>
  <w:num w:numId="33">
    <w:abstractNumId w:val="10"/>
  </w:num>
  <w:num w:numId="34">
    <w:abstractNumId w:val="24"/>
  </w:num>
  <w:num w:numId="35">
    <w:abstractNumId w:val="33"/>
  </w:num>
  <w:num w:numId="36">
    <w:abstractNumId w:val="13"/>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JNRUNMgwUHlF1Aw9bfuLgYv1a2uK+mY/Ms1At9YhOzEVQ/6nwutnjEVx3xaW2SqzErtcec+bkGv0VpF+Wsc9+Q==" w:salt="Ppm5aFdZNP29neYB2Noulg=="/>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wOTFiNjkwNmZkZGViMDMxZGEyNTM1ZWZjMjRlZmIifQ=="/>
  </w:docVars>
  <w:rsids>
    <w:rsidRoot w:val="004F76C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12A"/>
    <w:rsid w:val="000331D3"/>
    <w:rsid w:val="00033B54"/>
    <w:rsid w:val="000346A5"/>
    <w:rsid w:val="000359C3"/>
    <w:rsid w:val="00035A7D"/>
    <w:rsid w:val="000365ED"/>
    <w:rsid w:val="0004249A"/>
    <w:rsid w:val="0004277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8A1"/>
    <w:rsid w:val="000619E9"/>
    <w:rsid w:val="000622D4"/>
    <w:rsid w:val="0006357D"/>
    <w:rsid w:val="00063DCE"/>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91E"/>
    <w:rsid w:val="000A0B60"/>
    <w:rsid w:val="000A0EB8"/>
    <w:rsid w:val="000A19FC"/>
    <w:rsid w:val="000A296B"/>
    <w:rsid w:val="000A7311"/>
    <w:rsid w:val="000B060F"/>
    <w:rsid w:val="000B1592"/>
    <w:rsid w:val="000B1FF2"/>
    <w:rsid w:val="000B3CDA"/>
    <w:rsid w:val="000B4958"/>
    <w:rsid w:val="000B58C1"/>
    <w:rsid w:val="000B6A0B"/>
    <w:rsid w:val="000B6B08"/>
    <w:rsid w:val="000C0F6C"/>
    <w:rsid w:val="000C11DB"/>
    <w:rsid w:val="000C1492"/>
    <w:rsid w:val="000C2FBD"/>
    <w:rsid w:val="000C4B41"/>
    <w:rsid w:val="000C57D6"/>
    <w:rsid w:val="000C6362"/>
    <w:rsid w:val="000C7666"/>
    <w:rsid w:val="000D0A9C"/>
    <w:rsid w:val="000D1454"/>
    <w:rsid w:val="000D1795"/>
    <w:rsid w:val="000D2483"/>
    <w:rsid w:val="000D329A"/>
    <w:rsid w:val="000D4B9C"/>
    <w:rsid w:val="000D4EB6"/>
    <w:rsid w:val="000D753B"/>
    <w:rsid w:val="000E4C9E"/>
    <w:rsid w:val="000E6828"/>
    <w:rsid w:val="000E6FD7"/>
    <w:rsid w:val="000F06E1"/>
    <w:rsid w:val="000F0E3C"/>
    <w:rsid w:val="000F19D5"/>
    <w:rsid w:val="000F4AEA"/>
    <w:rsid w:val="000F633F"/>
    <w:rsid w:val="000F67E9"/>
    <w:rsid w:val="00104926"/>
    <w:rsid w:val="00113B1E"/>
    <w:rsid w:val="00115F4A"/>
    <w:rsid w:val="0011711C"/>
    <w:rsid w:val="0012059C"/>
    <w:rsid w:val="0012071D"/>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B22"/>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0B69"/>
    <w:rsid w:val="0020107D"/>
    <w:rsid w:val="00202AA4"/>
    <w:rsid w:val="002031F7"/>
    <w:rsid w:val="002040E6"/>
    <w:rsid w:val="0020527B"/>
    <w:rsid w:val="00205F2C"/>
    <w:rsid w:val="00210B15"/>
    <w:rsid w:val="002142EA"/>
    <w:rsid w:val="002204BB"/>
    <w:rsid w:val="00221B79"/>
    <w:rsid w:val="00221C6B"/>
    <w:rsid w:val="002253A1"/>
    <w:rsid w:val="00225CF8"/>
    <w:rsid w:val="0022737D"/>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FBA"/>
    <w:rsid w:val="0026148A"/>
    <w:rsid w:val="00262696"/>
    <w:rsid w:val="00263854"/>
    <w:rsid w:val="00263D25"/>
    <w:rsid w:val="002643C3"/>
    <w:rsid w:val="00264A0C"/>
    <w:rsid w:val="00266EEB"/>
    <w:rsid w:val="00267EF4"/>
    <w:rsid w:val="00270CB8"/>
    <w:rsid w:val="00272B08"/>
    <w:rsid w:val="002771AC"/>
    <w:rsid w:val="0028165A"/>
    <w:rsid w:val="00281BB8"/>
    <w:rsid w:val="00281E9E"/>
    <w:rsid w:val="00282405"/>
    <w:rsid w:val="00285170"/>
    <w:rsid w:val="00285361"/>
    <w:rsid w:val="00292D60"/>
    <w:rsid w:val="00293B30"/>
    <w:rsid w:val="00294D34"/>
    <w:rsid w:val="00294E3B"/>
    <w:rsid w:val="00296193"/>
    <w:rsid w:val="00296C66"/>
    <w:rsid w:val="00296EBE"/>
    <w:rsid w:val="002974BF"/>
    <w:rsid w:val="002974E3"/>
    <w:rsid w:val="002A084B"/>
    <w:rsid w:val="002A1260"/>
    <w:rsid w:val="002A1589"/>
    <w:rsid w:val="002A1608"/>
    <w:rsid w:val="002A25DC"/>
    <w:rsid w:val="002A3AAB"/>
    <w:rsid w:val="002A4CEA"/>
    <w:rsid w:val="002A5396"/>
    <w:rsid w:val="002A5977"/>
    <w:rsid w:val="002A5A13"/>
    <w:rsid w:val="002A757F"/>
    <w:rsid w:val="002A7F44"/>
    <w:rsid w:val="002B0C40"/>
    <w:rsid w:val="002B1966"/>
    <w:rsid w:val="002B4508"/>
    <w:rsid w:val="002B5779"/>
    <w:rsid w:val="002B7332"/>
    <w:rsid w:val="002B7F51"/>
    <w:rsid w:val="002C0200"/>
    <w:rsid w:val="002C09E7"/>
    <w:rsid w:val="002C1E06"/>
    <w:rsid w:val="002C1E1C"/>
    <w:rsid w:val="002C3F07"/>
    <w:rsid w:val="002C5278"/>
    <w:rsid w:val="002C6321"/>
    <w:rsid w:val="002C7EBB"/>
    <w:rsid w:val="002D06C1"/>
    <w:rsid w:val="002D42B5"/>
    <w:rsid w:val="002D4F1A"/>
    <w:rsid w:val="002D6EC6"/>
    <w:rsid w:val="002D79AC"/>
    <w:rsid w:val="002E039D"/>
    <w:rsid w:val="002E4D5A"/>
    <w:rsid w:val="002E50A1"/>
    <w:rsid w:val="002E6326"/>
    <w:rsid w:val="002E656F"/>
    <w:rsid w:val="002F30E0"/>
    <w:rsid w:val="002F35E4"/>
    <w:rsid w:val="002F3730"/>
    <w:rsid w:val="002F38E1"/>
    <w:rsid w:val="002F7AF6"/>
    <w:rsid w:val="00300E63"/>
    <w:rsid w:val="00302F5F"/>
    <w:rsid w:val="0030441D"/>
    <w:rsid w:val="00306063"/>
    <w:rsid w:val="00313B85"/>
    <w:rsid w:val="00316A36"/>
    <w:rsid w:val="00317988"/>
    <w:rsid w:val="003221B4"/>
    <w:rsid w:val="0032258D"/>
    <w:rsid w:val="00322E62"/>
    <w:rsid w:val="00324D13"/>
    <w:rsid w:val="00324D2A"/>
    <w:rsid w:val="00324EDD"/>
    <w:rsid w:val="003331E4"/>
    <w:rsid w:val="00333965"/>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581E"/>
    <w:rsid w:val="003B09AD"/>
    <w:rsid w:val="003B1F18"/>
    <w:rsid w:val="003B23F0"/>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60B"/>
    <w:rsid w:val="003F3F08"/>
    <w:rsid w:val="003F49F1"/>
    <w:rsid w:val="003F6272"/>
    <w:rsid w:val="00400E72"/>
    <w:rsid w:val="00401400"/>
    <w:rsid w:val="00404869"/>
    <w:rsid w:val="00405884"/>
    <w:rsid w:val="00407D39"/>
    <w:rsid w:val="00411569"/>
    <w:rsid w:val="0041477A"/>
    <w:rsid w:val="00414CF8"/>
    <w:rsid w:val="004167A3"/>
    <w:rsid w:val="00420C38"/>
    <w:rsid w:val="00432DAA"/>
    <w:rsid w:val="00434305"/>
    <w:rsid w:val="00435DF7"/>
    <w:rsid w:val="0044083F"/>
    <w:rsid w:val="00441AE7"/>
    <w:rsid w:val="00445574"/>
    <w:rsid w:val="004467FB"/>
    <w:rsid w:val="00452D6B"/>
    <w:rsid w:val="00454484"/>
    <w:rsid w:val="0045517B"/>
    <w:rsid w:val="00460308"/>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278"/>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4F76CF"/>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D92"/>
    <w:rsid w:val="00561475"/>
    <w:rsid w:val="0056487B"/>
    <w:rsid w:val="00564FB9"/>
    <w:rsid w:val="00573D9E"/>
    <w:rsid w:val="005801E3"/>
    <w:rsid w:val="00581802"/>
    <w:rsid w:val="005836A8"/>
    <w:rsid w:val="0058409C"/>
    <w:rsid w:val="00584262"/>
    <w:rsid w:val="00586630"/>
    <w:rsid w:val="00587ADD"/>
    <w:rsid w:val="00591DC6"/>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82A"/>
    <w:rsid w:val="005E3C18"/>
    <w:rsid w:val="005E6812"/>
    <w:rsid w:val="005E7881"/>
    <w:rsid w:val="005E78E0"/>
    <w:rsid w:val="005F0126"/>
    <w:rsid w:val="005F0D9C"/>
    <w:rsid w:val="005F284E"/>
    <w:rsid w:val="005F4712"/>
    <w:rsid w:val="006015CE"/>
    <w:rsid w:val="00604784"/>
    <w:rsid w:val="00606419"/>
    <w:rsid w:val="00607D29"/>
    <w:rsid w:val="00612952"/>
    <w:rsid w:val="00614CC1"/>
    <w:rsid w:val="0061539F"/>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7F8"/>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A05"/>
    <w:rsid w:val="006850CD"/>
    <w:rsid w:val="00685AAB"/>
    <w:rsid w:val="00695D22"/>
    <w:rsid w:val="006A07AA"/>
    <w:rsid w:val="006A25E5"/>
    <w:rsid w:val="006A2B46"/>
    <w:rsid w:val="006A336D"/>
    <w:rsid w:val="006A37B9"/>
    <w:rsid w:val="006B2672"/>
    <w:rsid w:val="006B54BF"/>
    <w:rsid w:val="006B5F44"/>
    <w:rsid w:val="006B5F90"/>
    <w:rsid w:val="006B62E4"/>
    <w:rsid w:val="006B690A"/>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14A"/>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D5E"/>
    <w:rsid w:val="00783ECF"/>
    <w:rsid w:val="0078413A"/>
    <w:rsid w:val="007959E8"/>
    <w:rsid w:val="00795E9C"/>
    <w:rsid w:val="007A0521"/>
    <w:rsid w:val="007A2E12"/>
    <w:rsid w:val="007A3475"/>
    <w:rsid w:val="007A41C8"/>
    <w:rsid w:val="007A54CE"/>
    <w:rsid w:val="007A6451"/>
    <w:rsid w:val="007A6FD9"/>
    <w:rsid w:val="007A7FFA"/>
    <w:rsid w:val="007B04EB"/>
    <w:rsid w:val="007B0D4F"/>
    <w:rsid w:val="007B28AE"/>
    <w:rsid w:val="007B5A3D"/>
    <w:rsid w:val="007B5B95"/>
    <w:rsid w:val="007B68EA"/>
    <w:rsid w:val="007B7453"/>
    <w:rsid w:val="007C1E8B"/>
    <w:rsid w:val="007C2D89"/>
    <w:rsid w:val="007C4593"/>
    <w:rsid w:val="007C5309"/>
    <w:rsid w:val="007C6069"/>
    <w:rsid w:val="007D06C4"/>
    <w:rsid w:val="007D12BD"/>
    <w:rsid w:val="007D1352"/>
    <w:rsid w:val="007D2508"/>
    <w:rsid w:val="007D346A"/>
    <w:rsid w:val="007D6518"/>
    <w:rsid w:val="007D76BD"/>
    <w:rsid w:val="007E0BF1"/>
    <w:rsid w:val="007E2575"/>
    <w:rsid w:val="007F0ED8"/>
    <w:rsid w:val="007F0F63"/>
    <w:rsid w:val="007F75CE"/>
    <w:rsid w:val="008013A4"/>
    <w:rsid w:val="008027CE"/>
    <w:rsid w:val="00802F42"/>
    <w:rsid w:val="00804383"/>
    <w:rsid w:val="00804BB7"/>
    <w:rsid w:val="00804D41"/>
    <w:rsid w:val="00810257"/>
    <w:rsid w:val="008104C5"/>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1B5"/>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89"/>
    <w:rsid w:val="00914CA7"/>
    <w:rsid w:val="00915C3E"/>
    <w:rsid w:val="009161A8"/>
    <w:rsid w:val="009245F5"/>
    <w:rsid w:val="009249EC"/>
    <w:rsid w:val="009273B3"/>
    <w:rsid w:val="009305B5"/>
    <w:rsid w:val="009429D5"/>
    <w:rsid w:val="00942BF1"/>
    <w:rsid w:val="00945180"/>
    <w:rsid w:val="00945428"/>
    <w:rsid w:val="0094607B"/>
    <w:rsid w:val="00953604"/>
    <w:rsid w:val="0095364B"/>
    <w:rsid w:val="0095496B"/>
    <w:rsid w:val="009610DC"/>
    <w:rsid w:val="00961490"/>
    <w:rsid w:val="0096381A"/>
    <w:rsid w:val="00965E04"/>
    <w:rsid w:val="009674AD"/>
    <w:rsid w:val="00970CDC"/>
    <w:rsid w:val="0097368D"/>
    <w:rsid w:val="0097515E"/>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5B8"/>
    <w:rsid w:val="009B06EC"/>
    <w:rsid w:val="009B09E0"/>
    <w:rsid w:val="009B0BC5"/>
    <w:rsid w:val="009B1247"/>
    <w:rsid w:val="009B46F9"/>
    <w:rsid w:val="009B6029"/>
    <w:rsid w:val="009B6971"/>
    <w:rsid w:val="009C27F1"/>
    <w:rsid w:val="009C3152"/>
    <w:rsid w:val="009C4CFA"/>
    <w:rsid w:val="009C5070"/>
    <w:rsid w:val="009D112C"/>
    <w:rsid w:val="009D3259"/>
    <w:rsid w:val="009D47FA"/>
    <w:rsid w:val="009D4C5B"/>
    <w:rsid w:val="009D50D2"/>
    <w:rsid w:val="009D6BCA"/>
    <w:rsid w:val="009E0F62"/>
    <w:rsid w:val="009E4A58"/>
    <w:rsid w:val="009E5A2D"/>
    <w:rsid w:val="009E5AB2"/>
    <w:rsid w:val="009E6219"/>
    <w:rsid w:val="009E65DE"/>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8A3"/>
    <w:rsid w:val="00A2271D"/>
    <w:rsid w:val="00A237D5"/>
    <w:rsid w:val="00A30EFC"/>
    <w:rsid w:val="00A31984"/>
    <w:rsid w:val="00A32D73"/>
    <w:rsid w:val="00A3367B"/>
    <w:rsid w:val="00A3597D"/>
    <w:rsid w:val="00A36DD1"/>
    <w:rsid w:val="00A37DC4"/>
    <w:rsid w:val="00A4006C"/>
    <w:rsid w:val="00A40091"/>
    <w:rsid w:val="00A4030F"/>
    <w:rsid w:val="00A41C79"/>
    <w:rsid w:val="00A41CB5"/>
    <w:rsid w:val="00A42CDF"/>
    <w:rsid w:val="00A4452E"/>
    <w:rsid w:val="00A4472C"/>
    <w:rsid w:val="00A44E69"/>
    <w:rsid w:val="00A4661E"/>
    <w:rsid w:val="00A55BD6"/>
    <w:rsid w:val="00A55D50"/>
    <w:rsid w:val="00A56263"/>
    <w:rsid w:val="00A57142"/>
    <w:rsid w:val="00A648CD"/>
    <w:rsid w:val="00A6537A"/>
    <w:rsid w:val="00A67866"/>
    <w:rsid w:val="00A70B07"/>
    <w:rsid w:val="00A723F8"/>
    <w:rsid w:val="00A77CCB"/>
    <w:rsid w:val="00A83D8D"/>
    <w:rsid w:val="00A8446B"/>
    <w:rsid w:val="00A8473F"/>
    <w:rsid w:val="00A862D6"/>
    <w:rsid w:val="00A8715E"/>
    <w:rsid w:val="00A9295B"/>
    <w:rsid w:val="00A92DF3"/>
    <w:rsid w:val="00A93B09"/>
    <w:rsid w:val="00A94247"/>
    <w:rsid w:val="00A952D7"/>
    <w:rsid w:val="00A963F7"/>
    <w:rsid w:val="00A96AD8"/>
    <w:rsid w:val="00AA052C"/>
    <w:rsid w:val="00AA1E45"/>
    <w:rsid w:val="00AA4286"/>
    <w:rsid w:val="00AA456B"/>
    <w:rsid w:val="00AA57F5"/>
    <w:rsid w:val="00AA672E"/>
    <w:rsid w:val="00AA6EC9"/>
    <w:rsid w:val="00AB41D5"/>
    <w:rsid w:val="00AB5876"/>
    <w:rsid w:val="00AB6309"/>
    <w:rsid w:val="00AB6C5F"/>
    <w:rsid w:val="00AB7129"/>
    <w:rsid w:val="00AC01EF"/>
    <w:rsid w:val="00AC1C4B"/>
    <w:rsid w:val="00AC27A6"/>
    <w:rsid w:val="00AC30F7"/>
    <w:rsid w:val="00AC3A5A"/>
    <w:rsid w:val="00AC4D95"/>
    <w:rsid w:val="00AC5DF4"/>
    <w:rsid w:val="00AD0AEF"/>
    <w:rsid w:val="00AD11B7"/>
    <w:rsid w:val="00AD1A94"/>
    <w:rsid w:val="00AD1C05"/>
    <w:rsid w:val="00AD4126"/>
    <w:rsid w:val="00AD421C"/>
    <w:rsid w:val="00AD44FA"/>
    <w:rsid w:val="00AD6705"/>
    <w:rsid w:val="00AE070A"/>
    <w:rsid w:val="00AE101C"/>
    <w:rsid w:val="00AE37E5"/>
    <w:rsid w:val="00AE4DE2"/>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19F"/>
    <w:rsid w:val="00B56795"/>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1587"/>
    <w:rsid w:val="00BA263B"/>
    <w:rsid w:val="00BA42B2"/>
    <w:rsid w:val="00BA58D4"/>
    <w:rsid w:val="00BA5B9E"/>
    <w:rsid w:val="00BA7C9A"/>
    <w:rsid w:val="00BB203B"/>
    <w:rsid w:val="00BB5F8F"/>
    <w:rsid w:val="00BB657A"/>
    <w:rsid w:val="00BC1A4E"/>
    <w:rsid w:val="00BC4790"/>
    <w:rsid w:val="00BC5DC7"/>
    <w:rsid w:val="00BC6B8B"/>
    <w:rsid w:val="00BC73D8"/>
    <w:rsid w:val="00BC7839"/>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09E3"/>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6FD1"/>
    <w:rsid w:val="00D77031"/>
    <w:rsid w:val="00D82CC2"/>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E20"/>
    <w:rsid w:val="00DA5191"/>
    <w:rsid w:val="00DA64F8"/>
    <w:rsid w:val="00DA6C15"/>
    <w:rsid w:val="00DB0258"/>
    <w:rsid w:val="00DB38EE"/>
    <w:rsid w:val="00DB43A2"/>
    <w:rsid w:val="00DB498B"/>
    <w:rsid w:val="00DB6529"/>
    <w:rsid w:val="00DB66CA"/>
    <w:rsid w:val="00DB6BCA"/>
    <w:rsid w:val="00DB73F7"/>
    <w:rsid w:val="00DC0321"/>
    <w:rsid w:val="00DC3067"/>
    <w:rsid w:val="00DC370B"/>
    <w:rsid w:val="00DC5B90"/>
    <w:rsid w:val="00DD00FF"/>
    <w:rsid w:val="00DD0619"/>
    <w:rsid w:val="00DD07FB"/>
    <w:rsid w:val="00DD1E8A"/>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0FFF"/>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8A2"/>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0352"/>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2A9"/>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3C8"/>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77F5"/>
    <w:rsid w:val="00F420D5"/>
    <w:rsid w:val="00F451EA"/>
    <w:rsid w:val="00F45447"/>
    <w:rsid w:val="00F456C6"/>
    <w:rsid w:val="00F4577B"/>
    <w:rsid w:val="00F46496"/>
    <w:rsid w:val="00F474D0"/>
    <w:rsid w:val="00F50179"/>
    <w:rsid w:val="00F515EE"/>
    <w:rsid w:val="00F55AF1"/>
    <w:rsid w:val="00F56500"/>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594"/>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4C58"/>
    <w:rsid w:val="00FB54E8"/>
    <w:rsid w:val="00FB6FDD"/>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A370AB"/>
    <w:rsid w:val="034C1F1B"/>
    <w:rsid w:val="04AD0FE5"/>
    <w:rsid w:val="054D40F8"/>
    <w:rsid w:val="05726ABC"/>
    <w:rsid w:val="05D14EDD"/>
    <w:rsid w:val="05E04C35"/>
    <w:rsid w:val="067A30D7"/>
    <w:rsid w:val="079D1EC0"/>
    <w:rsid w:val="07C02388"/>
    <w:rsid w:val="08A221DB"/>
    <w:rsid w:val="0B012BAA"/>
    <w:rsid w:val="0B283704"/>
    <w:rsid w:val="0D08613C"/>
    <w:rsid w:val="0D54334B"/>
    <w:rsid w:val="0E032C3B"/>
    <w:rsid w:val="0E8F4C4E"/>
    <w:rsid w:val="0E907EA1"/>
    <w:rsid w:val="0F7278B8"/>
    <w:rsid w:val="10185600"/>
    <w:rsid w:val="10EC59C1"/>
    <w:rsid w:val="10F209AC"/>
    <w:rsid w:val="111422D3"/>
    <w:rsid w:val="13756681"/>
    <w:rsid w:val="166D058E"/>
    <w:rsid w:val="1C84177C"/>
    <w:rsid w:val="1C852C28"/>
    <w:rsid w:val="1CC91E6E"/>
    <w:rsid w:val="1FA56E2F"/>
    <w:rsid w:val="22C83D43"/>
    <w:rsid w:val="24A219BA"/>
    <w:rsid w:val="24DB0A8A"/>
    <w:rsid w:val="254F6EC6"/>
    <w:rsid w:val="256C04AF"/>
    <w:rsid w:val="27630371"/>
    <w:rsid w:val="28F42DD2"/>
    <w:rsid w:val="291D02E9"/>
    <w:rsid w:val="2AC46EA9"/>
    <w:rsid w:val="2D8963CF"/>
    <w:rsid w:val="2D984C24"/>
    <w:rsid w:val="2E32225E"/>
    <w:rsid w:val="30C412B9"/>
    <w:rsid w:val="31FE0DAC"/>
    <w:rsid w:val="323D04F1"/>
    <w:rsid w:val="32EC4FAE"/>
    <w:rsid w:val="33091DDA"/>
    <w:rsid w:val="338866DE"/>
    <w:rsid w:val="37712166"/>
    <w:rsid w:val="37FC47F5"/>
    <w:rsid w:val="381E29D6"/>
    <w:rsid w:val="390246D9"/>
    <w:rsid w:val="394635FE"/>
    <w:rsid w:val="3D0D60D2"/>
    <w:rsid w:val="3D2457A8"/>
    <w:rsid w:val="3E276A8E"/>
    <w:rsid w:val="400F56F2"/>
    <w:rsid w:val="40BC4452"/>
    <w:rsid w:val="43A676DB"/>
    <w:rsid w:val="443D67F6"/>
    <w:rsid w:val="46332040"/>
    <w:rsid w:val="467A1D43"/>
    <w:rsid w:val="47CD233C"/>
    <w:rsid w:val="47CF4E37"/>
    <w:rsid w:val="488F42CB"/>
    <w:rsid w:val="4B1F7F43"/>
    <w:rsid w:val="4EB42580"/>
    <w:rsid w:val="508E7FE0"/>
    <w:rsid w:val="52AA7495"/>
    <w:rsid w:val="53696F60"/>
    <w:rsid w:val="53F9694B"/>
    <w:rsid w:val="541D74A6"/>
    <w:rsid w:val="55166881"/>
    <w:rsid w:val="552704DE"/>
    <w:rsid w:val="559253DD"/>
    <w:rsid w:val="57813603"/>
    <w:rsid w:val="578F4332"/>
    <w:rsid w:val="58A144B4"/>
    <w:rsid w:val="5BAE5707"/>
    <w:rsid w:val="5C001B87"/>
    <w:rsid w:val="5C894F99"/>
    <w:rsid w:val="5CFD5BD0"/>
    <w:rsid w:val="5D7D630A"/>
    <w:rsid w:val="5DF300D2"/>
    <w:rsid w:val="5E590001"/>
    <w:rsid w:val="5E5F7069"/>
    <w:rsid w:val="60A84BC1"/>
    <w:rsid w:val="60CF055E"/>
    <w:rsid w:val="60D60431"/>
    <w:rsid w:val="615535C3"/>
    <w:rsid w:val="61E87BB2"/>
    <w:rsid w:val="61EF2482"/>
    <w:rsid w:val="634E5546"/>
    <w:rsid w:val="63D93898"/>
    <w:rsid w:val="644E31E7"/>
    <w:rsid w:val="67A00003"/>
    <w:rsid w:val="67D50E03"/>
    <w:rsid w:val="68531C91"/>
    <w:rsid w:val="6A3269CD"/>
    <w:rsid w:val="6AF604DE"/>
    <w:rsid w:val="6B9F1883"/>
    <w:rsid w:val="6C2A49F4"/>
    <w:rsid w:val="6C712D2B"/>
    <w:rsid w:val="6CE60925"/>
    <w:rsid w:val="6F0021BA"/>
    <w:rsid w:val="708E0E9F"/>
    <w:rsid w:val="70E36464"/>
    <w:rsid w:val="71BE0CBB"/>
    <w:rsid w:val="71D224BE"/>
    <w:rsid w:val="79465103"/>
    <w:rsid w:val="7B916821"/>
    <w:rsid w:val="7B937171"/>
    <w:rsid w:val="7D2C57D3"/>
    <w:rsid w:val="7E355268"/>
    <w:rsid w:val="7E8B1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0" w:semiHidden="0" w:name="toc 5"/>
    <w:lsdException w:qFormat="1" w:uiPriority="0" w:semiHidden="0" w:name="toc 6"/>
    <w:lsdException w:qFormat="1" w:uiPriority="0" w:semiHidden="0" w:name="toc 7"/>
    <w:lsdException w:qFormat="1" w:unhideWhenUsed="0" w:uiPriority="0" w:name="toc 8"/>
    <w:lsdException w:qFormat="1" w:unhideWhenUsed="0" w:uiPriority="0" w:name="toc 9"/>
    <w:lsdException w:qFormat="1" w:unhideWhenUsed="0" w:uiPriority="99" w:semiHidden="0"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55"/>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54"/>
    <w:qFormat/>
    <w:uiPriority w:val="1"/>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56"/>
    <w:qFormat/>
    <w:uiPriority w:val="9"/>
    <w:pPr>
      <w:keepNext/>
      <w:keepLines/>
      <w:spacing w:before="260" w:after="260" w:line="416" w:lineRule="auto"/>
      <w:outlineLvl w:val="2"/>
    </w:pPr>
    <w:rPr>
      <w:b/>
      <w:bCs/>
      <w:sz w:val="32"/>
      <w:szCs w:val="32"/>
    </w:rPr>
  </w:style>
  <w:style w:type="paragraph" w:styleId="6">
    <w:name w:val="heading 4"/>
    <w:basedOn w:val="1"/>
    <w:next w:val="1"/>
    <w:link w:val="57"/>
    <w:qFormat/>
    <w:uiPriority w:val="9"/>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58"/>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59"/>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60"/>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61"/>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62"/>
    <w:qFormat/>
    <w:uiPriority w:val="0"/>
    <w:pPr>
      <w:keepNext/>
      <w:keepLines/>
      <w:adjustRightInd/>
      <w:spacing w:before="240" w:after="64" w:line="320" w:lineRule="auto"/>
      <w:outlineLvl w:val="8"/>
    </w:pPr>
    <w:rPr>
      <w:rFonts w:ascii="Arial" w:hAnsi="Arial" w:eastAsia="黑体"/>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1"/>
    <w:link w:val="250"/>
    <w:qFormat/>
    <w:uiPriority w:val="0"/>
    <w:pPr>
      <w:adjustRightInd/>
      <w:spacing w:line="240" w:lineRule="auto"/>
      <w:ind w:firstLine="480" w:firstLineChars="200"/>
    </w:pPr>
    <w:rPr>
      <w:rFonts w:ascii="Times New Roman" w:hAnsi="Times New Roman"/>
      <w:szCs w:val="24"/>
    </w:rPr>
  </w:style>
  <w:style w:type="paragraph" w:styleId="12">
    <w:name w:val="toc 7"/>
    <w:basedOn w:val="1"/>
    <w:next w:val="1"/>
    <w:unhideWhenUsed/>
    <w:qFormat/>
    <w:uiPriority w:val="0"/>
    <w:pPr>
      <w:tabs>
        <w:tab w:val="right" w:leader="dot" w:pos="9344"/>
      </w:tabs>
      <w:spacing w:line="300" w:lineRule="exact"/>
      <w:ind w:left="1259"/>
    </w:pPr>
    <w:rPr>
      <w:rFonts w:ascii="宋体"/>
    </w:rPr>
  </w:style>
  <w:style w:type="paragraph" w:styleId="13">
    <w:name w:val="index 8"/>
    <w:basedOn w:val="1"/>
    <w:next w:val="1"/>
    <w:qFormat/>
    <w:uiPriority w:val="0"/>
    <w:pPr>
      <w:adjustRightInd/>
      <w:spacing w:line="240" w:lineRule="auto"/>
      <w:ind w:left="1680" w:hanging="210" w:firstLineChars="200"/>
      <w:jc w:val="left"/>
    </w:pPr>
    <w:rPr>
      <w:sz w:val="20"/>
      <w:szCs w:val="20"/>
    </w:rPr>
  </w:style>
  <w:style w:type="paragraph" w:styleId="14">
    <w:name w:val="Normal Indent"/>
    <w:basedOn w:val="1"/>
    <w:qFormat/>
    <w:uiPriority w:val="99"/>
    <w:pPr>
      <w:ind w:firstLine="420"/>
    </w:pPr>
  </w:style>
  <w:style w:type="paragraph" w:styleId="15">
    <w:name w:val="caption"/>
    <w:basedOn w:val="1"/>
    <w:next w:val="1"/>
    <w:qFormat/>
    <w:uiPriority w:val="0"/>
    <w:pPr>
      <w:adjustRightInd/>
      <w:spacing w:before="152" w:after="160" w:line="240" w:lineRule="auto"/>
      <w:ind w:firstLine="420" w:firstLineChars="200"/>
    </w:pPr>
    <w:rPr>
      <w:rFonts w:ascii="Arial" w:hAnsi="Arial" w:eastAsia="黑体" w:cs="Arial"/>
      <w:sz w:val="20"/>
      <w:szCs w:val="20"/>
    </w:rPr>
  </w:style>
  <w:style w:type="paragraph" w:styleId="16">
    <w:name w:val="index 5"/>
    <w:basedOn w:val="1"/>
    <w:next w:val="1"/>
    <w:qFormat/>
    <w:uiPriority w:val="0"/>
    <w:pPr>
      <w:adjustRightInd/>
      <w:spacing w:line="240" w:lineRule="auto"/>
      <w:ind w:left="1050" w:hanging="210" w:firstLineChars="200"/>
      <w:jc w:val="left"/>
    </w:pPr>
    <w:rPr>
      <w:sz w:val="20"/>
      <w:szCs w:val="20"/>
    </w:rPr>
  </w:style>
  <w:style w:type="paragraph" w:styleId="17">
    <w:name w:val="Document Map"/>
    <w:basedOn w:val="1"/>
    <w:link w:val="251"/>
    <w:semiHidden/>
    <w:qFormat/>
    <w:uiPriority w:val="0"/>
    <w:pPr>
      <w:shd w:val="clear" w:color="auto" w:fill="000080"/>
      <w:adjustRightInd/>
      <w:spacing w:line="240" w:lineRule="auto"/>
      <w:ind w:firstLine="420" w:firstLineChars="200"/>
    </w:pPr>
    <w:rPr>
      <w:rFonts w:ascii="Times New Roman" w:hAnsi="Times New Roman"/>
      <w:szCs w:val="24"/>
    </w:rPr>
  </w:style>
  <w:style w:type="paragraph" w:styleId="18">
    <w:name w:val="index 6"/>
    <w:basedOn w:val="1"/>
    <w:next w:val="1"/>
    <w:qFormat/>
    <w:uiPriority w:val="0"/>
    <w:pPr>
      <w:adjustRightInd/>
      <w:spacing w:line="240" w:lineRule="auto"/>
      <w:ind w:left="1260" w:hanging="210" w:firstLineChars="200"/>
      <w:jc w:val="left"/>
    </w:pPr>
    <w:rPr>
      <w:sz w:val="20"/>
      <w:szCs w:val="20"/>
    </w:rPr>
  </w:style>
  <w:style w:type="paragraph" w:styleId="19">
    <w:name w:val="Body Text"/>
    <w:basedOn w:val="1"/>
    <w:next w:val="20"/>
    <w:link w:val="106"/>
    <w:qFormat/>
    <w:uiPriority w:val="0"/>
    <w:pPr>
      <w:spacing w:after="120"/>
    </w:pPr>
  </w:style>
  <w:style w:type="paragraph" w:styleId="20">
    <w:name w:val="Body Text First Indent 2"/>
    <w:basedOn w:val="2"/>
    <w:link w:val="252"/>
    <w:qFormat/>
    <w:uiPriority w:val="0"/>
    <w:pPr>
      <w:ind w:firstLine="420"/>
    </w:pPr>
  </w:style>
  <w:style w:type="paragraph" w:styleId="21">
    <w:name w:val="index 4"/>
    <w:basedOn w:val="1"/>
    <w:next w:val="1"/>
    <w:qFormat/>
    <w:uiPriority w:val="0"/>
    <w:pPr>
      <w:adjustRightInd/>
      <w:spacing w:line="240" w:lineRule="auto"/>
      <w:ind w:left="840" w:hanging="210" w:firstLineChars="200"/>
      <w:jc w:val="left"/>
    </w:pPr>
    <w:rPr>
      <w:sz w:val="20"/>
      <w:szCs w:val="20"/>
    </w:rPr>
  </w:style>
  <w:style w:type="paragraph" w:styleId="22">
    <w:name w:val="toc 5"/>
    <w:basedOn w:val="1"/>
    <w:next w:val="1"/>
    <w:unhideWhenUsed/>
    <w:qFormat/>
    <w:uiPriority w:val="0"/>
    <w:pPr>
      <w:ind w:left="839"/>
    </w:pPr>
    <w:rPr>
      <w:rFonts w:ascii="宋体"/>
    </w:rPr>
  </w:style>
  <w:style w:type="paragraph" w:styleId="23">
    <w:name w:val="toc 3"/>
    <w:basedOn w:val="1"/>
    <w:next w:val="1"/>
    <w:unhideWhenUsed/>
    <w:qFormat/>
    <w:uiPriority w:val="39"/>
    <w:pPr>
      <w:spacing w:line="300" w:lineRule="exact"/>
      <w:ind w:left="420"/>
    </w:pPr>
    <w:rPr>
      <w:rFonts w:ascii="宋体"/>
    </w:rPr>
  </w:style>
  <w:style w:type="paragraph" w:styleId="24">
    <w:name w:val="toc 8"/>
    <w:basedOn w:val="1"/>
    <w:next w:val="1"/>
    <w:semiHidden/>
    <w:qFormat/>
    <w:uiPriority w:val="0"/>
    <w:pPr>
      <w:tabs>
        <w:tab w:val="right" w:leader="dot" w:pos="9241"/>
      </w:tabs>
      <w:adjustRightInd/>
      <w:spacing w:line="240" w:lineRule="auto"/>
      <w:ind w:firstLine="607" w:firstLineChars="600"/>
      <w:jc w:val="left"/>
    </w:pPr>
    <w:rPr>
      <w:rFonts w:ascii="宋体" w:hAnsi="Times New Roman"/>
    </w:rPr>
  </w:style>
  <w:style w:type="paragraph" w:styleId="25">
    <w:name w:val="index 3"/>
    <w:basedOn w:val="1"/>
    <w:next w:val="1"/>
    <w:qFormat/>
    <w:uiPriority w:val="0"/>
    <w:pPr>
      <w:adjustRightInd/>
      <w:spacing w:line="240" w:lineRule="auto"/>
      <w:ind w:left="630" w:hanging="210" w:firstLineChars="200"/>
      <w:jc w:val="left"/>
    </w:pPr>
    <w:rPr>
      <w:sz w:val="20"/>
      <w:szCs w:val="20"/>
    </w:rPr>
  </w:style>
  <w:style w:type="paragraph" w:styleId="26">
    <w:name w:val="endnote text"/>
    <w:basedOn w:val="1"/>
    <w:link w:val="253"/>
    <w:semiHidden/>
    <w:qFormat/>
    <w:uiPriority w:val="0"/>
    <w:pPr>
      <w:adjustRightInd/>
      <w:snapToGrid w:val="0"/>
      <w:spacing w:line="240" w:lineRule="auto"/>
      <w:ind w:firstLine="420" w:firstLineChars="200"/>
      <w:jc w:val="left"/>
    </w:pPr>
    <w:rPr>
      <w:rFonts w:ascii="Times New Roman" w:hAnsi="Times New Roman"/>
      <w:szCs w:val="24"/>
    </w:rPr>
  </w:style>
  <w:style w:type="paragraph" w:styleId="27">
    <w:name w:val="Balloon Text"/>
    <w:basedOn w:val="1"/>
    <w:link w:val="65"/>
    <w:semiHidden/>
    <w:unhideWhenUsed/>
    <w:qFormat/>
    <w:uiPriority w:val="99"/>
    <w:rPr>
      <w:sz w:val="18"/>
      <w:szCs w:val="18"/>
    </w:rPr>
  </w:style>
  <w:style w:type="paragraph" w:styleId="28">
    <w:name w:val="footer"/>
    <w:basedOn w:val="1"/>
    <w:link w:val="64"/>
    <w:qFormat/>
    <w:uiPriority w:val="0"/>
    <w:pPr>
      <w:tabs>
        <w:tab w:val="center" w:pos="4153"/>
        <w:tab w:val="right" w:pos="8306"/>
      </w:tabs>
      <w:adjustRightInd/>
      <w:snapToGrid w:val="0"/>
      <w:spacing w:line="240" w:lineRule="auto"/>
      <w:jc w:val="right"/>
    </w:pPr>
    <w:rPr>
      <w:rFonts w:ascii="宋体"/>
      <w:sz w:val="18"/>
      <w:szCs w:val="18"/>
    </w:rPr>
  </w:style>
  <w:style w:type="paragraph" w:styleId="29">
    <w:name w:val="header"/>
    <w:basedOn w:val="1"/>
    <w:link w:val="63"/>
    <w:qFormat/>
    <w:uiPriority w:val="0"/>
    <w:pPr>
      <w:tabs>
        <w:tab w:val="center" w:pos="4153"/>
        <w:tab w:val="right" w:pos="8306"/>
      </w:tabs>
      <w:adjustRightInd/>
      <w:snapToGrid w:val="0"/>
      <w:jc w:val="center"/>
    </w:pPr>
    <w:rPr>
      <w:sz w:val="18"/>
      <w:szCs w:val="18"/>
    </w:rPr>
  </w:style>
  <w:style w:type="paragraph" w:styleId="30">
    <w:name w:val="toc 1"/>
    <w:basedOn w:val="1"/>
    <w:next w:val="1"/>
    <w:unhideWhenUsed/>
    <w:qFormat/>
    <w:uiPriority w:val="39"/>
    <w:rPr>
      <w:rFonts w:ascii="宋体"/>
    </w:rPr>
  </w:style>
  <w:style w:type="paragraph" w:styleId="31">
    <w:name w:val="toc 4"/>
    <w:basedOn w:val="1"/>
    <w:next w:val="1"/>
    <w:unhideWhenUsed/>
    <w:qFormat/>
    <w:uiPriority w:val="39"/>
    <w:pPr>
      <w:tabs>
        <w:tab w:val="right" w:leader="dot" w:pos="9344"/>
      </w:tabs>
      <w:spacing w:line="300" w:lineRule="exact"/>
      <w:ind w:left="629"/>
    </w:pPr>
    <w:rPr>
      <w:rFonts w:ascii="宋体"/>
    </w:rPr>
  </w:style>
  <w:style w:type="paragraph" w:styleId="32">
    <w:name w:val="index heading"/>
    <w:basedOn w:val="1"/>
    <w:next w:val="33"/>
    <w:qFormat/>
    <w:uiPriority w:val="0"/>
    <w:pPr>
      <w:adjustRightInd/>
      <w:spacing w:before="120" w:after="120" w:line="240" w:lineRule="auto"/>
      <w:ind w:firstLine="420" w:firstLineChars="200"/>
      <w:jc w:val="center"/>
    </w:pPr>
    <w:rPr>
      <w:b/>
      <w:bCs/>
      <w:iCs/>
      <w:szCs w:val="20"/>
    </w:rPr>
  </w:style>
  <w:style w:type="paragraph" w:styleId="33">
    <w:name w:val="index 1"/>
    <w:basedOn w:val="1"/>
    <w:next w:val="1"/>
    <w:unhideWhenUsed/>
    <w:qFormat/>
    <w:uiPriority w:val="0"/>
  </w:style>
  <w:style w:type="paragraph" w:styleId="34">
    <w:name w:val="footnote text"/>
    <w:basedOn w:val="1"/>
    <w:next w:val="1"/>
    <w:link w:val="119"/>
    <w:qFormat/>
    <w:uiPriority w:val="0"/>
    <w:pPr>
      <w:adjustRightInd/>
      <w:snapToGrid w:val="0"/>
      <w:spacing w:line="300" w:lineRule="exact"/>
      <w:ind w:left="400" w:leftChars="200" w:hanging="200" w:hangingChars="200"/>
      <w:jc w:val="left"/>
    </w:pPr>
    <w:rPr>
      <w:rFonts w:ascii="宋体"/>
      <w:sz w:val="18"/>
      <w:szCs w:val="18"/>
    </w:rPr>
  </w:style>
  <w:style w:type="paragraph" w:styleId="35">
    <w:name w:val="toc 6"/>
    <w:basedOn w:val="1"/>
    <w:next w:val="1"/>
    <w:unhideWhenUsed/>
    <w:qFormat/>
    <w:uiPriority w:val="0"/>
    <w:pPr>
      <w:spacing w:line="300" w:lineRule="exact"/>
      <w:ind w:left="1049"/>
    </w:pPr>
    <w:rPr>
      <w:rFonts w:ascii="宋体"/>
    </w:rPr>
  </w:style>
  <w:style w:type="paragraph" w:styleId="36">
    <w:name w:val="index 7"/>
    <w:basedOn w:val="1"/>
    <w:next w:val="1"/>
    <w:qFormat/>
    <w:uiPriority w:val="0"/>
    <w:pPr>
      <w:adjustRightInd/>
      <w:spacing w:line="240" w:lineRule="auto"/>
      <w:ind w:left="1470" w:hanging="210" w:firstLineChars="200"/>
      <w:jc w:val="left"/>
    </w:pPr>
    <w:rPr>
      <w:sz w:val="20"/>
      <w:szCs w:val="20"/>
    </w:rPr>
  </w:style>
  <w:style w:type="paragraph" w:styleId="37">
    <w:name w:val="index 9"/>
    <w:basedOn w:val="1"/>
    <w:next w:val="1"/>
    <w:qFormat/>
    <w:uiPriority w:val="0"/>
    <w:pPr>
      <w:adjustRightInd/>
      <w:spacing w:line="240" w:lineRule="auto"/>
      <w:ind w:left="1890" w:hanging="210" w:firstLineChars="200"/>
      <w:jc w:val="left"/>
    </w:pPr>
    <w:rPr>
      <w:sz w:val="20"/>
      <w:szCs w:val="20"/>
    </w:rPr>
  </w:style>
  <w:style w:type="paragraph" w:styleId="38">
    <w:name w:val="table of figures"/>
    <w:basedOn w:val="1"/>
    <w:next w:val="1"/>
    <w:semiHidden/>
    <w:qFormat/>
    <w:uiPriority w:val="0"/>
    <w:pPr>
      <w:adjustRightInd/>
      <w:spacing w:line="240" w:lineRule="auto"/>
      <w:jc w:val="left"/>
    </w:pPr>
    <w:rPr>
      <w:szCs w:val="24"/>
    </w:rPr>
  </w:style>
  <w:style w:type="paragraph" w:styleId="39">
    <w:name w:val="toc 2"/>
    <w:basedOn w:val="1"/>
    <w:next w:val="1"/>
    <w:unhideWhenUsed/>
    <w:qFormat/>
    <w:uiPriority w:val="39"/>
    <w:pPr>
      <w:tabs>
        <w:tab w:val="right" w:leader="dot" w:pos="9344"/>
      </w:tabs>
      <w:spacing w:line="300" w:lineRule="exact"/>
      <w:ind w:left="210"/>
    </w:pPr>
    <w:rPr>
      <w:rFonts w:ascii="宋体"/>
    </w:rPr>
  </w:style>
  <w:style w:type="paragraph" w:styleId="40">
    <w:name w:val="toc 9"/>
    <w:basedOn w:val="1"/>
    <w:next w:val="1"/>
    <w:semiHidden/>
    <w:qFormat/>
    <w:uiPriority w:val="0"/>
    <w:pPr>
      <w:adjustRightInd/>
      <w:spacing w:line="240" w:lineRule="auto"/>
      <w:ind w:left="1470" w:firstLine="420" w:firstLineChars="200"/>
      <w:jc w:val="left"/>
    </w:pPr>
    <w:rPr>
      <w:rFonts w:ascii="Times New Roman" w:hAnsi="Times New Roman"/>
      <w:sz w:val="20"/>
      <w:szCs w:val="20"/>
    </w:rPr>
  </w:style>
  <w:style w:type="paragraph" w:styleId="41">
    <w:name w:val="Normal (Web)"/>
    <w:basedOn w:val="1"/>
    <w:qFormat/>
    <w:uiPriority w:val="0"/>
    <w:pPr>
      <w:adjustRightInd/>
      <w:spacing w:line="240" w:lineRule="auto"/>
      <w:ind w:firstLine="420" w:firstLineChars="200"/>
    </w:pPr>
    <w:rPr>
      <w:rFonts w:ascii="Times New Roman" w:hAnsi="Times New Roman"/>
      <w:sz w:val="24"/>
      <w:szCs w:val="24"/>
    </w:rPr>
  </w:style>
  <w:style w:type="paragraph" w:styleId="42">
    <w:name w:val="index 2"/>
    <w:basedOn w:val="1"/>
    <w:next w:val="1"/>
    <w:qFormat/>
    <w:uiPriority w:val="0"/>
    <w:pPr>
      <w:adjustRightInd/>
      <w:spacing w:line="240" w:lineRule="auto"/>
      <w:ind w:left="420" w:hanging="210" w:firstLineChars="200"/>
      <w:jc w:val="left"/>
    </w:pPr>
    <w:rPr>
      <w:sz w:val="20"/>
      <w:szCs w:val="20"/>
    </w:rPr>
  </w:style>
  <w:style w:type="paragraph" w:styleId="43">
    <w:name w:val="Title"/>
    <w:basedOn w:val="1"/>
    <w:link w:val="68"/>
    <w:qFormat/>
    <w:uiPriority w:val="0"/>
    <w:pPr>
      <w:spacing w:before="240" w:after="60"/>
      <w:jc w:val="center"/>
      <w:outlineLvl w:val="0"/>
    </w:pPr>
    <w:rPr>
      <w:rFonts w:ascii="Arial" w:hAnsi="Arial" w:cs="Arial"/>
      <w:b/>
      <w:bCs/>
      <w:sz w:val="32"/>
      <w:szCs w:val="32"/>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bCs/>
    </w:rPr>
  </w:style>
  <w:style w:type="character" w:styleId="48">
    <w:name w:val="endnote reference"/>
    <w:basedOn w:val="46"/>
    <w:semiHidden/>
    <w:qFormat/>
    <w:uiPriority w:val="0"/>
    <w:rPr>
      <w:vertAlign w:val="superscript"/>
    </w:rPr>
  </w:style>
  <w:style w:type="character" w:styleId="49">
    <w:name w:val="page number"/>
    <w:qFormat/>
    <w:uiPriority w:val="0"/>
    <w:rPr>
      <w:rFonts w:ascii="宋体" w:hAnsi="Times New Roman" w:eastAsia="宋体"/>
      <w:sz w:val="18"/>
    </w:rPr>
  </w:style>
  <w:style w:type="character" w:styleId="50">
    <w:name w:val="FollowedHyperlink"/>
    <w:basedOn w:val="46"/>
    <w:qFormat/>
    <w:uiPriority w:val="0"/>
    <w:rPr>
      <w:color w:val="800080"/>
      <w:u w:val="single"/>
    </w:rPr>
  </w:style>
  <w:style w:type="character" w:styleId="51">
    <w:name w:val="Emphasis"/>
    <w:qFormat/>
    <w:uiPriority w:val="20"/>
    <w:rPr>
      <w:i/>
      <w:iCs/>
    </w:rPr>
  </w:style>
  <w:style w:type="character" w:styleId="52">
    <w:name w:val="Hyperlink"/>
    <w:qFormat/>
    <w:uiPriority w:val="99"/>
    <w:rPr>
      <w:rFonts w:ascii="宋体" w:hAnsi="Times New Roman" w:eastAsia="宋体"/>
      <w:color w:val="auto"/>
      <w:spacing w:val="0"/>
      <w:w w:val="100"/>
      <w:position w:val="0"/>
      <w:sz w:val="21"/>
      <w:u w:val="none"/>
      <w:vertAlign w:val="baseline"/>
    </w:rPr>
  </w:style>
  <w:style w:type="character" w:styleId="53">
    <w:name w:val="footnote reference"/>
    <w:semiHidden/>
    <w:qFormat/>
    <w:uiPriority w:val="0"/>
    <w:rPr>
      <w:rFonts w:ascii="宋体" w:hAnsi="宋体" w:eastAsia="宋体" w:cs="Times New Roman"/>
      <w:spacing w:val="0"/>
      <w:sz w:val="18"/>
      <w:vertAlign w:val="superscript"/>
    </w:rPr>
  </w:style>
  <w:style w:type="character" w:customStyle="1" w:styleId="54">
    <w:name w:val="标题 2 字符"/>
    <w:link w:val="4"/>
    <w:qFormat/>
    <w:uiPriority w:val="0"/>
    <w:rPr>
      <w:rFonts w:ascii="Arial" w:hAnsi="Arial" w:eastAsia="黑体"/>
      <w:b/>
      <w:bCs/>
      <w:kern w:val="2"/>
      <w:sz w:val="32"/>
      <w:szCs w:val="32"/>
    </w:rPr>
  </w:style>
  <w:style w:type="character" w:customStyle="1" w:styleId="55">
    <w:name w:val="标题 1 字符"/>
    <w:link w:val="3"/>
    <w:qFormat/>
    <w:uiPriority w:val="0"/>
    <w:rPr>
      <w:b/>
      <w:bCs/>
      <w:kern w:val="44"/>
      <w:sz w:val="44"/>
      <w:szCs w:val="44"/>
    </w:rPr>
  </w:style>
  <w:style w:type="character" w:customStyle="1" w:styleId="56">
    <w:name w:val="标题 3 字符"/>
    <w:link w:val="5"/>
    <w:qFormat/>
    <w:uiPriority w:val="0"/>
    <w:rPr>
      <w:b/>
      <w:bCs/>
      <w:kern w:val="2"/>
      <w:sz w:val="32"/>
      <w:szCs w:val="32"/>
    </w:rPr>
  </w:style>
  <w:style w:type="character" w:customStyle="1" w:styleId="57">
    <w:name w:val="标题 4 字符"/>
    <w:link w:val="6"/>
    <w:qFormat/>
    <w:uiPriority w:val="0"/>
    <w:rPr>
      <w:rFonts w:ascii="Arial" w:hAnsi="Arial" w:eastAsia="黑体"/>
      <w:b/>
      <w:bCs/>
      <w:kern w:val="2"/>
      <w:sz w:val="28"/>
      <w:szCs w:val="28"/>
    </w:rPr>
  </w:style>
  <w:style w:type="character" w:customStyle="1" w:styleId="58">
    <w:name w:val="标题 5 字符"/>
    <w:link w:val="7"/>
    <w:qFormat/>
    <w:uiPriority w:val="0"/>
    <w:rPr>
      <w:b/>
      <w:bCs/>
      <w:kern w:val="2"/>
      <w:sz w:val="28"/>
      <w:szCs w:val="28"/>
    </w:rPr>
  </w:style>
  <w:style w:type="character" w:customStyle="1" w:styleId="59">
    <w:name w:val="标题 6 字符"/>
    <w:link w:val="8"/>
    <w:qFormat/>
    <w:uiPriority w:val="0"/>
    <w:rPr>
      <w:rFonts w:ascii="Arial" w:hAnsi="Arial" w:eastAsia="黑体"/>
      <w:b/>
      <w:bCs/>
      <w:kern w:val="2"/>
      <w:sz w:val="24"/>
      <w:szCs w:val="24"/>
    </w:rPr>
  </w:style>
  <w:style w:type="character" w:customStyle="1" w:styleId="60">
    <w:name w:val="标题 7 字符"/>
    <w:link w:val="9"/>
    <w:qFormat/>
    <w:uiPriority w:val="0"/>
    <w:rPr>
      <w:b/>
      <w:bCs/>
      <w:kern w:val="2"/>
      <w:sz w:val="24"/>
      <w:szCs w:val="24"/>
    </w:rPr>
  </w:style>
  <w:style w:type="character" w:customStyle="1" w:styleId="61">
    <w:name w:val="标题 8 字符"/>
    <w:link w:val="10"/>
    <w:qFormat/>
    <w:uiPriority w:val="0"/>
    <w:rPr>
      <w:rFonts w:ascii="Arial" w:hAnsi="Arial" w:eastAsia="黑体"/>
      <w:kern w:val="2"/>
      <w:sz w:val="24"/>
      <w:szCs w:val="24"/>
    </w:rPr>
  </w:style>
  <w:style w:type="character" w:customStyle="1" w:styleId="62">
    <w:name w:val="标题 9 字符"/>
    <w:link w:val="11"/>
    <w:qFormat/>
    <w:uiPriority w:val="0"/>
    <w:rPr>
      <w:rFonts w:ascii="Arial" w:hAnsi="Arial" w:eastAsia="黑体"/>
      <w:kern w:val="2"/>
      <w:sz w:val="21"/>
      <w:szCs w:val="21"/>
    </w:rPr>
  </w:style>
  <w:style w:type="character" w:customStyle="1" w:styleId="63">
    <w:name w:val="页眉 字符"/>
    <w:link w:val="29"/>
    <w:qFormat/>
    <w:uiPriority w:val="99"/>
    <w:rPr>
      <w:kern w:val="2"/>
      <w:sz w:val="18"/>
      <w:szCs w:val="18"/>
    </w:rPr>
  </w:style>
  <w:style w:type="character" w:customStyle="1" w:styleId="64">
    <w:name w:val="页脚 字符"/>
    <w:link w:val="28"/>
    <w:qFormat/>
    <w:uiPriority w:val="99"/>
    <w:rPr>
      <w:rFonts w:ascii="宋体"/>
      <w:kern w:val="2"/>
      <w:sz w:val="18"/>
      <w:szCs w:val="18"/>
    </w:rPr>
  </w:style>
  <w:style w:type="character" w:customStyle="1" w:styleId="65">
    <w:name w:val="批注框文本 字符"/>
    <w:link w:val="27"/>
    <w:semiHidden/>
    <w:qFormat/>
    <w:uiPriority w:val="99"/>
    <w:rPr>
      <w:kern w:val="2"/>
      <w:sz w:val="18"/>
      <w:szCs w:val="18"/>
    </w:rPr>
  </w:style>
  <w:style w:type="paragraph" w:styleId="66">
    <w:name w:val="Quote"/>
    <w:basedOn w:val="1"/>
    <w:next w:val="1"/>
    <w:link w:val="67"/>
    <w:qFormat/>
    <w:uiPriority w:val="29"/>
    <w:rPr>
      <w:i/>
      <w:iCs/>
      <w:color w:val="000000"/>
    </w:rPr>
  </w:style>
  <w:style w:type="character" w:customStyle="1" w:styleId="67">
    <w:name w:val="引用 字符"/>
    <w:link w:val="66"/>
    <w:qFormat/>
    <w:uiPriority w:val="29"/>
    <w:rPr>
      <w:i/>
      <w:iCs/>
      <w:color w:val="000000"/>
      <w:kern w:val="2"/>
      <w:sz w:val="21"/>
      <w:szCs w:val="21"/>
    </w:rPr>
  </w:style>
  <w:style w:type="character" w:customStyle="1" w:styleId="68">
    <w:name w:val="标题 字符"/>
    <w:link w:val="43"/>
    <w:qFormat/>
    <w:uiPriority w:val="0"/>
    <w:rPr>
      <w:rFonts w:ascii="Arial" w:hAnsi="Arial" w:cs="Arial"/>
      <w:b/>
      <w:bCs/>
      <w:kern w:val="2"/>
      <w:sz w:val="32"/>
      <w:szCs w:val="32"/>
    </w:rPr>
  </w:style>
  <w:style w:type="paragraph" w:customStyle="1" w:styleId="6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7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7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3">
    <w:name w:val="标准书眉一"/>
    <w:qFormat/>
    <w:uiPriority w:val="0"/>
    <w:pPr>
      <w:jc w:val="both"/>
    </w:pPr>
    <w:rPr>
      <w:rFonts w:ascii="Times New Roman" w:hAnsi="Times New Roman" w:eastAsia="宋体" w:cs="Times New Roman"/>
      <w:lang w:val="en-US" w:eastAsia="zh-CN" w:bidi="ar-SA"/>
    </w:rPr>
  </w:style>
  <w:style w:type="paragraph" w:customStyle="1" w:styleId="74">
    <w:name w:val="标准文件_ICS"/>
    <w:basedOn w:val="1"/>
    <w:qFormat/>
    <w:uiPriority w:val="0"/>
    <w:pPr>
      <w:spacing w:line="0" w:lineRule="atLeast"/>
    </w:pPr>
    <w:rPr>
      <w:rFonts w:ascii="黑体" w:hAnsi="宋体" w:eastAsia="黑体"/>
    </w:rPr>
  </w:style>
  <w:style w:type="paragraph" w:customStyle="1" w:styleId="75">
    <w:name w:val="标准文件_标准正文"/>
    <w:basedOn w:val="1"/>
    <w:next w:val="76"/>
    <w:qFormat/>
    <w:uiPriority w:val="0"/>
    <w:pPr>
      <w:snapToGrid w:val="0"/>
      <w:ind w:firstLine="200" w:firstLineChars="200"/>
    </w:pPr>
    <w:rPr>
      <w:kern w:val="0"/>
    </w:rPr>
  </w:style>
  <w:style w:type="paragraph" w:customStyle="1" w:styleId="76">
    <w:name w:val="标准文件_段"/>
    <w:link w:val="20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77">
    <w:name w:val="标准文件_版本"/>
    <w:basedOn w:val="75"/>
    <w:qFormat/>
    <w:uiPriority w:val="0"/>
    <w:pPr>
      <w:adjustRightInd/>
      <w:snapToGrid/>
      <w:ind w:firstLine="0" w:firstLineChars="0"/>
    </w:pPr>
    <w:rPr>
      <w:rFonts w:ascii="宋体" w:hAnsi="宋体"/>
      <w:kern w:val="2"/>
    </w:rPr>
  </w:style>
  <w:style w:type="paragraph" w:customStyle="1" w:styleId="78">
    <w:name w:val="标准文件_标准部门"/>
    <w:basedOn w:val="1"/>
    <w:qFormat/>
    <w:uiPriority w:val="0"/>
    <w:pPr>
      <w:jc w:val="center"/>
    </w:pPr>
    <w:rPr>
      <w:rFonts w:ascii="黑体" w:eastAsia="黑体"/>
      <w:kern w:val="0"/>
      <w:sz w:val="44"/>
    </w:rPr>
  </w:style>
  <w:style w:type="paragraph" w:customStyle="1" w:styleId="79">
    <w:name w:val="标准文件_标准代替"/>
    <w:basedOn w:val="1"/>
    <w:next w:val="1"/>
    <w:qFormat/>
    <w:uiPriority w:val="0"/>
    <w:pPr>
      <w:spacing w:line="310" w:lineRule="exact"/>
      <w:jc w:val="right"/>
    </w:pPr>
    <w:rPr>
      <w:rFonts w:ascii="宋体" w:hAnsi="宋体"/>
      <w:kern w:val="0"/>
    </w:rPr>
  </w:style>
  <w:style w:type="paragraph" w:customStyle="1" w:styleId="8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8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82">
    <w:name w:val="标准文件_页眉偶数页"/>
    <w:basedOn w:val="81"/>
    <w:next w:val="1"/>
    <w:qFormat/>
    <w:uiPriority w:val="0"/>
    <w:pPr>
      <w:jc w:val="left"/>
    </w:pPr>
  </w:style>
  <w:style w:type="paragraph" w:customStyle="1" w:styleId="8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8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85">
    <w:name w:val="标准文件_二级条标题"/>
    <w:next w:val="7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86">
    <w:name w:val="标准文件_发布"/>
    <w:qFormat/>
    <w:uiPriority w:val="0"/>
    <w:rPr>
      <w:rFonts w:ascii="黑体" w:eastAsia="黑体"/>
      <w:spacing w:val="0"/>
      <w:w w:val="100"/>
      <w:position w:val="3"/>
      <w:sz w:val="28"/>
    </w:rPr>
  </w:style>
  <w:style w:type="paragraph" w:customStyle="1" w:styleId="87">
    <w:name w:val="标准文件_方框数字列项"/>
    <w:basedOn w:val="76"/>
    <w:qFormat/>
    <w:uiPriority w:val="0"/>
    <w:pPr>
      <w:numPr>
        <w:ilvl w:val="0"/>
        <w:numId w:val="3"/>
      </w:numPr>
      <w:ind w:firstLine="0" w:firstLineChars="0"/>
    </w:pPr>
  </w:style>
  <w:style w:type="paragraph" w:customStyle="1" w:styleId="88">
    <w:name w:val="标准文件_封面标准编号"/>
    <w:basedOn w:val="1"/>
    <w:next w:val="79"/>
    <w:qFormat/>
    <w:uiPriority w:val="0"/>
    <w:pPr>
      <w:spacing w:line="310" w:lineRule="exact"/>
      <w:jc w:val="right"/>
    </w:pPr>
    <w:rPr>
      <w:rFonts w:ascii="黑体" w:eastAsia="黑体"/>
      <w:kern w:val="0"/>
      <w:sz w:val="28"/>
    </w:rPr>
  </w:style>
  <w:style w:type="paragraph" w:customStyle="1" w:styleId="89">
    <w:name w:val="标准文件_封面标准分类号"/>
    <w:basedOn w:val="1"/>
    <w:qFormat/>
    <w:uiPriority w:val="0"/>
    <w:rPr>
      <w:rFonts w:ascii="黑体" w:eastAsia="黑体"/>
      <w:b/>
      <w:kern w:val="0"/>
      <w:sz w:val="28"/>
    </w:rPr>
  </w:style>
  <w:style w:type="paragraph" w:customStyle="1" w:styleId="90">
    <w:name w:val="标准文件_封面标准名称"/>
    <w:basedOn w:val="1"/>
    <w:qFormat/>
    <w:uiPriority w:val="0"/>
    <w:pPr>
      <w:spacing w:line="240" w:lineRule="auto"/>
      <w:jc w:val="center"/>
    </w:pPr>
    <w:rPr>
      <w:rFonts w:ascii="黑体" w:eastAsia="黑体"/>
      <w:kern w:val="0"/>
      <w:sz w:val="52"/>
    </w:rPr>
  </w:style>
  <w:style w:type="paragraph" w:customStyle="1" w:styleId="91">
    <w:name w:val="标准文件_封面标准英文名称"/>
    <w:basedOn w:val="1"/>
    <w:qFormat/>
    <w:uiPriority w:val="0"/>
    <w:pPr>
      <w:spacing w:line="240" w:lineRule="auto"/>
      <w:jc w:val="center"/>
    </w:pPr>
    <w:rPr>
      <w:rFonts w:ascii="黑体" w:eastAsia="黑体"/>
      <w:b/>
      <w:sz w:val="28"/>
    </w:rPr>
  </w:style>
  <w:style w:type="paragraph" w:customStyle="1" w:styleId="92">
    <w:name w:val="标准文件_封面发布日期"/>
    <w:basedOn w:val="1"/>
    <w:qFormat/>
    <w:uiPriority w:val="0"/>
    <w:pPr>
      <w:spacing w:line="310" w:lineRule="exact"/>
    </w:pPr>
    <w:rPr>
      <w:rFonts w:ascii="黑体" w:eastAsia="黑体"/>
      <w:kern w:val="0"/>
      <w:sz w:val="28"/>
    </w:rPr>
  </w:style>
  <w:style w:type="paragraph" w:customStyle="1" w:styleId="93">
    <w:name w:val="标准文件_封面密级"/>
    <w:basedOn w:val="1"/>
    <w:qFormat/>
    <w:uiPriority w:val="0"/>
    <w:rPr>
      <w:rFonts w:eastAsia="黑体"/>
      <w:sz w:val="32"/>
    </w:rPr>
  </w:style>
  <w:style w:type="paragraph" w:customStyle="1" w:styleId="94">
    <w:name w:val="标准文件_封面实施日期"/>
    <w:basedOn w:val="1"/>
    <w:qFormat/>
    <w:uiPriority w:val="0"/>
    <w:pPr>
      <w:spacing w:line="310" w:lineRule="exact"/>
      <w:jc w:val="right"/>
    </w:pPr>
    <w:rPr>
      <w:rFonts w:ascii="黑体" w:eastAsia="黑体"/>
      <w:sz w:val="28"/>
    </w:rPr>
  </w:style>
  <w:style w:type="paragraph" w:customStyle="1" w:styleId="95">
    <w:name w:val="标准文件_封面抬头"/>
    <w:basedOn w:val="76"/>
    <w:qFormat/>
    <w:uiPriority w:val="0"/>
    <w:pPr>
      <w:adjustRightInd w:val="0"/>
      <w:spacing w:line="800" w:lineRule="exact"/>
      <w:ind w:firstLine="0" w:firstLineChars="0"/>
      <w:jc w:val="distribute"/>
    </w:pPr>
    <w:rPr>
      <w:rFonts w:ascii="黑体" w:eastAsia="黑体"/>
      <w:b/>
      <w:sz w:val="64"/>
    </w:rPr>
  </w:style>
  <w:style w:type="paragraph" w:customStyle="1" w:styleId="96">
    <w:name w:val="标准文件_附录标识"/>
    <w:next w:val="7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97">
    <w:name w:val="标准文件_附录表标题"/>
    <w:next w:val="7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98">
    <w:name w:val="标准文件_附录一级条标题"/>
    <w:next w:val="7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99">
    <w:name w:val="标准文件_附录二级条标题"/>
    <w:basedOn w:val="98"/>
    <w:next w:val="76"/>
    <w:qFormat/>
    <w:uiPriority w:val="0"/>
    <w:pPr>
      <w:widowControl/>
      <w:numPr>
        <w:ilvl w:val="2"/>
      </w:numPr>
      <w:wordWrap w:val="0"/>
      <w:overflowPunct w:val="0"/>
      <w:autoSpaceDE w:val="0"/>
      <w:autoSpaceDN w:val="0"/>
      <w:textAlignment w:val="baseline"/>
      <w:outlineLvl w:val="3"/>
    </w:pPr>
  </w:style>
  <w:style w:type="paragraph" w:customStyle="1" w:styleId="100">
    <w:name w:val="标准文件_附录公式"/>
    <w:basedOn w:val="75"/>
    <w:next w:val="7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01">
    <w:name w:val="标准文件_附录三级条标题"/>
    <w:next w:val="7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02">
    <w:name w:val="标准文件_附录四级条标题"/>
    <w:next w:val="7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03">
    <w:name w:val="标准文件_附录图标题"/>
    <w:next w:val="7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104">
    <w:name w:val="标准文件_附录五级条标题"/>
    <w:next w:val="7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105">
    <w:name w:val="标准文件_附录英文标识"/>
    <w:next w:val="19"/>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106">
    <w:name w:val="正文文本 字符"/>
    <w:link w:val="19"/>
    <w:qFormat/>
    <w:uiPriority w:val="0"/>
    <w:rPr>
      <w:kern w:val="2"/>
      <w:sz w:val="21"/>
      <w:szCs w:val="21"/>
    </w:rPr>
  </w:style>
  <w:style w:type="paragraph" w:customStyle="1" w:styleId="107">
    <w:name w:val="标准文件_附录章标题"/>
    <w:next w:val="7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08">
    <w:name w:val="标准文件_公式后的破折号"/>
    <w:basedOn w:val="76"/>
    <w:next w:val="76"/>
    <w:qFormat/>
    <w:uiPriority w:val="0"/>
    <w:pPr>
      <w:ind w:left="488" w:leftChars="200" w:hanging="289" w:hangingChars="290"/>
    </w:pPr>
  </w:style>
  <w:style w:type="paragraph" w:customStyle="1" w:styleId="10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110">
    <w:name w:val="标准文件_目次、标准名称标题"/>
    <w:basedOn w:val="109"/>
    <w:next w:val="76"/>
    <w:qFormat/>
    <w:uiPriority w:val="0"/>
    <w:pPr>
      <w:spacing w:line="460" w:lineRule="exact"/>
      <w:ind w:left="0" w:firstLine="0"/>
    </w:pPr>
  </w:style>
  <w:style w:type="paragraph" w:customStyle="1" w:styleId="11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11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13">
    <w:name w:val="标准文件_破折号列项（二级）"/>
    <w:basedOn w:val="112"/>
    <w:qFormat/>
    <w:uiPriority w:val="0"/>
    <w:pPr>
      <w:numPr>
        <w:numId w:val="10"/>
      </w:numPr>
    </w:pPr>
  </w:style>
  <w:style w:type="paragraph" w:customStyle="1" w:styleId="114">
    <w:name w:val="标准文件_三级条标题"/>
    <w:basedOn w:val="85"/>
    <w:next w:val="76"/>
    <w:qFormat/>
    <w:uiPriority w:val="0"/>
    <w:pPr>
      <w:widowControl/>
      <w:numPr>
        <w:ilvl w:val="4"/>
      </w:numPr>
      <w:outlineLvl w:val="3"/>
    </w:pPr>
  </w:style>
  <w:style w:type="character" w:customStyle="1" w:styleId="115">
    <w:name w:val="不明显参考1"/>
    <w:qFormat/>
    <w:uiPriority w:val="31"/>
    <w:rPr>
      <w:smallCaps/>
      <w:color w:val="C0504D"/>
      <w:u w:val="single"/>
    </w:rPr>
  </w:style>
  <w:style w:type="paragraph" w:customStyle="1" w:styleId="116">
    <w:name w:val="标准文件_示例后续"/>
    <w:basedOn w:val="1"/>
    <w:qFormat/>
    <w:uiPriority w:val="0"/>
    <w:pPr>
      <w:adjustRightInd/>
      <w:spacing w:line="240" w:lineRule="auto"/>
      <w:ind w:firstLine="200" w:firstLineChars="200"/>
    </w:pPr>
    <w:rPr>
      <w:sz w:val="18"/>
      <w:szCs w:val="24"/>
    </w:rPr>
  </w:style>
  <w:style w:type="paragraph" w:customStyle="1" w:styleId="11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18">
    <w:name w:val="标准文件_四级条标题"/>
    <w:next w:val="7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19">
    <w:name w:val="脚注文本 字符"/>
    <w:link w:val="34"/>
    <w:semiHidden/>
    <w:qFormat/>
    <w:uiPriority w:val="0"/>
    <w:rPr>
      <w:rFonts w:ascii="宋体"/>
      <w:kern w:val="2"/>
      <w:sz w:val="18"/>
      <w:szCs w:val="18"/>
    </w:rPr>
  </w:style>
  <w:style w:type="paragraph" w:customStyle="1" w:styleId="120">
    <w:name w:val="标准文件_条文脚注"/>
    <w:basedOn w:val="34"/>
    <w:qFormat/>
    <w:uiPriority w:val="0"/>
    <w:pPr>
      <w:adjustRightInd w:val="0"/>
      <w:spacing w:line="240" w:lineRule="auto"/>
      <w:ind w:left="0" w:leftChars="0" w:firstLine="200" w:firstLineChars="200"/>
      <w:jc w:val="both"/>
    </w:pPr>
    <w:rPr>
      <w:rFonts w:hAnsi="宋体"/>
    </w:rPr>
  </w:style>
  <w:style w:type="paragraph" w:customStyle="1" w:styleId="121">
    <w:name w:val="标准文件_图表脚注"/>
    <w:basedOn w:val="1"/>
    <w:next w:val="76"/>
    <w:qFormat/>
    <w:uiPriority w:val="0"/>
    <w:pPr>
      <w:numPr>
        <w:ilvl w:val="0"/>
        <w:numId w:val="12"/>
      </w:numPr>
      <w:spacing w:line="240" w:lineRule="auto"/>
      <w:jc w:val="left"/>
    </w:pPr>
    <w:rPr>
      <w:rFonts w:ascii="宋体" w:hAnsi="宋体"/>
      <w:sz w:val="18"/>
    </w:rPr>
  </w:style>
  <w:style w:type="character" w:customStyle="1" w:styleId="122">
    <w:name w:val="标准文件_图表脚注内容"/>
    <w:qFormat/>
    <w:uiPriority w:val="0"/>
    <w:rPr>
      <w:rFonts w:ascii="宋体" w:hAnsi="宋体" w:eastAsia="宋体" w:cs="Times New Roman"/>
      <w:spacing w:val="0"/>
      <w:sz w:val="18"/>
      <w:vertAlign w:val="superscript"/>
    </w:rPr>
  </w:style>
  <w:style w:type="paragraph" w:customStyle="1" w:styleId="123">
    <w:name w:val="标准文件_五级条标题"/>
    <w:next w:val="7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24">
    <w:name w:val="标准文件_章标题"/>
    <w:next w:val="7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25">
    <w:name w:val="标准文件_一级条标题"/>
    <w:basedOn w:val="124"/>
    <w:next w:val="76"/>
    <w:qFormat/>
    <w:uiPriority w:val="0"/>
    <w:pPr>
      <w:numPr>
        <w:ilvl w:val="2"/>
      </w:numPr>
      <w:spacing w:before="50" w:beforeLines="50" w:after="50" w:afterLines="50"/>
      <w:outlineLvl w:val="1"/>
    </w:pPr>
  </w:style>
  <w:style w:type="paragraph" w:customStyle="1" w:styleId="126">
    <w:name w:val="标准文件_一致程度"/>
    <w:basedOn w:val="1"/>
    <w:qFormat/>
    <w:uiPriority w:val="0"/>
    <w:pPr>
      <w:spacing w:line="440" w:lineRule="exact"/>
      <w:jc w:val="center"/>
    </w:pPr>
    <w:rPr>
      <w:sz w:val="28"/>
    </w:rPr>
  </w:style>
  <w:style w:type="paragraph" w:customStyle="1" w:styleId="12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28">
    <w:name w:val="标准文件_英文图表脚注"/>
    <w:basedOn w:val="75"/>
    <w:qFormat/>
    <w:uiPriority w:val="0"/>
    <w:pPr>
      <w:widowControl/>
      <w:adjustRightInd/>
      <w:snapToGrid/>
      <w:spacing w:line="240" w:lineRule="auto"/>
      <w:ind w:left="79" w:hanging="79" w:hangingChars="80"/>
    </w:pPr>
    <w:rPr>
      <w:rFonts w:ascii="宋体" w:hAnsi="宋体"/>
    </w:rPr>
  </w:style>
  <w:style w:type="paragraph" w:customStyle="1" w:styleId="12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30">
    <w:name w:val="标准文件_英文注："/>
    <w:basedOn w:val="1"/>
    <w:next w:val="7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3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32">
    <w:name w:val="标准文件_正文表标题"/>
    <w:next w:val="7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33">
    <w:name w:val="标准文件_正文公式"/>
    <w:basedOn w:val="1"/>
    <w:next w:val="75"/>
    <w:qFormat/>
    <w:uiPriority w:val="0"/>
    <w:pPr>
      <w:tabs>
        <w:tab w:val="center" w:pos="4678"/>
        <w:tab w:val="right" w:leader="middleDot" w:pos="9356"/>
      </w:tabs>
      <w:spacing w:line="240" w:lineRule="auto"/>
    </w:pPr>
    <w:rPr>
      <w:rFonts w:ascii="宋体" w:hAnsi="宋体"/>
    </w:rPr>
  </w:style>
  <w:style w:type="paragraph" w:customStyle="1" w:styleId="134">
    <w:name w:val="标准文件_正文图标题"/>
    <w:next w:val="7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35">
    <w:name w:val="标准文件_正文英文表标题"/>
    <w:next w:val="7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36">
    <w:name w:val="标准文件_正文英文图标题"/>
    <w:next w:val="7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3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3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39">
    <w:name w:val="发布部门"/>
    <w:next w:val="7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4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4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4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4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4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4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47">
    <w:name w:val="封面正文"/>
    <w:qFormat/>
    <w:uiPriority w:val="0"/>
    <w:pPr>
      <w:jc w:val="both"/>
    </w:pPr>
    <w:rPr>
      <w:rFonts w:ascii="Times New Roman" w:hAnsi="Times New Roman" w:eastAsia="宋体" w:cs="Times New Roman"/>
      <w:lang w:val="en-US" w:eastAsia="zh-CN" w:bidi="ar-SA"/>
    </w:rPr>
  </w:style>
  <w:style w:type="paragraph" w:customStyle="1" w:styleId="148">
    <w:name w:val="附录二级无标题条"/>
    <w:basedOn w:val="1"/>
    <w:next w:val="7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49">
    <w:name w:val="附录三级无标题条"/>
    <w:basedOn w:val="148"/>
    <w:next w:val="76"/>
    <w:qFormat/>
    <w:uiPriority w:val="0"/>
    <w:pPr>
      <w:outlineLvl w:val="4"/>
    </w:pPr>
  </w:style>
  <w:style w:type="paragraph" w:customStyle="1" w:styleId="150">
    <w:name w:val="附录四级无标题条"/>
    <w:basedOn w:val="149"/>
    <w:next w:val="76"/>
    <w:qFormat/>
    <w:uiPriority w:val="0"/>
    <w:pPr>
      <w:outlineLvl w:val="5"/>
    </w:pPr>
  </w:style>
  <w:style w:type="paragraph" w:customStyle="1" w:styleId="151">
    <w:name w:val="附录图"/>
    <w:next w:val="7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5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53">
    <w:name w:val="附录五级无标题条"/>
    <w:basedOn w:val="150"/>
    <w:next w:val="76"/>
    <w:qFormat/>
    <w:uiPriority w:val="0"/>
    <w:pPr>
      <w:outlineLvl w:val="6"/>
    </w:pPr>
  </w:style>
  <w:style w:type="paragraph" w:customStyle="1" w:styleId="154">
    <w:name w:val="附录性质"/>
    <w:basedOn w:val="1"/>
    <w:qFormat/>
    <w:uiPriority w:val="0"/>
    <w:pPr>
      <w:widowControl/>
      <w:adjustRightInd/>
      <w:jc w:val="center"/>
    </w:pPr>
    <w:rPr>
      <w:rFonts w:ascii="黑体" w:eastAsia="黑体"/>
    </w:rPr>
  </w:style>
  <w:style w:type="paragraph" w:customStyle="1" w:styleId="155">
    <w:name w:val="附录一级无标题条"/>
    <w:basedOn w:val="107"/>
    <w:next w:val="76"/>
    <w:qFormat/>
    <w:uiPriority w:val="0"/>
    <w:pPr>
      <w:autoSpaceDN w:val="0"/>
      <w:outlineLvl w:val="2"/>
    </w:pPr>
    <w:rPr>
      <w:rFonts w:ascii="宋体" w:hAnsi="宋体" w:eastAsia="宋体"/>
    </w:rPr>
  </w:style>
  <w:style w:type="character" w:customStyle="1" w:styleId="156">
    <w:name w:val="个人答复风格"/>
    <w:qFormat/>
    <w:uiPriority w:val="0"/>
    <w:rPr>
      <w:rFonts w:ascii="Arial" w:hAnsi="Arial" w:eastAsia="宋体" w:cs="Arial"/>
      <w:color w:val="auto"/>
      <w:spacing w:val="0"/>
      <w:sz w:val="20"/>
    </w:rPr>
  </w:style>
  <w:style w:type="character" w:customStyle="1" w:styleId="157">
    <w:name w:val="个人撰写风格"/>
    <w:qFormat/>
    <w:uiPriority w:val="0"/>
    <w:rPr>
      <w:rFonts w:ascii="Arial" w:hAnsi="Arial" w:eastAsia="宋体" w:cs="Arial"/>
      <w:color w:val="auto"/>
      <w:spacing w:val="0"/>
      <w:sz w:val="20"/>
    </w:rPr>
  </w:style>
  <w:style w:type="paragraph" w:customStyle="1" w:styleId="15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5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60">
    <w:name w:val="列项·"/>
    <w:basedOn w:val="76"/>
    <w:qFormat/>
    <w:uiPriority w:val="0"/>
    <w:pPr>
      <w:tabs>
        <w:tab w:val="left" w:pos="840"/>
      </w:tabs>
    </w:pPr>
  </w:style>
  <w:style w:type="paragraph" w:customStyle="1" w:styleId="16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62">
    <w:name w:val="目录 21"/>
    <w:basedOn w:val="1"/>
    <w:next w:val="1"/>
    <w:semiHidden/>
    <w:qFormat/>
    <w:uiPriority w:val="0"/>
    <w:pPr>
      <w:adjustRightInd/>
      <w:spacing w:line="240" w:lineRule="auto"/>
      <w:jc w:val="left"/>
    </w:pPr>
    <w:rPr>
      <w:bCs/>
      <w:iCs/>
    </w:rPr>
  </w:style>
  <w:style w:type="paragraph" w:customStyle="1" w:styleId="163">
    <w:name w:val="目录 31"/>
    <w:basedOn w:val="1"/>
    <w:next w:val="1"/>
    <w:semiHidden/>
    <w:qFormat/>
    <w:uiPriority w:val="0"/>
    <w:pPr>
      <w:spacing w:line="240" w:lineRule="auto"/>
    </w:pPr>
    <w:rPr>
      <w:rFonts w:ascii="宋体" w:hAnsi="宋体"/>
      <w:iCs/>
    </w:rPr>
  </w:style>
  <w:style w:type="paragraph" w:customStyle="1" w:styleId="164">
    <w:name w:val="目录 41"/>
    <w:basedOn w:val="1"/>
    <w:next w:val="1"/>
    <w:semiHidden/>
    <w:qFormat/>
    <w:uiPriority w:val="0"/>
    <w:pPr>
      <w:adjustRightInd/>
      <w:spacing w:line="240" w:lineRule="auto"/>
      <w:jc w:val="left"/>
    </w:pPr>
  </w:style>
  <w:style w:type="paragraph" w:customStyle="1" w:styleId="165">
    <w:name w:val="目录 51"/>
    <w:basedOn w:val="1"/>
    <w:next w:val="1"/>
    <w:semiHidden/>
    <w:qFormat/>
    <w:uiPriority w:val="0"/>
    <w:pPr>
      <w:spacing w:line="240" w:lineRule="auto"/>
    </w:pPr>
    <w:rPr>
      <w:rFonts w:ascii="宋体" w:hAnsi="宋体"/>
    </w:rPr>
  </w:style>
  <w:style w:type="paragraph" w:customStyle="1" w:styleId="166">
    <w:name w:val="目录 61"/>
    <w:basedOn w:val="1"/>
    <w:next w:val="1"/>
    <w:semiHidden/>
    <w:qFormat/>
    <w:uiPriority w:val="0"/>
    <w:pPr>
      <w:adjustRightInd/>
      <w:spacing w:line="240" w:lineRule="auto"/>
      <w:jc w:val="left"/>
    </w:pPr>
  </w:style>
  <w:style w:type="paragraph" w:customStyle="1" w:styleId="167">
    <w:name w:val="目录 71"/>
    <w:basedOn w:val="166"/>
    <w:semiHidden/>
    <w:qFormat/>
    <w:uiPriority w:val="0"/>
    <w:pPr>
      <w:ind w:left="1260"/>
    </w:pPr>
  </w:style>
  <w:style w:type="paragraph" w:customStyle="1" w:styleId="168">
    <w:name w:val="目录 81"/>
    <w:basedOn w:val="167"/>
    <w:semiHidden/>
    <w:qFormat/>
    <w:uiPriority w:val="0"/>
    <w:pPr>
      <w:ind w:left="1470"/>
    </w:pPr>
  </w:style>
  <w:style w:type="paragraph" w:customStyle="1" w:styleId="169">
    <w:name w:val="目录 91"/>
    <w:basedOn w:val="168"/>
    <w:semiHidden/>
    <w:qFormat/>
    <w:uiPriority w:val="0"/>
    <w:pPr>
      <w:ind w:left="1680"/>
    </w:pPr>
  </w:style>
  <w:style w:type="paragraph" w:customStyle="1" w:styleId="17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71">
    <w:name w:val="其他发布部门"/>
    <w:basedOn w:val="139"/>
    <w:qFormat/>
    <w:uiPriority w:val="0"/>
    <w:pPr>
      <w:framePr w:wrap="around"/>
      <w:spacing w:line="0" w:lineRule="atLeast"/>
    </w:pPr>
    <w:rPr>
      <w:rFonts w:ascii="黑体" w:eastAsia="黑体"/>
      <w:b w:val="0"/>
    </w:rPr>
  </w:style>
  <w:style w:type="paragraph" w:customStyle="1" w:styleId="17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7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74">
    <w:name w:val="实施日期"/>
    <w:basedOn w:val="140"/>
    <w:qFormat/>
    <w:uiPriority w:val="0"/>
    <w:pPr>
      <w:framePr w:hSpace="0" w:wrap="around" w:xAlign="right"/>
      <w:jc w:val="right"/>
    </w:pPr>
  </w:style>
  <w:style w:type="paragraph" w:customStyle="1" w:styleId="17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7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77">
    <w:name w:val="无标题条"/>
    <w:next w:val="76"/>
    <w:qFormat/>
    <w:uiPriority w:val="0"/>
    <w:pPr>
      <w:jc w:val="both"/>
    </w:pPr>
    <w:rPr>
      <w:rFonts w:ascii="宋体" w:hAnsi="宋体" w:eastAsia="宋体" w:cs="Times New Roman"/>
      <w:sz w:val="21"/>
      <w:lang w:val="en-US" w:eastAsia="zh-CN" w:bidi="ar-SA"/>
    </w:rPr>
  </w:style>
  <w:style w:type="paragraph" w:customStyle="1" w:styleId="178">
    <w:name w:val="五级无标题条"/>
    <w:basedOn w:val="1"/>
    <w:qFormat/>
    <w:uiPriority w:val="0"/>
    <w:pPr>
      <w:numPr>
        <w:ilvl w:val="6"/>
        <w:numId w:val="20"/>
      </w:numPr>
      <w:adjustRightInd/>
    </w:pPr>
    <w:rPr>
      <w:szCs w:val="24"/>
    </w:rPr>
  </w:style>
  <w:style w:type="paragraph" w:customStyle="1" w:styleId="17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8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81">
    <w:name w:val="注×:后续"/>
    <w:basedOn w:val="180"/>
    <w:qFormat/>
    <w:uiPriority w:val="0"/>
    <w:pPr>
      <w:ind w:left="1406" w:leftChars="0" w:hanging="499" w:firstLineChars="0"/>
    </w:pPr>
  </w:style>
  <w:style w:type="paragraph" w:customStyle="1" w:styleId="182">
    <w:name w:val="标准文件_一级无标题"/>
    <w:basedOn w:val="125"/>
    <w:qFormat/>
    <w:uiPriority w:val="0"/>
    <w:pPr>
      <w:spacing w:before="0" w:beforeLines="0" w:after="0" w:afterLines="0"/>
      <w:outlineLvl w:val="9"/>
    </w:pPr>
    <w:rPr>
      <w:rFonts w:ascii="宋体" w:eastAsia="宋体"/>
    </w:rPr>
  </w:style>
  <w:style w:type="paragraph" w:customStyle="1" w:styleId="183">
    <w:name w:val="标准文件_五级无标题"/>
    <w:basedOn w:val="123"/>
    <w:qFormat/>
    <w:uiPriority w:val="0"/>
    <w:pPr>
      <w:spacing w:before="0" w:beforeLines="0" w:after="0" w:afterLines="0"/>
      <w:outlineLvl w:val="9"/>
    </w:pPr>
    <w:rPr>
      <w:rFonts w:ascii="宋体" w:eastAsia="宋体"/>
    </w:rPr>
  </w:style>
  <w:style w:type="paragraph" w:customStyle="1" w:styleId="184">
    <w:name w:val="标准文件_三级无标题"/>
    <w:basedOn w:val="114"/>
    <w:qFormat/>
    <w:uiPriority w:val="0"/>
    <w:pPr>
      <w:spacing w:before="0" w:beforeLines="0" w:after="0" w:afterLines="0"/>
      <w:outlineLvl w:val="9"/>
    </w:pPr>
    <w:rPr>
      <w:rFonts w:ascii="宋体" w:eastAsia="宋体"/>
    </w:rPr>
  </w:style>
  <w:style w:type="paragraph" w:customStyle="1" w:styleId="185">
    <w:name w:val="标准文件_二级无标题"/>
    <w:basedOn w:val="85"/>
    <w:qFormat/>
    <w:uiPriority w:val="0"/>
    <w:pPr>
      <w:spacing w:before="0" w:beforeLines="0" w:after="0" w:afterLines="0"/>
      <w:outlineLvl w:val="9"/>
    </w:pPr>
    <w:rPr>
      <w:rFonts w:ascii="宋体" w:eastAsia="宋体"/>
    </w:rPr>
  </w:style>
  <w:style w:type="paragraph" w:customStyle="1" w:styleId="186">
    <w:name w:val="标准_四级无标题"/>
    <w:basedOn w:val="118"/>
    <w:next w:val="76"/>
    <w:qFormat/>
    <w:uiPriority w:val="0"/>
    <w:rPr>
      <w:rFonts w:eastAsia="宋体"/>
    </w:rPr>
  </w:style>
  <w:style w:type="paragraph" w:customStyle="1" w:styleId="187">
    <w:name w:val="标准文件_四级无标题"/>
    <w:basedOn w:val="118"/>
    <w:qFormat/>
    <w:uiPriority w:val="0"/>
    <w:pPr>
      <w:spacing w:before="0" w:beforeLines="0" w:after="0" w:afterLines="0"/>
      <w:outlineLvl w:val="9"/>
    </w:pPr>
    <w:rPr>
      <w:rFonts w:ascii="宋体" w:hAnsi="黑体" w:eastAsia="宋体"/>
      <w:szCs w:val="52"/>
    </w:rPr>
  </w:style>
  <w:style w:type="paragraph" w:customStyle="1" w:styleId="188">
    <w:name w:val="标准文件_大写罗马数字编号列项"/>
    <w:basedOn w:val="76"/>
    <w:qFormat/>
    <w:uiPriority w:val="0"/>
    <w:pPr>
      <w:numPr>
        <w:ilvl w:val="0"/>
        <w:numId w:val="23"/>
      </w:numPr>
      <w:ind w:firstLine="0" w:firstLineChars="0"/>
    </w:pPr>
    <w:rPr>
      <w:rFonts w:ascii="Times New Roman" w:cs="Arial"/>
      <w:szCs w:val="28"/>
    </w:rPr>
  </w:style>
  <w:style w:type="paragraph" w:customStyle="1" w:styleId="189">
    <w:name w:val="标准文件_小写罗马数字编号列项"/>
    <w:basedOn w:val="76"/>
    <w:qFormat/>
    <w:uiPriority w:val="0"/>
    <w:pPr>
      <w:numPr>
        <w:ilvl w:val="0"/>
        <w:numId w:val="24"/>
      </w:numPr>
      <w:ind w:firstLine="0" w:firstLineChars="0"/>
    </w:pPr>
    <w:rPr>
      <w:rFonts w:cs="Arial"/>
      <w:szCs w:val="28"/>
    </w:rPr>
  </w:style>
  <w:style w:type="paragraph" w:customStyle="1" w:styleId="190">
    <w:name w:val="标准文件_附录标题"/>
    <w:basedOn w:val="96"/>
    <w:qFormat/>
    <w:uiPriority w:val="0"/>
    <w:pPr>
      <w:numPr>
        <w:numId w:val="0"/>
      </w:numPr>
      <w:spacing w:after="280"/>
      <w:outlineLvl w:val="9"/>
    </w:pPr>
  </w:style>
  <w:style w:type="paragraph" w:customStyle="1" w:styleId="191">
    <w:name w:val="标准文件_二级项"/>
    <w:qFormat/>
    <w:uiPriority w:val="0"/>
    <w:rPr>
      <w:rFonts w:ascii="宋体" w:hAnsi="Times New Roman" w:eastAsia="宋体" w:cs="Times New Roman"/>
      <w:sz w:val="21"/>
      <w:lang w:val="en-US" w:eastAsia="zh-CN" w:bidi="ar-SA"/>
    </w:rPr>
  </w:style>
  <w:style w:type="paragraph" w:customStyle="1" w:styleId="192">
    <w:name w:val="标准文件_三级项"/>
    <w:basedOn w:val="1"/>
    <w:qFormat/>
    <w:uiPriority w:val="0"/>
    <w:pPr>
      <w:numPr>
        <w:ilvl w:val="2"/>
        <w:numId w:val="21"/>
      </w:numPr>
      <w:spacing w:line="536870612" w:lineRule="auto"/>
    </w:pPr>
    <w:rPr>
      <w:rFonts w:ascii="Times New Roman" w:hAnsi="Times New Roman"/>
    </w:rPr>
  </w:style>
  <w:style w:type="paragraph" w:customStyle="1" w:styleId="193">
    <w:name w:val="图表脚注说明"/>
    <w:basedOn w:val="1"/>
    <w:next w:val="76"/>
    <w:qFormat/>
    <w:uiPriority w:val="0"/>
    <w:pPr>
      <w:numPr>
        <w:ilvl w:val="0"/>
        <w:numId w:val="25"/>
      </w:numPr>
      <w:adjustRightInd/>
      <w:spacing w:line="240" w:lineRule="auto"/>
    </w:pPr>
    <w:rPr>
      <w:rFonts w:ascii="宋体" w:hAnsi="Times New Roman"/>
      <w:sz w:val="18"/>
      <w:szCs w:val="18"/>
    </w:rPr>
  </w:style>
  <w:style w:type="paragraph" w:customStyle="1" w:styleId="19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95">
    <w:name w:val="标准文件_索引字母"/>
    <w:next w:val="76"/>
    <w:qFormat/>
    <w:uiPriority w:val="0"/>
    <w:pPr>
      <w:jc w:val="center"/>
    </w:pPr>
    <w:rPr>
      <w:rFonts w:ascii="宋体" w:hAnsi="宋体" w:eastAsia="Times New Roman" w:cs="Times New Roman"/>
      <w:b/>
      <w:kern w:val="2"/>
      <w:sz w:val="21"/>
      <w:lang w:val="en-US" w:eastAsia="zh-CN" w:bidi="ar-SA"/>
    </w:rPr>
  </w:style>
  <w:style w:type="paragraph" w:customStyle="1" w:styleId="196">
    <w:name w:val="标准文件_附录前"/>
    <w:next w:val="7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9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98">
    <w:name w:val="标准文件_表格"/>
    <w:basedOn w:val="76"/>
    <w:qFormat/>
    <w:uiPriority w:val="0"/>
    <w:pPr>
      <w:ind w:firstLine="0" w:firstLineChars="0"/>
      <w:jc w:val="center"/>
    </w:pPr>
    <w:rPr>
      <w:sz w:val="18"/>
    </w:rPr>
  </w:style>
  <w:style w:type="paragraph" w:customStyle="1" w:styleId="199">
    <w:name w:val="标准文件_注："/>
    <w:next w:val="7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20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201">
    <w:name w:val="标准文件_示例："/>
    <w:next w:val="20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202">
    <w:name w:val="标准文件_示例内容"/>
    <w:basedOn w:val="76"/>
    <w:qFormat/>
    <w:uiPriority w:val="0"/>
    <w:pPr>
      <w:ind w:firstLine="420"/>
    </w:pPr>
    <w:rPr>
      <w:sz w:val="18"/>
    </w:rPr>
  </w:style>
  <w:style w:type="paragraph" w:customStyle="1" w:styleId="203">
    <w:name w:val="标准文件_示例×："/>
    <w:basedOn w:val="1"/>
    <w:next w:val="20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204">
    <w:name w:val="标准文件_段 Char"/>
    <w:link w:val="76"/>
    <w:qFormat/>
    <w:uiPriority w:val="0"/>
    <w:rPr>
      <w:rFonts w:ascii="宋体" w:hAnsi="Times New Roman"/>
      <w:sz w:val="21"/>
    </w:rPr>
  </w:style>
  <w:style w:type="paragraph" w:customStyle="1" w:styleId="205">
    <w:name w:val="标准文件_表格续"/>
    <w:basedOn w:val="76"/>
    <w:next w:val="76"/>
    <w:qFormat/>
    <w:uiPriority w:val="0"/>
    <w:pPr>
      <w:jc w:val="center"/>
    </w:pPr>
    <w:rPr>
      <w:rFonts w:ascii="黑体" w:hAnsi="黑体" w:eastAsia="黑体"/>
    </w:rPr>
  </w:style>
  <w:style w:type="character" w:styleId="206">
    <w:name w:val="Placeholder Text"/>
    <w:basedOn w:val="46"/>
    <w:semiHidden/>
    <w:qFormat/>
    <w:uiPriority w:val="99"/>
    <w:rPr>
      <w:color w:val="808080"/>
    </w:rPr>
  </w:style>
  <w:style w:type="paragraph" w:customStyle="1" w:styleId="207">
    <w:name w:val="标准文件_二级项2"/>
    <w:basedOn w:val="76"/>
    <w:qFormat/>
    <w:uiPriority w:val="0"/>
    <w:pPr>
      <w:numPr>
        <w:ilvl w:val="1"/>
        <w:numId w:val="21"/>
      </w:numPr>
      <w:ind w:firstLine="0" w:firstLineChars="0"/>
    </w:pPr>
  </w:style>
  <w:style w:type="paragraph" w:customStyle="1" w:styleId="208">
    <w:name w:val="标准文件_三级项2"/>
    <w:basedOn w:val="76"/>
    <w:qFormat/>
    <w:uiPriority w:val="0"/>
    <w:pPr>
      <w:numPr>
        <w:ilvl w:val="0"/>
        <w:numId w:val="30"/>
      </w:numPr>
      <w:spacing w:line="300" w:lineRule="exact"/>
      <w:ind w:firstLineChars="0"/>
    </w:pPr>
    <w:rPr>
      <w:rFonts w:ascii="Times New Roman"/>
    </w:rPr>
  </w:style>
  <w:style w:type="paragraph" w:customStyle="1" w:styleId="209">
    <w:name w:val="标准文件_一级项2"/>
    <w:basedOn w:val="76"/>
    <w:qFormat/>
    <w:uiPriority w:val="0"/>
    <w:pPr>
      <w:numPr>
        <w:ilvl w:val="0"/>
        <w:numId w:val="31"/>
      </w:numPr>
      <w:spacing w:line="300" w:lineRule="exact"/>
      <w:ind w:firstLineChars="0"/>
    </w:pPr>
    <w:rPr>
      <w:rFonts w:ascii="Times New Roman"/>
    </w:rPr>
  </w:style>
  <w:style w:type="paragraph" w:customStyle="1" w:styleId="210">
    <w:name w:val="标准文件_提示"/>
    <w:basedOn w:val="76"/>
    <w:next w:val="76"/>
    <w:qFormat/>
    <w:uiPriority w:val="0"/>
    <w:pPr>
      <w:ind w:firstLine="420"/>
    </w:pPr>
    <w:rPr>
      <w:rFonts w:ascii="黑体" w:eastAsia="黑体"/>
    </w:rPr>
  </w:style>
  <w:style w:type="character" w:customStyle="1" w:styleId="211">
    <w:name w:val="标准文件_来源"/>
    <w:basedOn w:val="46"/>
    <w:qFormat/>
    <w:uiPriority w:val="1"/>
    <w:rPr>
      <w:rFonts w:eastAsia="宋体"/>
      <w:sz w:val="21"/>
    </w:rPr>
  </w:style>
  <w:style w:type="paragraph" w:customStyle="1" w:styleId="21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13">
    <w:name w:val="其他发布日期"/>
    <w:basedOn w:val="140"/>
    <w:qFormat/>
    <w:uiPriority w:val="0"/>
    <w:pPr>
      <w:framePr w:w="3997" w:h="471" w:hRule="exact" w:hSpace="0" w:vSpace="181" w:wrap="around" w:vAnchor="page" w:hAnchor="page" w:x="1419" w:y="14097"/>
    </w:pPr>
  </w:style>
  <w:style w:type="paragraph" w:customStyle="1" w:styleId="214">
    <w:name w:val="其他实施日期"/>
    <w:basedOn w:val="174"/>
    <w:qFormat/>
    <w:uiPriority w:val="0"/>
    <w:pPr>
      <w:framePr w:w="3997" w:h="471" w:hRule="exact" w:vSpace="181" w:wrap="around" w:vAnchor="page" w:hAnchor="page" w:x="7089" w:y="14097"/>
    </w:pPr>
  </w:style>
  <w:style w:type="paragraph" w:customStyle="1" w:styleId="215">
    <w:name w:val="标准文件_文件编号"/>
    <w:basedOn w:val="7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16">
    <w:name w:val="标准文件_替换文件编号"/>
    <w:basedOn w:val="215"/>
    <w:qFormat/>
    <w:uiPriority w:val="0"/>
    <w:pPr>
      <w:spacing w:before="57"/>
    </w:pPr>
    <w:rPr>
      <w:sz w:val="21"/>
    </w:rPr>
  </w:style>
  <w:style w:type="paragraph" w:customStyle="1" w:styleId="217">
    <w:name w:val="标准文件_文件名称"/>
    <w:basedOn w:val="76"/>
    <w:next w:val="7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18">
    <w:name w:val="标准文件_附录图标号"/>
    <w:basedOn w:val="76"/>
    <w:next w:val="7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19">
    <w:name w:val="标准文件_附录表标号"/>
    <w:basedOn w:val="76"/>
    <w:next w:val="76"/>
    <w:qFormat/>
    <w:uiPriority w:val="0"/>
    <w:pPr>
      <w:numPr>
        <w:ilvl w:val="0"/>
        <w:numId w:val="5"/>
      </w:numPr>
      <w:spacing w:line="14" w:lineRule="exact"/>
      <w:ind w:firstLine="0" w:firstLineChars="0"/>
      <w:jc w:val="center"/>
    </w:pPr>
    <w:rPr>
      <w:rFonts w:eastAsia="黑体"/>
      <w:vanish/>
      <w:sz w:val="2"/>
    </w:rPr>
  </w:style>
  <w:style w:type="paragraph" w:customStyle="1" w:styleId="220">
    <w:name w:val="标准文件_引言一级条标题"/>
    <w:basedOn w:val="76"/>
    <w:next w:val="76"/>
    <w:qFormat/>
    <w:uiPriority w:val="0"/>
    <w:pPr>
      <w:numPr>
        <w:ilvl w:val="1"/>
        <w:numId w:val="8"/>
      </w:numPr>
      <w:spacing w:before="50" w:beforeLines="50" w:after="50" w:afterLines="50"/>
      <w:ind w:firstLineChars="0"/>
    </w:pPr>
    <w:rPr>
      <w:rFonts w:ascii="黑体" w:eastAsia="黑体"/>
    </w:rPr>
  </w:style>
  <w:style w:type="paragraph" w:customStyle="1" w:styleId="221">
    <w:name w:val="标准文件_引言二级条标题"/>
    <w:basedOn w:val="76"/>
    <w:next w:val="76"/>
    <w:qFormat/>
    <w:uiPriority w:val="0"/>
    <w:pPr>
      <w:numPr>
        <w:ilvl w:val="2"/>
        <w:numId w:val="8"/>
      </w:numPr>
      <w:spacing w:before="50" w:beforeLines="50" w:after="50" w:afterLines="50"/>
      <w:ind w:firstLineChars="0"/>
    </w:pPr>
    <w:rPr>
      <w:rFonts w:ascii="黑体" w:eastAsia="黑体"/>
    </w:rPr>
  </w:style>
  <w:style w:type="paragraph" w:customStyle="1" w:styleId="222">
    <w:name w:val="标准文件_引言三级条标题"/>
    <w:basedOn w:val="76"/>
    <w:next w:val="76"/>
    <w:qFormat/>
    <w:uiPriority w:val="0"/>
    <w:pPr>
      <w:numPr>
        <w:ilvl w:val="3"/>
        <w:numId w:val="8"/>
      </w:numPr>
      <w:spacing w:before="50" w:beforeLines="50" w:after="50" w:afterLines="50"/>
      <w:ind w:firstLineChars="0"/>
    </w:pPr>
    <w:rPr>
      <w:rFonts w:ascii="黑体" w:eastAsia="黑体"/>
    </w:rPr>
  </w:style>
  <w:style w:type="paragraph" w:customStyle="1" w:styleId="223">
    <w:name w:val="标准文件_引言四级条标题"/>
    <w:basedOn w:val="76"/>
    <w:next w:val="76"/>
    <w:qFormat/>
    <w:uiPriority w:val="0"/>
    <w:pPr>
      <w:numPr>
        <w:ilvl w:val="4"/>
        <w:numId w:val="8"/>
      </w:numPr>
      <w:spacing w:before="50" w:beforeLines="50" w:after="50" w:afterLines="50"/>
      <w:ind w:firstLineChars="0"/>
    </w:pPr>
    <w:rPr>
      <w:rFonts w:ascii="黑体" w:eastAsia="黑体"/>
    </w:rPr>
  </w:style>
  <w:style w:type="paragraph" w:customStyle="1" w:styleId="224">
    <w:name w:val="标准文件_引言五级条标题"/>
    <w:basedOn w:val="76"/>
    <w:next w:val="76"/>
    <w:qFormat/>
    <w:uiPriority w:val="0"/>
    <w:pPr>
      <w:numPr>
        <w:ilvl w:val="5"/>
        <w:numId w:val="8"/>
      </w:numPr>
      <w:spacing w:before="50" w:beforeLines="50" w:after="50" w:afterLines="50"/>
      <w:ind w:firstLineChars="0"/>
    </w:pPr>
    <w:rPr>
      <w:rFonts w:ascii="黑体" w:eastAsia="黑体"/>
    </w:rPr>
  </w:style>
  <w:style w:type="paragraph" w:customStyle="1" w:styleId="225">
    <w:name w:val="标准文件_注后"/>
    <w:basedOn w:val="76"/>
    <w:qFormat/>
    <w:uiPriority w:val="0"/>
    <w:pPr>
      <w:ind w:left="811" w:firstLine="0" w:firstLineChars="0"/>
    </w:pPr>
    <w:rPr>
      <w:sz w:val="18"/>
    </w:rPr>
  </w:style>
  <w:style w:type="paragraph" w:customStyle="1" w:styleId="226">
    <w:name w:val="标准文件_注X后"/>
    <w:basedOn w:val="76"/>
    <w:qFormat/>
    <w:uiPriority w:val="0"/>
    <w:pPr>
      <w:ind w:left="811" w:firstLine="0" w:firstLineChars="0"/>
    </w:pPr>
    <w:rPr>
      <w:sz w:val="18"/>
    </w:rPr>
  </w:style>
  <w:style w:type="paragraph" w:customStyle="1" w:styleId="227">
    <w:name w:val="标准文件_示例后"/>
    <w:basedOn w:val="76"/>
    <w:qFormat/>
    <w:uiPriority w:val="0"/>
    <w:pPr>
      <w:ind w:left="964" w:firstLine="0" w:firstLineChars="0"/>
    </w:pPr>
    <w:rPr>
      <w:sz w:val="18"/>
    </w:rPr>
  </w:style>
  <w:style w:type="paragraph" w:customStyle="1" w:styleId="228">
    <w:name w:val="标准文件_示例X后"/>
    <w:basedOn w:val="76"/>
    <w:link w:val="229"/>
    <w:qFormat/>
    <w:uiPriority w:val="0"/>
    <w:pPr>
      <w:ind w:left="1049" w:firstLine="0" w:firstLineChars="0"/>
    </w:pPr>
    <w:rPr>
      <w:sz w:val="18"/>
    </w:rPr>
  </w:style>
  <w:style w:type="character" w:customStyle="1" w:styleId="229">
    <w:name w:val="标准文件_示例X后 字符"/>
    <w:basedOn w:val="204"/>
    <w:link w:val="228"/>
    <w:qFormat/>
    <w:uiPriority w:val="0"/>
    <w:rPr>
      <w:rFonts w:ascii="宋体" w:hAnsi="Times New Roman"/>
      <w:sz w:val="18"/>
    </w:rPr>
  </w:style>
  <w:style w:type="paragraph" w:customStyle="1" w:styleId="230">
    <w:name w:val="标准文件_索引项"/>
    <w:basedOn w:val="76"/>
    <w:next w:val="76"/>
    <w:qFormat/>
    <w:uiPriority w:val="0"/>
    <w:pPr>
      <w:tabs>
        <w:tab w:val="right" w:leader="dot" w:pos="9356"/>
      </w:tabs>
      <w:ind w:left="210" w:hanging="210" w:firstLineChars="0"/>
      <w:jc w:val="left"/>
    </w:pPr>
  </w:style>
  <w:style w:type="paragraph" w:customStyle="1" w:styleId="231">
    <w:name w:val="标准文件_附录一级无标题"/>
    <w:basedOn w:val="98"/>
    <w:qFormat/>
    <w:uiPriority w:val="0"/>
    <w:pPr>
      <w:spacing w:before="0" w:beforeLines="0" w:after="0" w:afterLines="0" w:line="276" w:lineRule="auto"/>
      <w:outlineLvl w:val="9"/>
    </w:pPr>
    <w:rPr>
      <w:rFonts w:ascii="宋体" w:eastAsia="宋体"/>
    </w:rPr>
  </w:style>
  <w:style w:type="paragraph" w:customStyle="1" w:styleId="232">
    <w:name w:val="标准文件_附录二级无标题"/>
    <w:basedOn w:val="99"/>
    <w:qFormat/>
    <w:uiPriority w:val="0"/>
    <w:pPr>
      <w:spacing w:before="0" w:beforeLines="0" w:after="0" w:afterLines="0" w:line="276" w:lineRule="auto"/>
      <w:outlineLvl w:val="9"/>
    </w:pPr>
    <w:rPr>
      <w:rFonts w:ascii="宋体" w:eastAsia="宋体"/>
    </w:rPr>
  </w:style>
  <w:style w:type="paragraph" w:customStyle="1" w:styleId="233">
    <w:name w:val="标准文件_附录三级无标题"/>
    <w:basedOn w:val="101"/>
    <w:qFormat/>
    <w:uiPriority w:val="0"/>
    <w:pPr>
      <w:spacing w:before="0" w:beforeLines="0" w:after="0" w:afterLines="0" w:line="276" w:lineRule="auto"/>
      <w:outlineLvl w:val="9"/>
    </w:pPr>
    <w:rPr>
      <w:rFonts w:ascii="宋体" w:eastAsia="宋体"/>
    </w:rPr>
  </w:style>
  <w:style w:type="paragraph" w:customStyle="1" w:styleId="234">
    <w:name w:val="标准文件_附录四级无标题"/>
    <w:basedOn w:val="102"/>
    <w:qFormat/>
    <w:uiPriority w:val="0"/>
    <w:pPr>
      <w:spacing w:before="0" w:beforeLines="0" w:after="0" w:afterLines="0" w:line="276" w:lineRule="auto"/>
      <w:outlineLvl w:val="9"/>
    </w:pPr>
    <w:rPr>
      <w:rFonts w:ascii="宋体" w:eastAsia="宋体"/>
    </w:rPr>
  </w:style>
  <w:style w:type="paragraph" w:customStyle="1" w:styleId="235">
    <w:name w:val="标准文件_附录五级无标题"/>
    <w:basedOn w:val="104"/>
    <w:qFormat/>
    <w:uiPriority w:val="0"/>
    <w:pPr>
      <w:spacing w:before="0" w:beforeLines="0" w:after="0" w:afterLines="0" w:line="276" w:lineRule="auto"/>
      <w:outlineLvl w:val="9"/>
    </w:pPr>
    <w:rPr>
      <w:rFonts w:ascii="宋体" w:eastAsia="宋体"/>
    </w:rPr>
  </w:style>
  <w:style w:type="paragraph" w:customStyle="1" w:styleId="236">
    <w:name w:val="标准文件_引言一级无标题"/>
    <w:basedOn w:val="220"/>
    <w:next w:val="76"/>
    <w:qFormat/>
    <w:uiPriority w:val="0"/>
    <w:pPr>
      <w:spacing w:before="0" w:beforeLines="0" w:after="0" w:afterLines="0" w:line="276" w:lineRule="auto"/>
    </w:pPr>
    <w:rPr>
      <w:rFonts w:ascii="宋体" w:eastAsia="宋体"/>
    </w:rPr>
  </w:style>
  <w:style w:type="paragraph" w:customStyle="1" w:styleId="237">
    <w:name w:val="标准文件_引言二级无标题"/>
    <w:basedOn w:val="221"/>
    <w:next w:val="76"/>
    <w:qFormat/>
    <w:uiPriority w:val="0"/>
    <w:pPr>
      <w:spacing w:before="0" w:beforeLines="0" w:after="0" w:afterLines="0" w:line="276" w:lineRule="auto"/>
    </w:pPr>
    <w:rPr>
      <w:rFonts w:ascii="宋体" w:eastAsia="宋体"/>
    </w:rPr>
  </w:style>
  <w:style w:type="paragraph" w:customStyle="1" w:styleId="238">
    <w:name w:val="标准文件_引言三级无标题"/>
    <w:basedOn w:val="222"/>
    <w:qFormat/>
    <w:uiPriority w:val="0"/>
    <w:pPr>
      <w:spacing w:before="0" w:beforeLines="0" w:after="0" w:afterLines="0" w:line="276" w:lineRule="auto"/>
    </w:pPr>
    <w:rPr>
      <w:rFonts w:ascii="宋体" w:eastAsia="宋体"/>
    </w:rPr>
  </w:style>
  <w:style w:type="paragraph" w:customStyle="1" w:styleId="239">
    <w:name w:val="标准文件_引言四级无标题"/>
    <w:basedOn w:val="223"/>
    <w:next w:val="76"/>
    <w:qFormat/>
    <w:uiPriority w:val="0"/>
    <w:pPr>
      <w:spacing w:before="0" w:beforeLines="0" w:after="0" w:afterLines="0" w:line="276" w:lineRule="auto"/>
    </w:pPr>
    <w:rPr>
      <w:rFonts w:ascii="宋体" w:eastAsia="宋体"/>
    </w:rPr>
  </w:style>
  <w:style w:type="paragraph" w:customStyle="1" w:styleId="240">
    <w:name w:val="标准文件_引言五级无标题"/>
    <w:basedOn w:val="224"/>
    <w:next w:val="76"/>
    <w:qFormat/>
    <w:uiPriority w:val="0"/>
    <w:pPr>
      <w:spacing w:before="0" w:beforeLines="0" w:after="0" w:afterLines="0" w:line="276" w:lineRule="auto"/>
    </w:pPr>
    <w:rPr>
      <w:rFonts w:ascii="宋体" w:eastAsia="宋体"/>
    </w:rPr>
  </w:style>
  <w:style w:type="paragraph" w:customStyle="1" w:styleId="241">
    <w:name w:val="标准文件_索引标题"/>
    <w:basedOn w:val="83"/>
    <w:next w:val="76"/>
    <w:qFormat/>
    <w:uiPriority w:val="0"/>
    <w:rPr>
      <w:rFonts w:hAnsi="黑体"/>
    </w:rPr>
  </w:style>
  <w:style w:type="paragraph" w:customStyle="1" w:styleId="242">
    <w:name w:val="标准文件_脚注内容"/>
    <w:basedOn w:val="76"/>
    <w:qFormat/>
    <w:uiPriority w:val="0"/>
    <w:pPr>
      <w:ind w:left="400" w:leftChars="200" w:hanging="200" w:hangingChars="200"/>
    </w:pPr>
    <w:rPr>
      <w:sz w:val="15"/>
    </w:rPr>
  </w:style>
  <w:style w:type="paragraph" w:customStyle="1" w:styleId="243">
    <w:name w:val="标准文件_术语条一"/>
    <w:basedOn w:val="182"/>
    <w:next w:val="76"/>
    <w:qFormat/>
    <w:uiPriority w:val="0"/>
  </w:style>
  <w:style w:type="paragraph" w:customStyle="1" w:styleId="244">
    <w:name w:val="标准文件_术语条二"/>
    <w:basedOn w:val="185"/>
    <w:next w:val="76"/>
    <w:qFormat/>
    <w:uiPriority w:val="0"/>
  </w:style>
  <w:style w:type="paragraph" w:customStyle="1" w:styleId="245">
    <w:name w:val="标准文件_术语条三"/>
    <w:basedOn w:val="184"/>
    <w:next w:val="76"/>
    <w:qFormat/>
    <w:uiPriority w:val="0"/>
  </w:style>
  <w:style w:type="paragraph" w:customStyle="1" w:styleId="246">
    <w:name w:val="标准文件_术语条四"/>
    <w:basedOn w:val="187"/>
    <w:next w:val="76"/>
    <w:qFormat/>
    <w:uiPriority w:val="0"/>
  </w:style>
  <w:style w:type="paragraph" w:customStyle="1" w:styleId="247">
    <w:name w:val="标准文件_术语条五"/>
    <w:basedOn w:val="183"/>
    <w:next w:val="76"/>
    <w:qFormat/>
    <w:uiPriority w:val="0"/>
  </w:style>
  <w:style w:type="paragraph" w:customStyle="1" w:styleId="24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49">
    <w:name w:val="发布"/>
    <w:basedOn w:val="46"/>
    <w:qFormat/>
    <w:uiPriority w:val="0"/>
    <w:rPr>
      <w:rFonts w:ascii="黑体" w:eastAsia="黑体"/>
      <w:spacing w:val="85"/>
      <w:w w:val="100"/>
      <w:position w:val="3"/>
      <w:sz w:val="28"/>
      <w:szCs w:val="28"/>
    </w:rPr>
  </w:style>
  <w:style w:type="character" w:customStyle="1" w:styleId="250">
    <w:name w:val="正文文本缩进 字符"/>
    <w:basedOn w:val="46"/>
    <w:link w:val="2"/>
    <w:qFormat/>
    <w:uiPriority w:val="0"/>
    <w:rPr>
      <w:rFonts w:ascii="Times New Roman" w:hAnsi="Times New Roman"/>
      <w:kern w:val="2"/>
      <w:sz w:val="21"/>
      <w:szCs w:val="24"/>
    </w:rPr>
  </w:style>
  <w:style w:type="character" w:customStyle="1" w:styleId="251">
    <w:name w:val="文档结构图 字符"/>
    <w:basedOn w:val="46"/>
    <w:link w:val="17"/>
    <w:semiHidden/>
    <w:qFormat/>
    <w:uiPriority w:val="0"/>
    <w:rPr>
      <w:rFonts w:ascii="Times New Roman" w:hAnsi="Times New Roman"/>
      <w:kern w:val="2"/>
      <w:sz w:val="21"/>
      <w:szCs w:val="24"/>
      <w:shd w:val="clear" w:color="auto" w:fill="000080"/>
    </w:rPr>
  </w:style>
  <w:style w:type="character" w:customStyle="1" w:styleId="252">
    <w:name w:val="正文首行缩进 2 字符"/>
    <w:basedOn w:val="250"/>
    <w:link w:val="20"/>
    <w:qFormat/>
    <w:uiPriority w:val="0"/>
    <w:rPr>
      <w:rFonts w:ascii="Times New Roman" w:hAnsi="Times New Roman"/>
      <w:kern w:val="2"/>
      <w:sz w:val="21"/>
      <w:szCs w:val="24"/>
    </w:rPr>
  </w:style>
  <w:style w:type="character" w:customStyle="1" w:styleId="253">
    <w:name w:val="尾注文本 字符"/>
    <w:basedOn w:val="46"/>
    <w:link w:val="26"/>
    <w:semiHidden/>
    <w:qFormat/>
    <w:uiPriority w:val="0"/>
    <w:rPr>
      <w:rFonts w:ascii="Times New Roman" w:hAnsi="Times New Roman"/>
      <w:kern w:val="2"/>
      <w:sz w:val="21"/>
      <w:szCs w:val="24"/>
    </w:rPr>
  </w:style>
  <w:style w:type="paragraph" w:customStyle="1" w:styleId="254">
    <w:name w:val="段"/>
    <w:link w:val="255"/>
    <w:qFormat/>
    <w:uiPriority w:val="0"/>
    <w:pPr>
      <w:tabs>
        <w:tab w:val="center" w:pos="4201"/>
        <w:tab w:val="right" w:leader="dot" w:pos="9298"/>
      </w:tabs>
      <w:autoSpaceDE w:val="0"/>
      <w:autoSpaceDN w:val="0"/>
      <w:ind w:firstLine="420" w:firstLineChars="200"/>
      <w:jc w:val="both"/>
    </w:pPr>
    <w:rPr>
      <w:rFonts w:ascii="Times New Roman" w:hAnsi="Times New Roman" w:eastAsia="宋体" w:cs="Times New Roman"/>
      <w:sz w:val="21"/>
      <w:lang w:val="en-US" w:eastAsia="zh-CN" w:bidi="ar-SA"/>
    </w:rPr>
  </w:style>
  <w:style w:type="character" w:customStyle="1" w:styleId="255">
    <w:name w:val="段 Char"/>
    <w:basedOn w:val="46"/>
    <w:link w:val="254"/>
    <w:qFormat/>
    <w:uiPriority w:val="0"/>
    <w:rPr>
      <w:rFonts w:ascii="Times New Roman" w:hAnsi="Times New Roman"/>
      <w:sz w:val="21"/>
    </w:rPr>
  </w:style>
  <w:style w:type="paragraph" w:customStyle="1" w:styleId="256">
    <w:name w:val="一级条标题"/>
    <w:next w:val="254"/>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5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5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59">
    <w:name w:val="章标题"/>
    <w:next w:val="254"/>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二级条标题"/>
    <w:basedOn w:val="256"/>
    <w:next w:val="254"/>
    <w:qFormat/>
    <w:uiPriority w:val="0"/>
    <w:pPr>
      <w:numPr>
        <w:ilvl w:val="2"/>
      </w:numPr>
      <w:spacing w:before="50" w:after="50"/>
      <w:outlineLvl w:val="3"/>
    </w:pPr>
  </w:style>
  <w:style w:type="paragraph" w:customStyle="1" w:styleId="26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62">
    <w:name w:val="列项——（一级）"/>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263">
    <w:name w:val="列项●（二级）"/>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64">
    <w:name w:val="目次、标准名称标题"/>
    <w:basedOn w:val="1"/>
    <w:next w:val="254"/>
    <w:qFormat/>
    <w:uiPriority w:val="0"/>
    <w:pPr>
      <w:keepNext/>
      <w:pageBreakBefore/>
      <w:widowControl/>
      <w:shd w:val="clear" w:color="FFFFFF" w:fill="FFFFFF"/>
      <w:adjustRightInd/>
      <w:spacing w:before="640" w:after="560" w:line="460" w:lineRule="exact"/>
      <w:ind w:firstLine="420" w:firstLineChars="200"/>
      <w:jc w:val="center"/>
      <w:outlineLvl w:val="0"/>
    </w:pPr>
    <w:rPr>
      <w:rFonts w:ascii="黑体" w:hAnsi="Times New Roman" w:eastAsia="黑体"/>
      <w:kern w:val="0"/>
      <w:sz w:val="32"/>
      <w:szCs w:val="20"/>
    </w:rPr>
  </w:style>
  <w:style w:type="paragraph" w:customStyle="1" w:styleId="265">
    <w:name w:val="三级条标题"/>
    <w:basedOn w:val="260"/>
    <w:next w:val="254"/>
    <w:link w:val="337"/>
    <w:qFormat/>
    <w:uiPriority w:val="0"/>
    <w:pPr>
      <w:numPr>
        <w:ilvl w:val="3"/>
      </w:numPr>
      <w:outlineLvl w:val="4"/>
    </w:pPr>
  </w:style>
  <w:style w:type="paragraph" w:customStyle="1" w:styleId="266">
    <w:name w:val="示例"/>
    <w:next w:val="267"/>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267">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268">
    <w:name w:val="数字编号列项（二级）"/>
    <w:qFormat/>
    <w:uiPriority w:val="0"/>
    <w:pPr>
      <w:tabs>
        <w:tab w:val="left" w:pos="1260"/>
      </w:tabs>
      <w:ind w:left="1259" w:hanging="419"/>
      <w:jc w:val="both"/>
    </w:pPr>
    <w:rPr>
      <w:rFonts w:ascii="宋体" w:hAnsi="Times New Roman" w:eastAsia="宋体" w:cs="Times New Roman"/>
      <w:sz w:val="21"/>
      <w:lang w:val="en-US" w:eastAsia="zh-CN" w:bidi="ar-SA"/>
    </w:rPr>
  </w:style>
  <w:style w:type="paragraph" w:customStyle="1" w:styleId="269">
    <w:name w:val="四级条标题"/>
    <w:basedOn w:val="265"/>
    <w:next w:val="254"/>
    <w:qFormat/>
    <w:uiPriority w:val="0"/>
    <w:pPr>
      <w:numPr>
        <w:ilvl w:val="4"/>
      </w:numPr>
      <w:tabs>
        <w:tab w:val="left" w:pos="2570"/>
      </w:tabs>
      <w:ind w:left="2570" w:hanging="420"/>
      <w:outlineLvl w:val="5"/>
    </w:pPr>
  </w:style>
  <w:style w:type="paragraph" w:customStyle="1" w:styleId="270">
    <w:name w:val="五级条标题"/>
    <w:basedOn w:val="269"/>
    <w:next w:val="254"/>
    <w:qFormat/>
    <w:uiPriority w:val="0"/>
    <w:pPr>
      <w:numPr>
        <w:ilvl w:val="5"/>
      </w:numPr>
      <w:tabs>
        <w:tab w:val="left" w:pos="2990"/>
      </w:tabs>
      <w:ind w:left="2990" w:hanging="420"/>
      <w:outlineLvl w:val="6"/>
    </w:pPr>
  </w:style>
  <w:style w:type="paragraph" w:customStyle="1" w:styleId="271">
    <w:name w:val="注："/>
    <w:next w:val="254"/>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72">
    <w:name w:val="注×："/>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273">
    <w:name w:val="字母编号列项（一级）"/>
    <w:qFormat/>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274">
    <w:name w:val="列项◆（三级）"/>
    <w:basedOn w:val="1"/>
    <w:qFormat/>
    <w:uiPriority w:val="0"/>
    <w:pPr>
      <w:tabs>
        <w:tab w:val="left" w:pos="1678"/>
      </w:tabs>
      <w:adjustRightInd/>
      <w:spacing w:line="240" w:lineRule="auto"/>
      <w:ind w:left="1678" w:hanging="414" w:firstLineChars="200"/>
    </w:pPr>
    <w:rPr>
      <w:rFonts w:ascii="宋体" w:hAnsi="Times New Roman"/>
    </w:rPr>
  </w:style>
  <w:style w:type="paragraph" w:customStyle="1" w:styleId="275">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276">
    <w:name w:val="示例×："/>
    <w:basedOn w:val="259"/>
    <w:qFormat/>
    <w:uiPriority w:val="0"/>
    <w:pPr>
      <w:numPr>
        <w:numId w:val="0"/>
      </w:numPr>
      <w:spacing w:before="0" w:beforeLines="0" w:after="0" w:afterLines="0"/>
      <w:ind w:firstLine="363"/>
      <w:outlineLvl w:val="9"/>
    </w:pPr>
    <w:rPr>
      <w:rFonts w:ascii="宋体" w:eastAsia="宋体"/>
      <w:sz w:val="18"/>
      <w:szCs w:val="18"/>
    </w:rPr>
  </w:style>
  <w:style w:type="paragraph" w:customStyle="1" w:styleId="277">
    <w:name w:val="二级无"/>
    <w:basedOn w:val="260"/>
    <w:qFormat/>
    <w:uiPriority w:val="0"/>
    <w:pPr>
      <w:spacing w:before="0" w:beforeLines="0" w:after="0" w:afterLines="0"/>
    </w:pPr>
    <w:rPr>
      <w:rFonts w:ascii="宋体" w:eastAsia="宋体"/>
    </w:rPr>
  </w:style>
  <w:style w:type="paragraph" w:customStyle="1" w:styleId="278">
    <w:name w:val="注：（正文）"/>
    <w:basedOn w:val="271"/>
    <w:next w:val="254"/>
    <w:qFormat/>
    <w:uiPriority w:val="0"/>
  </w:style>
  <w:style w:type="paragraph" w:customStyle="1" w:styleId="279">
    <w:name w:val="注×：（正文）"/>
    <w:qFormat/>
    <w:uiPriority w:val="0"/>
    <w:pPr>
      <w:numPr>
        <w:ilvl w:val="0"/>
        <w:numId w:val="33"/>
      </w:numPr>
      <w:jc w:val="both"/>
    </w:pPr>
    <w:rPr>
      <w:rFonts w:ascii="宋体" w:hAnsi="Times New Roman" w:eastAsia="宋体" w:cs="Times New Roman"/>
      <w:sz w:val="18"/>
      <w:szCs w:val="18"/>
      <w:lang w:val="en-US" w:eastAsia="zh-CN" w:bidi="ar-SA"/>
    </w:rPr>
  </w:style>
  <w:style w:type="paragraph" w:customStyle="1" w:styleId="280">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281">
    <w:name w:val="标准书眉_偶数页"/>
    <w:basedOn w:val="258"/>
    <w:next w:val="1"/>
    <w:qFormat/>
    <w:uiPriority w:val="0"/>
    <w:pPr>
      <w:jc w:val="left"/>
    </w:pPr>
  </w:style>
  <w:style w:type="paragraph" w:customStyle="1" w:styleId="282">
    <w:name w:val="参考文献"/>
    <w:basedOn w:val="1"/>
    <w:next w:val="254"/>
    <w:qFormat/>
    <w:uiPriority w:val="0"/>
    <w:pPr>
      <w:keepNext/>
      <w:pageBreakBefore/>
      <w:widowControl/>
      <w:shd w:val="clear" w:color="FFFFFF" w:fill="FFFFFF"/>
      <w:adjustRightInd/>
      <w:spacing w:before="640" w:after="200" w:line="240" w:lineRule="auto"/>
      <w:ind w:firstLine="420" w:firstLineChars="200"/>
      <w:jc w:val="center"/>
      <w:outlineLvl w:val="0"/>
    </w:pPr>
    <w:rPr>
      <w:rFonts w:ascii="黑体" w:hAnsi="Times New Roman" w:eastAsia="黑体"/>
      <w:kern w:val="0"/>
      <w:szCs w:val="20"/>
    </w:rPr>
  </w:style>
  <w:style w:type="paragraph" w:customStyle="1" w:styleId="283">
    <w:name w:val="参考文献、索引标题"/>
    <w:basedOn w:val="1"/>
    <w:next w:val="254"/>
    <w:qFormat/>
    <w:uiPriority w:val="0"/>
    <w:pPr>
      <w:keepNext/>
      <w:pageBreakBefore/>
      <w:widowControl/>
      <w:shd w:val="clear" w:color="FFFFFF" w:fill="FFFFFF"/>
      <w:adjustRightInd/>
      <w:spacing w:before="640" w:after="200" w:line="240" w:lineRule="auto"/>
      <w:ind w:firstLine="420" w:firstLineChars="200"/>
      <w:jc w:val="center"/>
      <w:outlineLvl w:val="0"/>
    </w:pPr>
    <w:rPr>
      <w:rFonts w:ascii="黑体" w:hAnsi="Times New Roman" w:eastAsia="黑体"/>
      <w:kern w:val="0"/>
      <w:szCs w:val="20"/>
    </w:rPr>
  </w:style>
  <w:style w:type="paragraph" w:customStyle="1" w:styleId="28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85">
    <w:name w:val="附录标识"/>
    <w:basedOn w:val="1"/>
    <w:next w:val="254"/>
    <w:qFormat/>
    <w:uiPriority w:val="0"/>
    <w:pPr>
      <w:keepNext/>
      <w:widowControl/>
      <w:shd w:val="clear" w:color="FFFFFF" w:fill="FFFFFF"/>
      <w:tabs>
        <w:tab w:val="left" w:pos="360"/>
        <w:tab w:val="left" w:pos="6405"/>
      </w:tabs>
      <w:adjustRightInd/>
      <w:spacing w:before="640" w:after="280" w:line="240" w:lineRule="auto"/>
      <w:ind w:firstLine="200" w:firstLineChars="200"/>
      <w:jc w:val="center"/>
      <w:outlineLvl w:val="0"/>
    </w:pPr>
    <w:rPr>
      <w:rFonts w:ascii="黑体" w:hAnsi="Times New Roman" w:eastAsia="黑体"/>
      <w:kern w:val="0"/>
      <w:szCs w:val="20"/>
    </w:rPr>
  </w:style>
  <w:style w:type="paragraph" w:customStyle="1" w:styleId="286">
    <w:name w:val="附录标题"/>
    <w:basedOn w:val="254"/>
    <w:next w:val="254"/>
    <w:qFormat/>
    <w:uiPriority w:val="0"/>
    <w:pPr>
      <w:ind w:firstLine="0" w:firstLineChars="0"/>
      <w:jc w:val="center"/>
    </w:pPr>
    <w:rPr>
      <w:rFonts w:ascii="黑体" w:eastAsia="黑体"/>
    </w:rPr>
  </w:style>
  <w:style w:type="paragraph" w:customStyle="1" w:styleId="287">
    <w:name w:val="附录表标号"/>
    <w:basedOn w:val="1"/>
    <w:next w:val="254"/>
    <w:qFormat/>
    <w:uiPriority w:val="0"/>
    <w:pPr>
      <w:numPr>
        <w:ilvl w:val="0"/>
        <w:numId w:val="34"/>
      </w:numPr>
      <w:tabs>
        <w:tab w:val="clear" w:pos="0"/>
      </w:tabs>
      <w:adjustRightInd/>
      <w:spacing w:line="14" w:lineRule="exact"/>
      <w:ind w:left="811" w:hanging="448" w:firstLineChars="200"/>
      <w:jc w:val="center"/>
      <w:outlineLvl w:val="0"/>
    </w:pPr>
    <w:rPr>
      <w:rFonts w:ascii="Times New Roman" w:hAnsi="Times New Roman"/>
      <w:color w:val="FFFFFF"/>
      <w:szCs w:val="24"/>
    </w:rPr>
  </w:style>
  <w:style w:type="paragraph" w:customStyle="1" w:styleId="288">
    <w:name w:val="附录表标题"/>
    <w:basedOn w:val="1"/>
    <w:next w:val="254"/>
    <w:qFormat/>
    <w:uiPriority w:val="0"/>
    <w:pPr>
      <w:numPr>
        <w:ilvl w:val="1"/>
        <w:numId w:val="34"/>
      </w:numPr>
      <w:tabs>
        <w:tab w:val="left" w:pos="180"/>
      </w:tabs>
      <w:adjustRightInd/>
      <w:spacing w:before="50" w:beforeLines="50" w:after="50" w:afterLines="50" w:line="240" w:lineRule="auto"/>
      <w:ind w:left="0" w:firstLine="0" w:firstLineChars="200"/>
      <w:jc w:val="center"/>
    </w:pPr>
    <w:rPr>
      <w:rFonts w:ascii="黑体" w:hAnsi="Times New Roman" w:eastAsia="黑体"/>
    </w:rPr>
  </w:style>
  <w:style w:type="paragraph" w:customStyle="1" w:styleId="289">
    <w:name w:val="附录二级条标题"/>
    <w:basedOn w:val="1"/>
    <w:next w:val="254"/>
    <w:qFormat/>
    <w:uiPriority w:val="0"/>
    <w:pPr>
      <w:widowControl/>
      <w:tabs>
        <w:tab w:val="left" w:pos="360"/>
      </w:tabs>
      <w:wordWrap w:val="0"/>
      <w:overflowPunct w:val="0"/>
      <w:autoSpaceDE w:val="0"/>
      <w:autoSpaceDN w:val="0"/>
      <w:adjustRightInd/>
      <w:spacing w:before="50" w:beforeLines="50" w:after="50" w:afterLines="50" w:line="240" w:lineRule="auto"/>
      <w:ind w:firstLine="200" w:firstLineChars="200"/>
      <w:textAlignment w:val="baseline"/>
      <w:outlineLvl w:val="3"/>
    </w:pPr>
    <w:rPr>
      <w:rFonts w:ascii="黑体" w:hAnsi="Times New Roman" w:eastAsia="黑体"/>
      <w:kern w:val="21"/>
      <w:szCs w:val="20"/>
    </w:rPr>
  </w:style>
  <w:style w:type="paragraph" w:customStyle="1" w:styleId="290">
    <w:name w:val="附录二级无"/>
    <w:basedOn w:val="289"/>
    <w:qFormat/>
    <w:uiPriority w:val="0"/>
    <w:pPr>
      <w:tabs>
        <w:tab w:val="clear" w:pos="360"/>
      </w:tabs>
      <w:spacing w:before="0" w:beforeLines="0" w:after="0" w:afterLines="0"/>
    </w:pPr>
    <w:rPr>
      <w:rFonts w:ascii="宋体" w:eastAsia="宋体"/>
      <w:szCs w:val="21"/>
    </w:rPr>
  </w:style>
  <w:style w:type="paragraph" w:customStyle="1" w:styleId="291">
    <w:name w:val="附录公式"/>
    <w:basedOn w:val="254"/>
    <w:next w:val="254"/>
    <w:link w:val="292"/>
    <w:qFormat/>
    <w:uiPriority w:val="0"/>
  </w:style>
  <w:style w:type="character" w:customStyle="1" w:styleId="292">
    <w:name w:val="附录公式 Char"/>
    <w:basedOn w:val="255"/>
    <w:link w:val="291"/>
    <w:qFormat/>
    <w:uiPriority w:val="0"/>
    <w:rPr>
      <w:rFonts w:ascii="Times New Roman" w:hAnsi="Times New Roman"/>
      <w:sz w:val="21"/>
    </w:rPr>
  </w:style>
  <w:style w:type="paragraph" w:customStyle="1" w:styleId="293">
    <w:name w:val="附录公式编号制表符"/>
    <w:basedOn w:val="1"/>
    <w:next w:val="254"/>
    <w:qFormat/>
    <w:uiPriority w:val="0"/>
    <w:pPr>
      <w:widowControl/>
      <w:tabs>
        <w:tab w:val="center" w:pos="4201"/>
        <w:tab w:val="right" w:leader="dot" w:pos="9298"/>
      </w:tabs>
      <w:autoSpaceDE w:val="0"/>
      <w:autoSpaceDN w:val="0"/>
      <w:adjustRightInd/>
      <w:spacing w:line="240" w:lineRule="auto"/>
      <w:ind w:firstLine="420" w:firstLineChars="200"/>
    </w:pPr>
    <w:rPr>
      <w:rFonts w:ascii="宋体" w:hAnsi="Times New Roman"/>
      <w:kern w:val="0"/>
      <w:szCs w:val="20"/>
    </w:rPr>
  </w:style>
  <w:style w:type="paragraph" w:customStyle="1" w:styleId="294">
    <w:name w:val="附录三级条标题"/>
    <w:basedOn w:val="289"/>
    <w:next w:val="254"/>
    <w:qFormat/>
    <w:uiPriority w:val="0"/>
    <w:pPr>
      <w:outlineLvl w:val="4"/>
    </w:pPr>
  </w:style>
  <w:style w:type="paragraph" w:customStyle="1" w:styleId="295">
    <w:name w:val="附录三级无"/>
    <w:basedOn w:val="294"/>
    <w:qFormat/>
    <w:uiPriority w:val="0"/>
    <w:pPr>
      <w:tabs>
        <w:tab w:val="clear" w:pos="360"/>
      </w:tabs>
      <w:spacing w:before="0" w:beforeLines="0" w:after="0" w:afterLines="0"/>
    </w:pPr>
    <w:rPr>
      <w:rFonts w:ascii="宋体" w:eastAsia="宋体"/>
      <w:szCs w:val="21"/>
    </w:rPr>
  </w:style>
  <w:style w:type="paragraph" w:customStyle="1" w:styleId="296">
    <w:name w:val="附录数字编号列项（二级）"/>
    <w:qFormat/>
    <w:uiPriority w:val="0"/>
    <w:pPr>
      <w:numPr>
        <w:ilvl w:val="1"/>
        <w:numId w:val="35"/>
      </w:numPr>
    </w:pPr>
    <w:rPr>
      <w:rFonts w:ascii="宋体" w:hAnsi="Times New Roman" w:eastAsia="宋体" w:cs="Times New Roman"/>
      <w:sz w:val="21"/>
      <w:lang w:val="en-US" w:eastAsia="zh-CN" w:bidi="ar-SA"/>
    </w:rPr>
  </w:style>
  <w:style w:type="paragraph" w:customStyle="1" w:styleId="297">
    <w:name w:val="附录四级条标题"/>
    <w:basedOn w:val="294"/>
    <w:next w:val="254"/>
    <w:qFormat/>
    <w:uiPriority w:val="0"/>
    <w:pPr>
      <w:outlineLvl w:val="5"/>
    </w:pPr>
  </w:style>
  <w:style w:type="paragraph" w:customStyle="1" w:styleId="298">
    <w:name w:val="附录四级无"/>
    <w:basedOn w:val="297"/>
    <w:qFormat/>
    <w:uiPriority w:val="0"/>
    <w:pPr>
      <w:tabs>
        <w:tab w:val="clear" w:pos="360"/>
      </w:tabs>
      <w:spacing w:before="0" w:beforeLines="0" w:after="0" w:afterLines="0"/>
    </w:pPr>
    <w:rPr>
      <w:rFonts w:ascii="宋体" w:eastAsia="宋体"/>
      <w:szCs w:val="21"/>
    </w:rPr>
  </w:style>
  <w:style w:type="paragraph" w:customStyle="1" w:styleId="299">
    <w:name w:val="附录图标号"/>
    <w:basedOn w:val="1"/>
    <w:qFormat/>
    <w:uiPriority w:val="0"/>
    <w:pPr>
      <w:keepNext/>
      <w:pageBreakBefore/>
      <w:widowControl/>
      <w:numPr>
        <w:ilvl w:val="0"/>
        <w:numId w:val="36"/>
      </w:numPr>
      <w:adjustRightInd/>
      <w:spacing w:line="14" w:lineRule="exact"/>
      <w:ind w:left="0" w:firstLine="363" w:firstLineChars="200"/>
      <w:jc w:val="center"/>
      <w:outlineLvl w:val="0"/>
    </w:pPr>
    <w:rPr>
      <w:rFonts w:ascii="Times New Roman" w:hAnsi="Times New Roman"/>
      <w:color w:val="FFFFFF"/>
      <w:szCs w:val="24"/>
    </w:rPr>
  </w:style>
  <w:style w:type="paragraph" w:customStyle="1" w:styleId="300">
    <w:name w:val="附录图标题"/>
    <w:basedOn w:val="1"/>
    <w:next w:val="254"/>
    <w:qFormat/>
    <w:uiPriority w:val="0"/>
    <w:pPr>
      <w:numPr>
        <w:ilvl w:val="1"/>
        <w:numId w:val="36"/>
      </w:numPr>
      <w:tabs>
        <w:tab w:val="left" w:pos="363"/>
      </w:tabs>
      <w:adjustRightInd/>
      <w:spacing w:before="50" w:beforeLines="50" w:after="50" w:afterLines="50" w:line="240" w:lineRule="auto"/>
      <w:ind w:left="0" w:firstLine="0" w:firstLineChars="200"/>
      <w:jc w:val="center"/>
    </w:pPr>
    <w:rPr>
      <w:rFonts w:ascii="黑体" w:hAnsi="Times New Roman" w:eastAsia="黑体"/>
    </w:rPr>
  </w:style>
  <w:style w:type="paragraph" w:customStyle="1" w:styleId="301">
    <w:name w:val="附录五级条标题"/>
    <w:basedOn w:val="297"/>
    <w:next w:val="254"/>
    <w:qFormat/>
    <w:uiPriority w:val="0"/>
    <w:pPr>
      <w:outlineLvl w:val="6"/>
    </w:pPr>
  </w:style>
  <w:style w:type="paragraph" w:customStyle="1" w:styleId="302">
    <w:name w:val="附录五级无"/>
    <w:basedOn w:val="301"/>
    <w:qFormat/>
    <w:uiPriority w:val="0"/>
    <w:pPr>
      <w:tabs>
        <w:tab w:val="clear" w:pos="360"/>
      </w:tabs>
      <w:spacing w:before="0" w:beforeLines="0" w:after="0" w:afterLines="0"/>
    </w:pPr>
    <w:rPr>
      <w:rFonts w:ascii="宋体" w:eastAsia="宋体"/>
      <w:szCs w:val="21"/>
    </w:rPr>
  </w:style>
  <w:style w:type="paragraph" w:customStyle="1" w:styleId="303">
    <w:name w:val="附录章标题"/>
    <w:next w:val="254"/>
    <w:qFormat/>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304">
    <w:name w:val="附录一级条标题"/>
    <w:basedOn w:val="303"/>
    <w:next w:val="254"/>
    <w:qFormat/>
    <w:uiPriority w:val="0"/>
    <w:pPr>
      <w:autoSpaceDN w:val="0"/>
      <w:spacing w:before="50" w:beforeLines="50" w:after="50" w:afterLines="50"/>
      <w:outlineLvl w:val="2"/>
    </w:pPr>
  </w:style>
  <w:style w:type="paragraph" w:customStyle="1" w:styleId="305">
    <w:name w:val="附录一级无"/>
    <w:basedOn w:val="304"/>
    <w:qFormat/>
    <w:uiPriority w:val="0"/>
    <w:pPr>
      <w:tabs>
        <w:tab w:val="clear" w:pos="360"/>
      </w:tabs>
      <w:spacing w:before="0" w:beforeLines="0" w:after="0" w:afterLines="0"/>
    </w:pPr>
    <w:rPr>
      <w:rFonts w:ascii="宋体" w:eastAsia="宋体"/>
      <w:szCs w:val="21"/>
    </w:rPr>
  </w:style>
  <w:style w:type="paragraph" w:customStyle="1" w:styleId="306">
    <w:name w:val="附录字母编号列项（一级）"/>
    <w:qFormat/>
    <w:uiPriority w:val="0"/>
    <w:pPr>
      <w:numPr>
        <w:ilvl w:val="0"/>
        <w:numId w:val="35"/>
      </w:numPr>
    </w:pPr>
    <w:rPr>
      <w:rFonts w:ascii="宋体" w:hAnsi="Times New Roman" w:eastAsia="宋体" w:cs="Times New Roman"/>
      <w:sz w:val="21"/>
      <w:lang w:val="en-US" w:eastAsia="zh-CN" w:bidi="ar-SA"/>
    </w:rPr>
  </w:style>
  <w:style w:type="paragraph" w:customStyle="1" w:styleId="307">
    <w:name w:val="列项说明"/>
    <w:basedOn w:val="1"/>
    <w:qFormat/>
    <w:uiPriority w:val="0"/>
    <w:pPr>
      <w:spacing w:line="320" w:lineRule="exact"/>
      <w:ind w:left="400" w:leftChars="200" w:hanging="200" w:hangingChars="200"/>
      <w:jc w:val="left"/>
      <w:textAlignment w:val="baseline"/>
    </w:pPr>
    <w:rPr>
      <w:rFonts w:ascii="宋体" w:hAnsi="Times New Roman"/>
      <w:kern w:val="0"/>
      <w:szCs w:val="20"/>
    </w:rPr>
  </w:style>
  <w:style w:type="paragraph" w:customStyle="1" w:styleId="308">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309">
    <w:name w:val="其他标准标志"/>
    <w:basedOn w:val="69"/>
    <w:qFormat/>
    <w:uiPriority w:val="0"/>
    <w:pPr>
      <w:framePr w:w="6101" w:h="1389" w:hRule="exact" w:hSpace="181" w:vSpace="181" w:wrap="around" w:vAnchor="page" w:hAnchor="page" w:x="4673" w:y="942"/>
    </w:pPr>
    <w:rPr>
      <w:szCs w:val="96"/>
    </w:rPr>
  </w:style>
  <w:style w:type="paragraph" w:customStyle="1" w:styleId="310">
    <w:name w:val="前言、引言标题"/>
    <w:next w:val="25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11">
    <w:name w:val="三级无"/>
    <w:basedOn w:val="265"/>
    <w:qFormat/>
    <w:uiPriority w:val="0"/>
    <w:pPr>
      <w:spacing w:before="0" w:beforeLines="0" w:after="0" w:afterLines="0"/>
    </w:pPr>
    <w:rPr>
      <w:rFonts w:ascii="宋体" w:eastAsia="宋体"/>
    </w:rPr>
  </w:style>
  <w:style w:type="paragraph" w:customStyle="1" w:styleId="312">
    <w:name w:val="示例后文字"/>
    <w:basedOn w:val="254"/>
    <w:next w:val="254"/>
    <w:qFormat/>
    <w:uiPriority w:val="0"/>
    <w:pPr>
      <w:ind w:firstLine="360"/>
    </w:pPr>
    <w:rPr>
      <w:sz w:val="18"/>
    </w:rPr>
  </w:style>
  <w:style w:type="paragraph" w:customStyle="1" w:styleId="313">
    <w:name w:val="首示例"/>
    <w:next w:val="254"/>
    <w:link w:val="314"/>
    <w:qFormat/>
    <w:uiPriority w:val="0"/>
    <w:pPr>
      <w:numPr>
        <w:ilvl w:val="0"/>
        <w:numId w:val="37"/>
      </w:numPr>
      <w:tabs>
        <w:tab w:val="left" w:pos="360"/>
      </w:tabs>
      <w:ind w:firstLine="0"/>
    </w:pPr>
    <w:rPr>
      <w:rFonts w:ascii="宋体" w:hAnsi="宋体" w:eastAsia="宋体" w:cs="Times New Roman"/>
      <w:kern w:val="2"/>
      <w:sz w:val="18"/>
      <w:szCs w:val="18"/>
      <w:lang w:val="en-US" w:eastAsia="zh-CN" w:bidi="ar-SA"/>
    </w:rPr>
  </w:style>
  <w:style w:type="character" w:customStyle="1" w:styleId="314">
    <w:name w:val="首示例 Char"/>
    <w:basedOn w:val="46"/>
    <w:link w:val="313"/>
    <w:qFormat/>
    <w:uiPriority w:val="0"/>
    <w:rPr>
      <w:rFonts w:ascii="宋体" w:hAnsi="宋体"/>
      <w:kern w:val="2"/>
      <w:sz w:val="18"/>
      <w:szCs w:val="18"/>
    </w:rPr>
  </w:style>
  <w:style w:type="paragraph" w:customStyle="1" w:styleId="315">
    <w:name w:val="四级无"/>
    <w:basedOn w:val="269"/>
    <w:qFormat/>
    <w:uiPriority w:val="0"/>
    <w:pPr>
      <w:spacing w:before="0" w:beforeLines="0" w:after="0" w:afterLines="0"/>
    </w:pPr>
    <w:rPr>
      <w:rFonts w:ascii="宋体" w:eastAsia="宋体"/>
    </w:rPr>
  </w:style>
  <w:style w:type="paragraph" w:customStyle="1" w:styleId="316">
    <w:name w:val="条文脚注"/>
    <w:basedOn w:val="34"/>
    <w:qFormat/>
    <w:uiPriority w:val="0"/>
    <w:pPr>
      <w:spacing w:line="240" w:lineRule="auto"/>
      <w:ind w:left="0" w:leftChars="0" w:firstLine="0" w:firstLineChars="0"/>
      <w:jc w:val="both"/>
    </w:pPr>
    <w:rPr>
      <w:rFonts w:hAnsi="Times New Roman"/>
    </w:rPr>
  </w:style>
  <w:style w:type="paragraph" w:customStyle="1" w:styleId="317">
    <w:name w:val="图标脚注说明"/>
    <w:basedOn w:val="254"/>
    <w:qFormat/>
    <w:uiPriority w:val="0"/>
    <w:pPr>
      <w:ind w:left="840" w:hanging="420" w:firstLineChars="0"/>
    </w:pPr>
    <w:rPr>
      <w:sz w:val="18"/>
      <w:szCs w:val="18"/>
    </w:rPr>
  </w:style>
  <w:style w:type="paragraph" w:customStyle="1" w:styleId="318">
    <w:name w:val="图的脚注"/>
    <w:next w:val="25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319">
    <w:name w:val="五级无"/>
    <w:basedOn w:val="270"/>
    <w:qFormat/>
    <w:uiPriority w:val="0"/>
    <w:pPr>
      <w:spacing w:before="0" w:beforeLines="0" w:after="0" w:afterLines="0"/>
    </w:pPr>
    <w:rPr>
      <w:rFonts w:ascii="宋体" w:eastAsia="宋体"/>
    </w:rPr>
  </w:style>
  <w:style w:type="paragraph" w:customStyle="1" w:styleId="320">
    <w:name w:val="一级无"/>
    <w:basedOn w:val="256"/>
    <w:qFormat/>
    <w:uiPriority w:val="0"/>
    <w:pPr>
      <w:spacing w:before="0" w:beforeLines="0" w:after="0" w:afterLines="0"/>
    </w:pPr>
    <w:rPr>
      <w:rFonts w:ascii="宋体" w:eastAsia="宋体"/>
    </w:rPr>
  </w:style>
  <w:style w:type="paragraph" w:customStyle="1" w:styleId="321">
    <w:name w:val="正文表标题"/>
    <w:next w:val="254"/>
    <w:qFormat/>
    <w:uiPriority w:val="0"/>
    <w:p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322">
    <w:name w:val="正文公式编号制表符"/>
    <w:basedOn w:val="254"/>
    <w:next w:val="254"/>
    <w:qFormat/>
    <w:uiPriority w:val="0"/>
    <w:pPr>
      <w:ind w:firstLine="0" w:firstLineChars="0"/>
    </w:pPr>
  </w:style>
  <w:style w:type="paragraph" w:customStyle="1" w:styleId="323">
    <w:name w:val="正文图标题"/>
    <w:next w:val="254"/>
    <w:qFormat/>
    <w:uiPriority w:val="0"/>
    <w:p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324">
    <w:name w:val="终结线"/>
    <w:basedOn w:val="1"/>
    <w:qFormat/>
    <w:uiPriority w:val="0"/>
    <w:pPr>
      <w:framePr w:hSpace="181" w:vSpace="181" w:wrap="around" w:vAnchor="text" w:hAnchor="margin" w:xAlign="center" w:y="285"/>
      <w:adjustRightInd/>
      <w:spacing w:line="240" w:lineRule="auto"/>
      <w:ind w:firstLine="420" w:firstLineChars="200"/>
    </w:pPr>
    <w:rPr>
      <w:rFonts w:ascii="Times New Roman" w:hAnsi="Times New Roman"/>
      <w:szCs w:val="24"/>
    </w:rPr>
  </w:style>
  <w:style w:type="paragraph" w:customStyle="1" w:styleId="325">
    <w:name w:val="封面标准名称2"/>
    <w:basedOn w:val="142"/>
    <w:qFormat/>
    <w:uiPriority w:val="0"/>
    <w:pPr>
      <w:framePr w:w="9639" w:wrap="around" w:vAnchor="page" w:hAnchor="page" w:y="4469"/>
      <w:spacing w:before="630" w:beforeLines="630"/>
    </w:pPr>
  </w:style>
  <w:style w:type="paragraph" w:customStyle="1" w:styleId="326">
    <w:name w:val="封面标准英文名称2"/>
    <w:basedOn w:val="145"/>
    <w:qFormat/>
    <w:uiPriority w:val="0"/>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327">
    <w:name w:val="封面一致性程度标识2"/>
    <w:basedOn w:val="146"/>
    <w:qFormat/>
    <w:uiPriority w:val="0"/>
    <w:pPr>
      <w:framePr w:w="9639" w:h="6917" w:hRule="exact" w:wrap="around" w:vAnchor="page" w:hAnchor="page" w:xAlign="center" w:y="4469" w:anchorLock="1"/>
      <w:widowControl w:val="0"/>
      <w:spacing w:line="400" w:lineRule="exact"/>
      <w:textAlignment w:val="center"/>
    </w:pPr>
    <w:rPr>
      <w:rFonts w:ascii="宋体"/>
      <w:szCs w:val="28"/>
    </w:rPr>
  </w:style>
  <w:style w:type="paragraph" w:customStyle="1" w:styleId="328">
    <w:name w:val="封面标准文稿类别2"/>
    <w:basedOn w:val="144"/>
    <w:qFormat/>
    <w:uiPriority w:val="0"/>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329">
    <w:name w:val="封面标准文稿编辑信息2"/>
    <w:basedOn w:val="143"/>
    <w:qFormat/>
    <w:uiPriority w:val="0"/>
    <w:pPr>
      <w:framePr w:w="9639" w:h="6917" w:hRule="exact" w:wrap="around" w:vAnchor="page" w:hAnchor="page" w:xAlign="center" w:y="4469" w:anchorLock="1"/>
      <w:widowControl w:val="0"/>
      <w:spacing w:after="160"/>
      <w:textAlignment w:val="center"/>
    </w:pPr>
    <w:rPr>
      <w:szCs w:val="28"/>
    </w:rPr>
  </w:style>
  <w:style w:type="paragraph" w:customStyle="1" w:styleId="330">
    <w:name w:val="Body text|1"/>
    <w:basedOn w:val="1"/>
    <w:qFormat/>
    <w:uiPriority w:val="0"/>
    <w:pPr>
      <w:adjustRightInd/>
      <w:spacing w:line="360" w:lineRule="auto"/>
      <w:ind w:firstLine="420" w:firstLineChars="200"/>
    </w:pPr>
    <w:rPr>
      <w:rFonts w:ascii="宋体" w:hAnsi="宋体" w:cs="宋体"/>
      <w:sz w:val="20"/>
      <w:szCs w:val="20"/>
      <w:lang w:val="zh-TW" w:eastAsia="zh-TW" w:bidi="zh-TW"/>
    </w:rPr>
  </w:style>
  <w:style w:type="paragraph" w:customStyle="1" w:styleId="331">
    <w:name w:val="Body text|2"/>
    <w:basedOn w:val="1"/>
    <w:qFormat/>
    <w:uiPriority w:val="0"/>
    <w:pPr>
      <w:adjustRightInd/>
      <w:spacing w:after="400" w:line="240" w:lineRule="auto"/>
      <w:ind w:right="180" w:firstLine="420" w:firstLineChars="200"/>
    </w:pPr>
    <w:rPr>
      <w:rFonts w:ascii="Times New Roman" w:hAnsi="Times New Roman"/>
      <w:sz w:val="20"/>
      <w:szCs w:val="20"/>
    </w:rPr>
  </w:style>
  <w:style w:type="table" w:customStyle="1" w:styleId="332">
    <w:name w:val="网格型23111"/>
    <w:basedOn w:val="44"/>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网格型15111"/>
    <w:basedOn w:val="44"/>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网格型24111"/>
    <w:basedOn w:val="44"/>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网格型251112"/>
    <w:basedOn w:val="44"/>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Other|1"/>
    <w:basedOn w:val="1"/>
    <w:qFormat/>
    <w:uiPriority w:val="0"/>
    <w:pPr>
      <w:adjustRightInd/>
      <w:spacing w:line="360" w:lineRule="auto"/>
      <w:ind w:firstLine="420" w:firstLineChars="200"/>
    </w:pPr>
    <w:rPr>
      <w:rFonts w:ascii="宋体" w:hAnsi="宋体" w:cs="宋体"/>
      <w:sz w:val="20"/>
      <w:szCs w:val="20"/>
    </w:rPr>
  </w:style>
  <w:style w:type="character" w:customStyle="1" w:styleId="337">
    <w:name w:val="三级条标题 Char"/>
    <w:link w:val="265"/>
    <w:qFormat/>
    <w:uiPriority w:val="0"/>
    <w:rPr>
      <w:rFonts w:ascii="黑体" w:hAnsi="Times New Roman" w:eastAsia="黑体"/>
      <w:sz w:val="21"/>
      <w:szCs w:val="21"/>
    </w:rPr>
  </w:style>
  <w:style w:type="paragraph" w:customStyle="1" w:styleId="338">
    <w:name w:val="WPSOffice手动目录 1"/>
    <w:qFormat/>
    <w:uiPriority w:val="0"/>
    <w:rPr>
      <w:rFonts w:ascii="Times New Roman" w:hAnsi="Times New Roman" w:eastAsia="宋体" w:cs="Times New Roman"/>
      <w:lang w:val="en-US" w:eastAsia="zh-CN" w:bidi="ar-SA"/>
    </w:rPr>
  </w:style>
  <w:style w:type="paragraph" w:customStyle="1" w:styleId="33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40">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95F987A42504EF08FFD5F2BAB414492"/>
        <w:style w:val=""/>
        <w:category>
          <w:name w:val="常规"/>
          <w:gallery w:val="placeholder"/>
        </w:category>
        <w:types>
          <w:type w:val="bbPlcHdr"/>
        </w:types>
        <w:behaviors>
          <w:behavior w:val="content"/>
        </w:behaviors>
        <w:description w:val=""/>
        <w:guid w:val="{6B303F86-EFED-4834-992B-AC06E70D1ED6}"/>
      </w:docPartPr>
      <w:docPartBody>
        <w:p>
          <w:pPr>
            <w:pStyle w:val="5"/>
          </w:pPr>
          <w:r>
            <w:rPr>
              <w:rStyle w:val="4"/>
              <w:rFonts w:hint="eastAsia"/>
            </w:rPr>
            <w:t>单击或点击此处输入文字。</w:t>
          </w:r>
        </w:p>
      </w:docPartBody>
    </w:docPart>
    <w:docPart>
      <w:docPartPr>
        <w:name w:val="0ECA480BCE7A4F598670692CC7733CD6"/>
        <w:style w:val=""/>
        <w:category>
          <w:name w:val="常规"/>
          <w:gallery w:val="placeholder"/>
        </w:category>
        <w:types>
          <w:type w:val="bbPlcHdr"/>
        </w:types>
        <w:behaviors>
          <w:behavior w:val="content"/>
        </w:behaviors>
        <w:description w:val=""/>
        <w:guid w:val="{815643B6-2FD9-4238-A708-9B0DAA76BBBE}"/>
      </w:docPartPr>
      <w:docPartBody>
        <w:p>
          <w:pPr>
            <w:pStyle w:val="6"/>
          </w:pPr>
          <w:r>
            <w:rPr>
              <w:rStyle w:val="4"/>
              <w:rFonts w:hint="eastAsia"/>
            </w:rPr>
            <w:t>选择一项。</w:t>
          </w:r>
        </w:p>
      </w:docPartBody>
    </w:docPart>
    <w:docPart>
      <w:docPartPr>
        <w:name w:val="1120B96DF0864FF6B4A568E6A06E0C0E"/>
        <w:style w:val=""/>
        <w:category>
          <w:name w:val="常规"/>
          <w:gallery w:val="placeholder"/>
        </w:category>
        <w:types>
          <w:type w:val="bbPlcHdr"/>
        </w:types>
        <w:behaviors>
          <w:behavior w:val="content"/>
        </w:behaviors>
        <w:description w:val=""/>
        <w:guid w:val="{7C8C9270-5BB5-4A47-921F-93142BD291FE}"/>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918"/>
    <w:rsid w:val="00090AFF"/>
    <w:rsid w:val="000D779F"/>
    <w:rsid w:val="001E51F7"/>
    <w:rsid w:val="0030242D"/>
    <w:rsid w:val="0042229F"/>
    <w:rsid w:val="00602918"/>
    <w:rsid w:val="00612169"/>
    <w:rsid w:val="006E1D17"/>
    <w:rsid w:val="00705092"/>
    <w:rsid w:val="009A1A7F"/>
    <w:rsid w:val="00A36B2C"/>
    <w:rsid w:val="00A6279E"/>
    <w:rsid w:val="00AB640C"/>
    <w:rsid w:val="00BB1E77"/>
    <w:rsid w:val="00D25E9A"/>
    <w:rsid w:val="00D722F4"/>
    <w:rsid w:val="00D91D2B"/>
    <w:rsid w:val="00E4778E"/>
    <w:rsid w:val="00E54A18"/>
    <w:rsid w:val="00F02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95F987A42504EF08FFD5F2BAB41449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0ECA480BCE7A4F598670692CC7733CD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1120B96DF0864FF6B4A568E6A06E0C0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AE677E-025F-476C-A501-8E79A8EECBE2}">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20</Pages>
  <Words>8092</Words>
  <Characters>9363</Characters>
  <Lines>96</Lines>
  <Paragraphs>27</Paragraphs>
  <TotalTime>1</TotalTime>
  <ScaleCrop>false</ScaleCrop>
  <LinksUpToDate>false</LinksUpToDate>
  <CharactersWithSpaces>10698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2023-08-09T03:44:00Z</dcterms:created>
  <dc:creator>吴乐</dc:creator>
  <dc:description>&lt;config cover="true" show_menu="true" version="1.0.0" doctype="SDKXY"&gt;_x000d_
&lt;/config&gt;</dc:description>
  <cp:lastModifiedBy>酱酱酱_</cp:lastModifiedBy>
  <cp:lastPrinted>2023-11-05T11:39:00Z</cp:lastPrinted>
  <dcterms:modified xsi:type="dcterms:W3CDTF">2023-11-13T03:16:38Z</dcterms:modified>
  <dc:title>地方标准</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3CE80D60E5634F19B9925361F1B12B81</vt:lpwstr>
  </property>
</Properties>
</file>