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outlineLvl w:val="9"/>
        <w:rPr>
          <w:rFonts w:hint="eastAsia" w:ascii="方正小标宋简体" w:hAnsi="Times New Roman" w:eastAsia="方正小标宋简体" w:cs="Times New Roman"/>
          <w:sz w:val="48"/>
          <w:szCs w:val="48"/>
        </w:rPr>
      </w:pPr>
      <w:r>
        <w:rPr>
          <w:rFonts w:hint="eastAsia" w:ascii="方正小标宋简体" w:hAnsi="Times New Roman" w:eastAsia="方正小标宋简体" w:cs="Times New Roman"/>
          <w:sz w:val="48"/>
          <w:szCs w:val="48"/>
        </w:rPr>
        <w:t>《</w:t>
      </w:r>
      <w:r>
        <w:rPr>
          <w:rFonts w:hint="eastAsia" w:ascii="方正小标宋简体" w:hAnsi="Times New Roman" w:eastAsia="方正小标宋简体" w:cs="Times New Roman"/>
          <w:sz w:val="48"/>
          <w:szCs w:val="48"/>
          <w:lang w:val="en-US" w:eastAsia="zh-CN"/>
        </w:rPr>
        <w:t>包头地区森林</w:t>
      </w:r>
      <w:r>
        <w:rPr>
          <w:rFonts w:hint="eastAsia" w:ascii="方正小标宋简体" w:hAnsi="Times New Roman" w:eastAsia="方正小标宋简体" w:cs="Times New Roman"/>
          <w:sz w:val="48"/>
          <w:szCs w:val="48"/>
        </w:rPr>
        <w:t>碳汇</w:t>
      </w:r>
      <w:r>
        <w:rPr>
          <w:rFonts w:hint="eastAsia" w:ascii="方正小标宋简体" w:hAnsi="Times New Roman" w:eastAsia="方正小标宋简体" w:cs="Times New Roman"/>
          <w:sz w:val="48"/>
          <w:szCs w:val="48"/>
          <w:lang w:val="en-US" w:eastAsia="zh-CN"/>
        </w:rPr>
        <w:t>调查与</w:t>
      </w:r>
      <w:r>
        <w:rPr>
          <w:rFonts w:hint="eastAsia" w:ascii="方正小标宋简体" w:hAnsi="Times New Roman" w:eastAsia="方正小标宋简体" w:cs="Times New Roman"/>
          <w:sz w:val="48"/>
          <w:szCs w:val="48"/>
        </w:rPr>
        <w:t>监测技术规程》</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960" w:firstLineChars="200"/>
        <w:jc w:val="center"/>
        <w:textAlignment w:val="auto"/>
        <w:outlineLvl w:val="9"/>
        <w:rPr>
          <w:rFonts w:hint="eastAsia" w:ascii="方正小标宋简体" w:hAnsi="Times New Roman" w:eastAsia="方正小标宋简体" w:cs="Times New Roman"/>
          <w:sz w:val="48"/>
          <w:szCs w:val="48"/>
        </w:rPr>
      </w:pPr>
      <w:r>
        <w:rPr>
          <w:rFonts w:hint="eastAsia" w:ascii="方正小标宋简体" w:hAnsi="Times New Roman" w:eastAsia="方正小标宋简体" w:cs="Times New Roman"/>
          <w:sz w:val="48"/>
          <w:szCs w:val="48"/>
        </w:rPr>
        <w:t>编制说明</w:t>
      </w:r>
    </w:p>
    <w:p>
      <w:pPr>
        <w:pageBreakBefore w:val="0"/>
        <w:widowControl/>
        <w:kinsoku/>
        <w:wordWrap/>
        <w:overflowPunct/>
        <w:topLinePunct w:val="0"/>
        <w:bidi w:val="0"/>
        <w:spacing w:line="578" w:lineRule="exact"/>
        <w:ind w:firstLine="0" w:firstLineChars="0"/>
        <w:jc w:val="center"/>
        <w:textAlignment w:val="auto"/>
        <w:outlineLvl w:val="9"/>
        <w:rPr>
          <w:rFonts w:hint="eastAsia" w:ascii="仿宋_GB2312" w:hAnsi="仿宋_GB2312" w:eastAsia="仿宋_GB2312" w:cs="仿宋_GB2312"/>
          <w:b/>
          <w:kern w:val="0"/>
          <w:sz w:val="32"/>
          <w:szCs w:val="32"/>
        </w:rPr>
      </w:pP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一、工作简况</w:t>
      </w:r>
    </w:p>
    <w:p>
      <w:pPr>
        <w:pageBreakBefore w:val="0"/>
        <w:kinsoku/>
        <w:wordWrap/>
        <w:overflowPunct/>
        <w:topLinePunct w:val="0"/>
        <w:autoSpaceDE/>
        <w:autoSpaceDN/>
        <w:bidi w:val="0"/>
        <w:adjustRightInd/>
        <w:snapToGrid/>
        <w:spacing w:line="578" w:lineRule="exact"/>
        <w:ind w:left="0" w:leftChars="0"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bookmarkStart w:id="0" w:name="_Toc5179"/>
      <w:r>
        <w:rPr>
          <w:rFonts w:hint="eastAsia" w:ascii="Times New Roman" w:hAnsi="Times New Roman" w:eastAsia="楷体_GB2312" w:cs="Times New Roman"/>
          <w:b/>
          <w:bCs/>
          <w:kern w:val="2"/>
          <w:sz w:val="32"/>
          <w:szCs w:val="32"/>
          <w:lang w:val="en-US" w:eastAsia="zh-CN" w:bidi="ar-SA"/>
        </w:rPr>
        <w:t>（一）</w:t>
      </w:r>
      <w:bookmarkEnd w:id="0"/>
      <w:r>
        <w:rPr>
          <w:rFonts w:hint="eastAsia" w:ascii="Times New Roman" w:hAnsi="Times New Roman" w:eastAsia="楷体_GB2312" w:cs="Times New Roman"/>
          <w:b/>
          <w:bCs/>
          <w:kern w:val="2"/>
          <w:sz w:val="32"/>
          <w:szCs w:val="32"/>
          <w:lang w:val="en-US" w:eastAsia="zh-CN" w:bidi="ar-SA"/>
        </w:rPr>
        <w:t>立项情况。</w:t>
      </w:r>
      <w:r>
        <w:rPr>
          <w:rFonts w:hint="eastAsia" w:ascii="仿宋_GB2312" w:hAnsi="仿宋_GB2312" w:eastAsia="仿宋_GB2312" w:cs="仿宋_GB2312"/>
          <w:b w:val="0"/>
          <w:bCs w:val="0"/>
          <w:kern w:val="2"/>
          <w:sz w:val="32"/>
          <w:szCs w:val="32"/>
          <w:lang w:val="en-US" w:eastAsia="zh-CN" w:bidi="ar-SA"/>
        </w:rPr>
        <w:t>2023年7月，根据《包头市市场监督管理局关于下达包头市地方标准制修订项目计划的通知》，《包头地区森林碳汇调查与监测技术规程》（以下简称《技术规程》）已列入2023年第三批包头市地方标准制修订项目。</w:t>
      </w:r>
      <w:bookmarkStart w:id="1" w:name="_Toc1911"/>
    </w:p>
    <w:p>
      <w:pPr>
        <w:pageBreakBefore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（二）提出单位</w:t>
      </w:r>
      <w:bookmarkEnd w:id="1"/>
      <w:r>
        <w:rPr>
          <w:rFonts w:hint="eastAsia" w:ascii="Times New Roman" w:hAnsi="Times New Roman" w:eastAsia="楷体_GB2312" w:cs="Times New Roman"/>
          <w:b/>
          <w:bCs/>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《技术规程》由包头市林业和草原局提出。</w:t>
      </w:r>
    </w:p>
    <w:p>
      <w:pPr>
        <w:pageBreakBefore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bookmarkStart w:id="2" w:name="_Toc5436"/>
      <w:r>
        <w:rPr>
          <w:rFonts w:hint="eastAsia" w:ascii="Times New Roman" w:hAnsi="Times New Roman" w:eastAsia="楷体_GB2312" w:cs="Times New Roman"/>
          <w:b/>
          <w:bCs/>
          <w:kern w:val="2"/>
          <w:sz w:val="32"/>
          <w:szCs w:val="32"/>
          <w:lang w:val="en-US" w:eastAsia="zh-CN" w:bidi="ar-SA"/>
        </w:rPr>
        <w:t>（三）归口单位</w:t>
      </w:r>
      <w:bookmarkEnd w:id="2"/>
      <w:r>
        <w:rPr>
          <w:rFonts w:hint="eastAsia" w:ascii="Times New Roman" w:hAnsi="Times New Roman" w:eastAsia="楷体_GB2312" w:cs="Times New Roman"/>
          <w:b/>
          <w:bCs/>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《技术规程》由包头市林业和草原局归口。</w:t>
      </w:r>
    </w:p>
    <w:p>
      <w:pPr>
        <w:pageBreakBefore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bookmarkStart w:id="3" w:name="_Toc31601"/>
      <w:r>
        <w:rPr>
          <w:rFonts w:hint="eastAsia" w:ascii="Times New Roman" w:hAnsi="Times New Roman" w:eastAsia="楷体_GB2312" w:cs="Times New Roman"/>
          <w:b/>
          <w:bCs/>
          <w:kern w:val="2"/>
          <w:sz w:val="32"/>
          <w:szCs w:val="32"/>
          <w:lang w:val="en-US" w:eastAsia="zh-CN" w:bidi="ar-SA"/>
        </w:rPr>
        <w:t>（四）起草单位</w:t>
      </w:r>
      <w:bookmarkEnd w:id="3"/>
      <w:r>
        <w:rPr>
          <w:rFonts w:hint="eastAsia" w:ascii="Times New Roman" w:hAnsi="Times New Roman" w:eastAsia="楷体_GB2312" w:cs="Times New Roman"/>
          <w:b/>
          <w:bCs/>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《技术规程》的起草单位包括包头市林业和草原工作站、内蒙古农业大学林学院、包头市林业和草原灾害防控中心、</w:t>
      </w:r>
      <w:bookmarkStart w:id="5" w:name="_GoBack"/>
      <w:bookmarkEnd w:id="5"/>
      <w:r>
        <w:rPr>
          <w:rFonts w:hint="eastAsia" w:ascii="仿宋_GB2312" w:hAnsi="仿宋_GB2312" w:eastAsia="仿宋_GB2312" w:cs="仿宋_GB2312"/>
          <w:b w:val="0"/>
          <w:bCs w:val="0"/>
          <w:kern w:val="2"/>
          <w:sz w:val="32"/>
          <w:szCs w:val="32"/>
          <w:lang w:val="en-US" w:eastAsia="zh-CN" w:bidi="ar-SA"/>
        </w:rPr>
        <w:t>包头市检验检测中心。</w:t>
      </w:r>
    </w:p>
    <w:p>
      <w:pPr>
        <w:pStyle w:val="9"/>
        <w:pageBreakBefore w:val="0"/>
        <w:kinsoku/>
        <w:wordWrap/>
        <w:overflowPunct/>
        <w:topLinePunct w:val="0"/>
        <w:bidi w:val="0"/>
        <w:spacing w:line="578" w:lineRule="exact"/>
        <w:ind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bookmarkStart w:id="4" w:name="_Toc2161"/>
      <w:r>
        <w:rPr>
          <w:rFonts w:hint="eastAsia" w:ascii="仿宋_GB2312" w:hAnsi="仿宋_GB2312" w:eastAsia="仿宋_GB2312" w:cs="仿宋_GB2312"/>
          <w:b/>
          <w:bCs/>
          <w:kern w:val="2"/>
          <w:sz w:val="32"/>
          <w:szCs w:val="32"/>
          <w:lang w:val="en-US" w:eastAsia="zh-CN" w:bidi="ar-SA"/>
        </w:rPr>
        <w:t>（五）起草人</w:t>
      </w:r>
      <w:bookmarkEnd w:id="4"/>
      <w:r>
        <w:rPr>
          <w:rFonts w:hint="eastAsia"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《技术规程》的起草人包括高润红、贾彩霞、翁靖韬、韩淑敏、杨文静、郭永莉、刘文剑、李茂森、张文英、吕广霞、谢金君、郭华、张瑞、吕整荣、姚瑶、冯小东、丁志军、焦智斌、闫靖、朱学友。</w:t>
      </w:r>
    </w:p>
    <w:p>
      <w:pPr>
        <w:bidi w:val="0"/>
        <w:rPr>
          <w:rFonts w:hint="eastAsia"/>
          <w:lang w:val="en-US" w:eastAsia="zh-CN"/>
        </w:rPr>
      </w:pP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0" w:firstLineChars="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ab/>
      </w:r>
      <w:r>
        <w:rPr>
          <w:rFonts w:hint="eastAsia" w:ascii="黑体" w:hAnsi="黑体" w:eastAsia="黑体" w:cs="黑体"/>
          <w:b w:val="0"/>
          <w:bCs/>
          <w:smallCaps w:val="0"/>
          <w:kern w:val="44"/>
          <w:sz w:val="32"/>
          <w:szCs w:val="32"/>
          <w:lang w:val="en-US" w:eastAsia="zh-CN"/>
        </w:rPr>
        <w:t>二、制定标准的目的和意义</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为认真贯彻落实《中共中央 国务院关于完整准确全面贯彻新发展理念做好碳达峰碳中和工作意见》（中发〔2021〕号）、《国务院关于印发2030年前碳达峰行动方案的》通知（国发〔2021〕23号），全面提升森林草原湿地等自然生态系统碳汇能力，科学计算森林生态系统碳储量、固碳能力、碳汇潜力，探索完善生态产品价值实现机制，努力推动我市林草碳汇高质量发展，助推实现碳达峰碳中和目标，编写了《包头地区森林碳汇调查与监测技术规程》。</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三、编制过程</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2021年3月，包头市率先在全国提出并启动建设碳达峰碳中和林草碳汇（包头）试验区，重点开展林草碳汇计量监测等工作，建立22个林草碳汇发展片区，提升林草碳汇能力。2021年6月，市林草局与内蒙古农业大学等单位相关专业技术人员组成标准起草小组，着手查阅国内外相关技术资料；2021年7月，小组对包头市林草资源进行调研摸底，采集草原灌木、草本及土样。2022年，在全市布设森林草原湿地碳汇监测样地300个，采用光合法采集乔木样地数据，同时对草原植物进行调查，采集灌木、草本及土样，完成样本实验室处理，并对实验结果进行验证，并结合国家标准及相关单位、专家意见形成标准草案。2022年11月，包头市入选“2022年度林业碳汇试点市”，进一步明确推进林草碳汇计量监测体系建设是一项重要任务，进一步确定编制森林草原湿地碳汇相关地方标准18项。2023年，起草小组多次召开会议研究、深入实地采集样本，完成实验分析验证后，经起草小组讨论修改形成标准征求意见稿。</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四、制定标准的原则和依据，与现行法律、法规、标准的关系</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文件的制定严格遵循“科学性、实用性、可操作性”的原则，在文字表述中遵守《中华人民共和国标准化法》，根据《中华人民共和国标准化工作导则》相关规范要求，依据《森林土壤有机质的测定及碳氮比的计算》、《森林土壤调査技术规程》、《造林项目碳汇计量监测指南》、《主要树种龄级与龄组划分》、《森林生态系统碳储量计量指南》和《林业碳汇计量监测技术规程》的调查、监测方法标准，结合现有的研究基础，完成了征求意见稿的编制工作。同时本文件内容符合现行法律、法规。</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五、主要条款的说明，主要技术指标、参数、试验验证的论述</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按照 GB/T1.1-2020 给出的规则，本文件主要内容有前言、范围、规范性引用文件、术语与定义、监测对象、监测方法、监测结果和附录。在第 3 章“术语和定义”中，为便于理解，根据已有技术标准、文献中相关名词的定义，对本规程中所涉及的森林碳汇、森林碳库、森林碳储量、森林含碳率、样地、样方、森林碳汇调查、森林碳汇监测等主要名词术语进行了解释。</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在第 4 章“监测对象”中，参考现有的相关标准、指南等，规定了监测对象为包头地区不同立地条件的森林与灌丛。具体从土地利用类型可以划分为乔木林、灌木林和其他林地；同一处森林从龄级划分为同龄林，异龄林；单一树种森林划分为幼龄林，近熟林和成熟林等；起源划分有人工林和天然林，部分地方存在天然与人工的混合林；立地条件划分为坡向、海拔、微地形、土壤种类等类型。</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在第 5 章“监测方法”中规定了野外标准样地选择、样地设置、样地调查、样地监测、生物量法碳储量测定、遥感监测、呼吸光合法监测等。</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5.1 样地选择</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应选择能充分代表所调查地区植被状况的样地，避免选在两个类型的过渡带，能够进行科学系统的观测研究；样地的植被群落应较为稳定，潜在干扰小，适合长期观测；样地应建立在交通相对便利的地段，其地形不宜过于陡峭复杂。</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5.2 样地设置</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依据样地在抽样图中坐标进行GPS定位，用罗盘仪对其进行校准，从样地西南角开始，顺时针使用罗盘仪测角度，用测距工具测量距离（不得用视距）。在样地的中央位置及西南角点布设钢筋水泥标桩等永久性标识，方便连续观测。定位样点为样地西南角，统一标记和编号。将其与标准方位图上相应方位对照进行比较，确认是否一致。样地设置以其西南角为起点，罗盘仪测角，测距工具量距离，闭合差小于1/200为准，乔木林样地为 20 m× 20 m，林下灌木样方为 5 m× 5 m，各设置 3 个，分别位于样地西北角处、样地中间处、东南角处；草本样方为 1 m× l m，各设置3个，分别位于每个灌木层样方内；枯落物样方为 1 m× l m，各设置3个，分别位于每个灌木层样方内。灌木林样地为 5 m× 5 m，草本样方为 1 m× l m，各设置 3 个，分别位于每个灌木层样方内；枯落物样方为 1 m× l m，各设置 3 个，分别位于每个灌木层样方内。样方内四角均用PVC管等标志固定,以备长期连续监测使用。除了固定监测样地以外，在其周边相同自然环境条件下设立相同规格的辅助样地，用以样地调查。</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5.3 样地调查</w:t>
      </w:r>
    </w:p>
    <w:p>
      <w:pPr>
        <w:keepNext/>
        <w:keepLines/>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5.3.1 乔木层调査</w:t>
      </w:r>
    </w:p>
    <w:p>
      <w:pPr>
        <w:keepNext/>
        <w:keepLines/>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对群落内全部乔木物种的中文名称进行了精确的识别和详细的记载。固定样地中的全部立木每木调查一次，包括胸径 ≥ 5.0 cm的活立木，地径≥ 1.0 cm灌木，调査乔木层的样地因子主要有：树种、胸径、树高、地径、冠幅、龄级和调查日期。通过对不同年龄和部位的乔木个体及群体特征研究，分析了各年龄阶段植物种类组成与数量变化特点。辅助样地内通过解析木，结合固定样地调查所获每木调查数据，最终推算出乔木层的生物量和含碳率。</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5.3.2 灌木层调査</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记录固定样方中出现灌木的种类、数量、盖度、平均高度、基径和调查日期。辅助样地内3个样方进行地上部分进行全部采样调查。将采集到的样品先称其鲜重。按照单株根：茎：枝：叶为3：2：2：2的比例混匀，取混合样品 300 g添加标签记录用于后续生物量及含碳率测定。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5.3.3 草本层调査</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固定样方中出现的全部草本植物进行调查（不包括苔藓、地衣等），记录草本植物种类、丛数量、平均高度、盖度和调查日期。辅助样地内3个样方进行地上部分全部进行采样调查，各自称鲜重。取采集到的草本样本 300 g，添加标签记录用于后续生物量及含碳率测定。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5.3.4 枯落物调査</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固定样地内对各林下草本层样方中枯落物进行调查，记录枯落物样品的厚度和调查日期。辅助样地内三个样方进行采样调查。取采集到的枯落物样本 300 g添加标签记录用于后续生物量及含碳率测定。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5.3.5 土壤层调査</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固定样地内对各林下土壤进行调查，记录土壤类型。辅助样地内设置1个土壤样方，应在晴天进行。土壤取样坑尺寸为： 150 cm× 50 cm× 90 cm，在取样坑中整理出一个深 90 cm的土壤剖面，不够 90 cm至基岩为止。每个剖面采样层次按 0 cm- 30 cm、 30 cm- 60 cm、 60 cm- 90 cm划分土层；每个土层取环刀样 1 个，放在密封袋中临时保存，添加标签，标记辅助样地号、土层厚度和深度，带回室内测定土壤容重。除环刀样外，每个土层再取一份用于化验土壤养分、理化性质和有机质含量。每个标准样地共 6 份土壤样品，用于测定土壤容重的样品 3 份（ 0 cm- 30 cm、30 cm- 60 cm、60 cm- 90 cm土层各一份）；用于测定土壤养分和有机质含量的样品 3 份（ 0 cm- 30 cm、 30 cm- 60 cm、 60 cm- 90 cm土层各一份混合样），每份样品 300 g。</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5.4 样地监测</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5.4.1 监测内容与周期</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所有监测项目均在固定样地内进行。主要监测项目为采取采（间）伐和补植的时间、地点（边界）、面积、树种和强度等经营活动的森林；如果采取人工更新，检查并确保皆伐后的迹地得以立即更新造林；如果采取萌芽或天然更新，检查并确保良好的更新条件；其他森林经营：施肥、除灌、灌溉等的地点（边界）、面积、措施。监测工作包括野外数据的采集、数据记录、管理和存档。监测周期为每五年一次。</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5.4.2 监测样地碳储量变化的测定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测定样地内所有活立木的胸径和树高。利用生物量方程计算每株林木生物量，再累积到样地水平生物量和碳储量。计算固定样地各碳层的平均单位面积碳储量，推算该区域碳储量变化。</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5.5生物量法碳储量测定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5.5.1 生物量测定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生物量主要通过设置辅助样地，分别对乔木、灌木、草本、枯落物生物量开展调查取样。</w:t>
      </w:r>
    </w:p>
    <w:p>
      <w:pPr>
        <w:pageBreakBefore w:val="0"/>
        <w:kinsoku/>
        <w:wordWrap/>
        <w:overflowPunct/>
        <w:topLinePunct w:val="0"/>
        <w:autoSpaceDE/>
        <w:autoSpaceDN/>
        <w:bidi w:val="0"/>
        <w:adjustRightInd/>
        <w:snapToGrid/>
        <w:spacing w:line="578" w:lineRule="exact"/>
        <w:ind w:firstLine="0" w:firstLineChars="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乔木层生物量测定是在辅助样地内，采用平均标准木法选取1株乔木标准木，测定和记录该株标准木地上鲜重，枝叶混合后取样 300 g，在烘干机中设置恒温 85 ℃，每日烘干 8 h，7天后测量并记录其干重。</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灌木层生物量测定是在辅助样地内，采用平均标准木法选取3株灌木标准木，分别测定和记录3株标准木地上鲜重，按照单株根：茎：枝：叶为3：2：2：2的比例混匀，取混合后的样品 300 g，在烘干机中设置恒温 85 ℃，每日烘干 8 h，7天后测量并记录其干重。</w:t>
      </w:r>
    </w:p>
    <w:p>
      <w:pPr>
        <w:pageBreakBefore w:val="0"/>
        <w:kinsoku/>
        <w:wordWrap/>
        <w:overflowPunct/>
        <w:topLinePunct w:val="0"/>
        <w:autoSpaceDE/>
        <w:autoSpaceDN/>
        <w:bidi w:val="0"/>
        <w:adjustRightInd/>
        <w:snapToGrid/>
        <w:spacing w:line="578" w:lineRule="exact"/>
        <w:ind w:firstLine="0" w:firstLineChars="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草本层生物量测定在辅助样地内，对3个草本样方内的所有草本植物采用生物量法收集地上部分，分别称其样方鲜重。把 3 个样方草本进行混合，取混合后草本样品 300 g称鲜重，在烘干机中设置恒温85 ℃，每日烘干 8 h，7天后测量并记录其干重。</w:t>
      </w:r>
    </w:p>
    <w:p>
      <w:pPr>
        <w:pageBreakBefore w:val="0"/>
        <w:kinsoku/>
        <w:wordWrap/>
        <w:overflowPunct/>
        <w:topLinePunct w:val="0"/>
        <w:autoSpaceDE/>
        <w:autoSpaceDN/>
        <w:bidi w:val="0"/>
        <w:adjustRightInd/>
        <w:snapToGrid/>
        <w:spacing w:line="578" w:lineRule="exact"/>
        <w:ind w:firstLine="0" w:firstLineChars="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枯落物层生物量测定在辅助样地内调查枯落物厚度和分解情况，收集枯落物，称量其鲜重，混合采集枯落物样品 300 g（每个辅助样地一份），在烘干机中设置恒温 85 ℃，每日烘干 8 h，7天后测量并记录其干重。</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5.5.2 碳含率测定</w:t>
      </w:r>
    </w:p>
    <w:p>
      <w:pPr>
        <w:pageBreakBefore w:val="0"/>
        <w:tabs>
          <w:tab w:val="left" w:pos="1896"/>
        </w:tabs>
        <w:kinsoku/>
        <w:wordWrap/>
        <w:overflowPunct/>
        <w:topLinePunct w:val="0"/>
        <w:bidi w:val="0"/>
        <w:spacing w:line="578" w:lineRule="exact"/>
        <w:ind w:left="0" w:leftChars="0" w:firstLine="640" w:firstLineChars="200"/>
        <w:jc w:val="left"/>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称 0.500 g 烘干样品，置于硬质试管内，加入 0.100 g硫酸银，用移液管加入 5 mL重铬酸钾标准溶液，再用注射器加浓硫酸 5 mL转动摇匀，事先把油锅烧热到 185 ℃- 190 ℃，在铁丝笼架上插上放置好样品的硬质试管，再放进油锅里烧热，控制油锅的温度在 170 ℃- 180 ℃之间，并令溶液持续煮沸5 min，再拿出铁丝笼架，等试管微冷，把试管放在试管架上。带烧开后如溶液变绿，说明重铬酸钾的量不够，应重称少量试样重做，如溶液为橙黄色或者黄绿色等，待放凉试管消煮液移入 150 mL锥形瓶，再加入四滴邻菲啰啉指示剂，将残余重铬酸钾以浓度为 0.200 mol/L的硫酸亚铁铵标准溶液进行滴定，待溶液从橙黄色到棕红色，记录硫酸亚铁铵溶液的体积。根据实验结果计算出每一批次所需重铬酸钾的量。同时制作两个空白试样，在空白试管内加入 0.500 g石英砂，其他步骤与试样分析过程相同，对硫酸亚铁铵溶液的体积进行记录。</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5.5.3 生物量法</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乔木层碳储量应采用组成林分各树种的平均单位面积生物量、树种含碳率及乔木层面积；灌木层碳储量采用全收获法通过实验得到植物生物量、含碳率及灌木层面积；草本层碳储量采用全收获法通过实验得到植物生物量、含碳率及草本层面积；枯落物层碳储量采用全收获法通过实验得到植物生物量、含碳率及枯落物层面积；土壤层森林生态系统碳库碳储量根据土壤有机碳密度及林分面积；包头市森林总碳储量估算采用生物量法将森林按照碳层分别划分为乔木层、灌木层、草本层、枯落物层和土壤层，根据不同样地植被分布特征按照各碳层单位面积碳储量总和与总面积的乘积获得包头市森林总碳储量。</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5.5.4 森林碳汇</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参照IPCC(2006)提供的库—差别方法，用当年调查的碳储量和基年调查的碳储量得到森林年平均碳汇。</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5.6 遥感监测</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5.6.1 遥感数据的收集</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遥感数据的选择应符合以下原则：使用的数据包含红波段与近红外波段，可利用算法反演得到地表植被分布；城市区域的影像云量的覆盖率≤10 %；选取卫星数据时采用无明显条带或大面积数据缺失的数据；遥感影像空间分辨率等于或优于 30 m。根据其要求选择覆盖评估区域的卫星遥感数据。主要数据来源包括但不限于Landsat、Sentinel、Gaofen和SPOT。</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5.6.2 遥感数据的收集与处理</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资料收集与数据处理应包括以下内容：遥感数据，按照 DZ/T 0143—1994第3章中对卫星遥感图像质量控制的规定，完成几何校正、辐射校正等遥感图像预处理步骤；气象资料，从气象部门获取；社会经济资料，通过开展调研、收集相关资料获取。</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5.6.3 碳汇遥感计算</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根据光合作用化学反应式，植被每积累 1 单位干物质，吸收 1.63 单位 CO2，可获得单位面积的植被碳汇量。</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5.6.4 遥感检验</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对包头地区地上生物量进行了估算，通过含碳系数折算，获得碳储量，基于监测的两个时段碳储量的变化。基于遥感和GIS技术，对年度草原监测的面积数据进行计算，计算结果乘以上述单位面积碳储量，就得到草原地上碳储量，统计各年度的碳储量变化即得到碳汇量。该数据与生物量法所得结果对比分析，设置精度75 %进行验证确保遥感法准确度。</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5.7 呼吸光合法监测</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5.7.1 植物净光合速率日变化</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利用便携式光合仪进行了植物光合速率的测定。测定包括空气温度、叶温、叶室湿度、光合有效辐射蒸腾速率，气孔导度，胞间CO2浓度和水分利用效率等参数。测定时每种植物选择具有代表性的3株植株，每次每株植物选择向阳的大小相近、长势较好的功能叶4-6片，在不离体的情况下每片叶记录5个瞬时光合速率值，然后取其平均值，每种植物取3株样木的平均值，各个时间段内测定树种的顺序保持不变。</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5.7.2 叶面积测定</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用便携式叶面积测量仪测量了所选择植物叶面积。通过比较不同种类、不同生长阶段以及同一类型不同高度的植物所对应的单叶叶量差异。同时，用标准枝法对全株叶量进行调查，得到全株调查叶片总面积。计算出各树种的单株叶面积指数。通过测量工具测定植物冠幅。计算出各树种的平均叶面积、全株总叶数和总生物量等指标。</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5.7.3固碳能力的计算及分析方法</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能够得到植物的日同化量、单位叶面积日净固定CO</w:t>
      </w:r>
      <w:r>
        <w:rPr>
          <w:rFonts w:hint="eastAsia" w:ascii="仿宋_GB2312" w:hAnsi="仿宋_GB2312" w:eastAsia="仿宋_GB2312" w:cs="仿宋_GB2312"/>
          <w:b w:val="0"/>
          <w:bCs w:val="0"/>
          <w:color w:val="auto"/>
          <w:kern w:val="2"/>
          <w:sz w:val="32"/>
          <w:szCs w:val="32"/>
          <w:vertAlign w:val="subscript"/>
          <w:lang w:val="en-US" w:eastAsia="zh-CN" w:bidi="ar-SA"/>
        </w:rPr>
        <w:t>2</w:t>
      </w:r>
      <w:r>
        <w:rPr>
          <w:rFonts w:hint="eastAsia" w:ascii="仿宋_GB2312" w:hAnsi="仿宋_GB2312" w:eastAsia="仿宋_GB2312" w:cs="仿宋_GB2312"/>
          <w:b w:val="0"/>
          <w:bCs w:val="0"/>
          <w:color w:val="auto"/>
          <w:kern w:val="2"/>
          <w:sz w:val="32"/>
          <w:szCs w:val="32"/>
          <w:lang w:val="en-US" w:eastAsia="zh-CN" w:bidi="ar-SA"/>
        </w:rPr>
        <w:t>量、被测定植物在测定当日单位土地面积上每天吸收CO</w:t>
      </w:r>
      <w:r>
        <w:rPr>
          <w:rFonts w:hint="eastAsia" w:ascii="仿宋_GB2312" w:hAnsi="仿宋_GB2312" w:eastAsia="仿宋_GB2312" w:cs="仿宋_GB2312"/>
          <w:b w:val="0"/>
          <w:bCs w:val="0"/>
          <w:color w:val="auto"/>
          <w:kern w:val="2"/>
          <w:sz w:val="32"/>
          <w:szCs w:val="32"/>
          <w:vertAlign w:val="subscript"/>
          <w:lang w:val="en-US" w:eastAsia="zh-CN" w:bidi="ar-SA"/>
        </w:rPr>
        <w:t>2</w:t>
      </w:r>
      <w:r>
        <w:rPr>
          <w:rFonts w:hint="eastAsia" w:ascii="仿宋_GB2312" w:hAnsi="仿宋_GB2312" w:eastAsia="仿宋_GB2312" w:cs="仿宋_GB2312"/>
          <w:b w:val="0"/>
          <w:bCs w:val="0"/>
          <w:color w:val="auto"/>
          <w:kern w:val="2"/>
          <w:sz w:val="32"/>
          <w:szCs w:val="32"/>
          <w:lang w:val="en-US" w:eastAsia="zh-CN" w:bidi="ar-SA"/>
        </w:rPr>
        <w:t>、单株植物平均每天固定CO</w:t>
      </w:r>
      <w:r>
        <w:rPr>
          <w:rFonts w:hint="eastAsia" w:ascii="仿宋_GB2312" w:hAnsi="仿宋_GB2312" w:eastAsia="仿宋_GB2312" w:cs="仿宋_GB2312"/>
          <w:b w:val="0"/>
          <w:bCs w:val="0"/>
          <w:color w:val="auto"/>
          <w:kern w:val="2"/>
          <w:sz w:val="32"/>
          <w:szCs w:val="32"/>
          <w:vertAlign w:val="subscript"/>
          <w:lang w:val="en-US" w:eastAsia="zh-CN" w:bidi="ar-SA"/>
        </w:rPr>
        <w:t>2</w:t>
      </w:r>
      <w:r>
        <w:rPr>
          <w:rFonts w:hint="eastAsia" w:ascii="仿宋_GB2312" w:hAnsi="仿宋_GB2312" w:eastAsia="仿宋_GB2312" w:cs="仿宋_GB2312"/>
          <w:b w:val="0"/>
          <w:bCs w:val="0"/>
          <w:color w:val="auto"/>
          <w:kern w:val="2"/>
          <w:sz w:val="32"/>
          <w:szCs w:val="32"/>
          <w:lang w:val="en-US" w:eastAsia="zh-CN" w:bidi="ar-SA"/>
        </w:rPr>
        <w:t>量。</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 监测结果</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6.1 监测数据库</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按照不同起源、不同龄级、不同密度、不同立地条件的森林部分碳汇相关数据统计，利用数据库进行汇总。各个森林样地面积乘以类型样地单位面积上的植物和土壤有机碳的碳储量得到各类型森林部分总碳储量、固碳量及碳汇量。</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6.2 制作成果图</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通过GIS地理信息系统软件制作成果图，包括：位置图和分布图(按森林类型、植被类型、总碳储量、植被碳储量、土壤碳储量、年固碳量、碳汇量)。</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6.3 监测报告</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编写监测报告，包括：监测工作概况、技术方法、森林总体概况、植被群系、土壤相关因子等基本情况，并对不同类型森林的植被和土壤碳储量、年固碳量、碳汇量变化等内容进行详细叙述，综合比较分析。</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六、重大意见分歧的处理依据和结果</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目前，无分歧意见。</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七、采用国际标准或国外先进标准的，说明采标程度，以及国内外同类标准水平的对比情况</w:t>
      </w:r>
    </w:p>
    <w:p>
      <w:pPr>
        <w:pageBreakBefore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本标准制定过程未检索到国际标准或国外先进标准，标准水平达到国内先进水平。</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八、推广实施（包括实施措施；实施方向，如以标准为依据开展的产业推进、行业管理等有关活动）</w:t>
      </w:r>
    </w:p>
    <w:p>
      <w:pPr>
        <w:pStyle w:val="10"/>
        <w:pageBreakBefore w:val="0"/>
        <w:numPr>
          <w:ilvl w:val="0"/>
          <w:numId w:val="0"/>
        </w:numPr>
        <w:kinsoku/>
        <w:wordWrap/>
        <w:overflowPunct/>
        <w:topLinePunct w:val="0"/>
        <w:bidi w:val="0"/>
        <w:spacing w:before="0" w:beforeLines="0" w:after="0" w:afterLines="0" w:line="578" w:lineRule="exact"/>
        <w:ind w:left="0" w:leftChars="0" w:firstLine="640" w:firstLineChars="20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kern w:val="2"/>
          <w:sz w:val="32"/>
          <w:szCs w:val="32"/>
          <w:lang w:val="en-US" w:eastAsia="zh-CN" w:bidi="ar-SA"/>
        </w:rPr>
        <w:t>本文件的制定,将提升包头及周边地区森林碳汇监测精准性、提升森林碳汇数据质量、提高森林碳汇计量监测水平，促进建立健全森林碳汇监测规程，助力实现碳达峰碳中和目标。</w:t>
      </w:r>
    </w:p>
    <w:p>
      <w:pPr>
        <w:keepLines/>
        <w:pageBreakBefore w:val="0"/>
        <w:widowControl w:val="0"/>
        <w:tabs>
          <w:tab w:val="left" w:pos="720"/>
        </w:tabs>
        <w:kinsoku/>
        <w:wordWrap/>
        <w:overflowPunct/>
        <w:topLinePunct w:val="0"/>
        <w:autoSpaceDE/>
        <w:autoSpaceDN/>
        <w:bidi w:val="0"/>
        <w:adjustRightInd/>
        <w:snapToGrid/>
        <w:spacing w:line="578" w:lineRule="exact"/>
        <w:ind w:left="0" w:leftChars="0" w:firstLine="640" w:firstLineChars="200"/>
        <w:jc w:val="both"/>
        <w:textAlignment w:val="auto"/>
        <w:outlineLvl w:val="9"/>
        <w:rPr>
          <w:rFonts w:hint="eastAsia" w:ascii="黑体" w:hAnsi="黑体" w:eastAsia="黑体" w:cs="黑体"/>
          <w:b w:val="0"/>
          <w:bCs/>
          <w:smallCaps w:val="0"/>
          <w:kern w:val="44"/>
          <w:sz w:val="32"/>
          <w:szCs w:val="32"/>
          <w:lang w:val="en-US" w:eastAsia="zh-CN"/>
        </w:rPr>
      </w:pPr>
      <w:r>
        <w:rPr>
          <w:rFonts w:hint="eastAsia" w:ascii="黑体" w:hAnsi="黑体" w:eastAsia="黑体" w:cs="黑体"/>
          <w:b w:val="0"/>
          <w:bCs/>
          <w:smallCaps w:val="0"/>
          <w:kern w:val="44"/>
          <w:sz w:val="32"/>
          <w:szCs w:val="32"/>
          <w:lang w:val="en-US" w:eastAsia="zh-CN"/>
        </w:rPr>
        <w:t>九、其他应说明的事项</w:t>
      </w:r>
    </w:p>
    <w:p>
      <w:pPr>
        <w:pStyle w:val="10"/>
        <w:pageBreakBefore w:val="0"/>
        <w:numPr>
          <w:ilvl w:val="0"/>
          <w:numId w:val="0"/>
        </w:numPr>
        <w:kinsoku/>
        <w:wordWrap/>
        <w:overflowPunct/>
        <w:topLinePunct w:val="0"/>
        <w:bidi w:val="0"/>
        <w:spacing w:before="0" w:beforeLines="0" w:after="0" w:afterLines="0" w:line="578" w:lineRule="exact"/>
        <w:ind w:left="0" w:leftChars="0"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无。</w:t>
      </w:r>
    </w:p>
    <w:p>
      <w:pPr>
        <w:pageBreakBefore w:val="0"/>
        <w:kinsoku/>
        <w:wordWrap/>
        <w:overflowPunct/>
        <w:topLinePunct w:val="0"/>
        <w:bidi w:val="0"/>
        <w:adjustRightInd w:val="0"/>
        <w:snapToGrid w:val="0"/>
        <w:spacing w:line="578" w:lineRule="exact"/>
        <w:ind w:firstLine="0" w:firstLineChars="0"/>
        <w:jc w:val="right"/>
        <w:textAlignment w:val="auto"/>
        <w:outlineLvl w:val="9"/>
        <w:rPr>
          <w:rFonts w:hint="eastAsia" w:ascii="仿宋_GB2312" w:hAnsi="仿宋_GB2312" w:eastAsia="仿宋_GB2312" w:cs="仿宋_GB2312"/>
          <w:kern w:val="0"/>
          <w:sz w:val="32"/>
          <w:szCs w:val="32"/>
        </w:rPr>
      </w:pPr>
    </w:p>
    <w:p>
      <w:pPr>
        <w:pStyle w:val="10"/>
        <w:pageBreakBefore w:val="0"/>
        <w:numPr>
          <w:ilvl w:val="0"/>
          <w:numId w:val="0"/>
        </w:numPr>
        <w:kinsoku/>
        <w:wordWrap/>
        <w:overflowPunct/>
        <w:topLinePunct w:val="0"/>
        <w:bidi w:val="0"/>
        <w:spacing w:before="0" w:beforeLines="0" w:after="0" w:afterLines="0" w:line="578" w:lineRule="exact"/>
        <w:ind w:left="0" w:leftChars="0" w:firstLine="0" w:firstLineChars="0"/>
        <w:jc w:val="right"/>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标准起草小组 </w:t>
      </w:r>
    </w:p>
    <w:p>
      <w:pPr>
        <w:pStyle w:val="10"/>
        <w:pageBreakBefore w:val="0"/>
        <w:numPr>
          <w:ilvl w:val="0"/>
          <w:numId w:val="0"/>
        </w:numPr>
        <w:kinsoku/>
        <w:wordWrap/>
        <w:overflowPunct/>
        <w:topLinePunct w:val="0"/>
        <w:bidi w:val="0"/>
        <w:spacing w:before="0" w:beforeLines="0" w:after="0" w:afterLines="0" w:line="578" w:lineRule="exact"/>
        <w:ind w:left="0" w:leftChars="0" w:firstLine="0" w:firstLineChars="0"/>
        <w:jc w:val="right"/>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2023年9月</w:t>
      </w:r>
    </w:p>
    <w:sectPr>
      <w:headerReference r:id="rId5" w:type="default"/>
      <w:footerReference r:id="rId6" w:type="default"/>
      <w:footerReference r:id="rId7" w:type="even"/>
      <w:type w:val="oddPage"/>
      <w:pgSz w:w="11906" w:h="16838"/>
      <w:pgMar w:top="1134" w:right="1134" w:bottom="1134" w:left="1134" w:header="850"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方正小标宋简体">
    <w:altName w:val="仿宋_GB2312"/>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OTFiNjkwNmZkZGViMDMxZGEyNTM1ZWZjMjRlZmIifQ=="/>
  </w:docVars>
  <w:rsids>
    <w:rsidRoot w:val="2BF7179E"/>
    <w:rsid w:val="2BF7179E"/>
    <w:rsid w:val="2D824AE4"/>
    <w:rsid w:val="374028EC"/>
    <w:rsid w:val="423D15C3"/>
    <w:rsid w:val="43B11D8B"/>
    <w:rsid w:val="4DFA7BDD"/>
    <w:rsid w:val="6477283B"/>
    <w:rsid w:val="707A0DD5"/>
    <w:rsid w:val="798A16BF"/>
    <w:rsid w:val="7AB7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3"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720"/>
      </w:tabs>
      <w:spacing w:line="360" w:lineRule="auto"/>
      <w:jc w:val="left"/>
      <w:outlineLvl w:val="0"/>
    </w:pPr>
    <w:rPr>
      <w:b/>
      <w:smallCaps/>
      <w:kern w:val="0"/>
      <w:sz w:val="44"/>
      <w:szCs w:val="20"/>
      <w:lang w:val="en-GB"/>
    </w:rPr>
  </w:style>
  <w:style w:type="paragraph" w:styleId="3">
    <w:name w:val="heading 2"/>
    <w:basedOn w:val="1"/>
    <w:next w:val="1"/>
    <w:unhideWhenUsed/>
    <w:qFormat/>
    <w:uiPriority w:val="9"/>
    <w:pPr>
      <w:keepNext/>
      <w:keepLines/>
      <w:spacing w:line="360" w:lineRule="auto"/>
      <w:ind w:firstLine="720" w:firstLineChars="200"/>
      <w:outlineLvl w:val="1"/>
    </w:pPr>
    <w:rPr>
      <w:rFonts w:ascii="Times New Roman" w:hAnsi="Times New Roman" w:eastAsia="楷体_GB2312" w:cs="Times New Roman"/>
      <w:b/>
      <w:bCs/>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一级无"/>
    <w:basedOn w:val="11"/>
    <w:qFormat/>
    <w:uiPriority w:val="0"/>
    <w:pPr>
      <w:spacing w:before="0" w:beforeLines="0" w:after="0" w:afterLines="0"/>
    </w:pPr>
    <w:rPr>
      <w:rFonts w:ascii="Times New Roman" w:hAnsi="Times New Roman" w:eastAsia="仿宋"/>
    </w:rPr>
  </w:style>
  <w:style w:type="paragraph" w:customStyle="1" w:styleId="11">
    <w:name w:val="一级条标题"/>
    <w:next w:val="12"/>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5894</Words>
  <Characters>6227</Characters>
  <Lines>0</Lines>
  <Paragraphs>0</Paragraphs>
  <TotalTime>0</TotalTime>
  <ScaleCrop>false</ScaleCrop>
  <LinksUpToDate>false</LinksUpToDate>
  <CharactersWithSpaces>6425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2023-11-09T07:54:00Z</dcterms:created>
  <dc:creator>Administrator</dc:creator>
  <cp:lastModifiedBy>酱酱酱_</cp:lastModifiedBy>
  <dcterms:modified xsi:type="dcterms:W3CDTF">2023-11-13T03:17:19Z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B19E01D4D1A04051AC0E02BE4AEAAC07_11</vt:lpwstr>
  </property>
</Properties>
</file>