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jc w:val="center"/>
        <w:textAlignment w:val="auto"/>
        <w:rPr>
          <w:rStyle w:val="10"/>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Style w:val="10"/>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包头市殡葬行业经营者价格行为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jc w:val="center"/>
        <w:textAlignment w:val="auto"/>
        <w:rPr>
          <w:rStyle w:val="10"/>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Style w:val="10"/>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合规指引</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为进一步规范殡葬行业经营者价格行为，切实保障消费者和经营者的合法权益，促进殡葬行业持续健康发展，依据《中华人民共和国价格法》《殡葬管理条例》《公墓管理暂行办法》《明码标价和禁止价格欺诈规定》《内蒙古自治区殡葬服务收费管理办法》等法律法规规章，结合包头市实际情况,制定本合规指引。</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本指引适用殡仪馆、公墓、殡葬服务机构及殡葬用品经营者等殡葬服务经营主体。</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本指引所称殡葬服务机构，包括殡仪馆、殡仪服务中心、殡仪服务站（集中治丧点）、城市公益性公墓、经营性公墓。</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所称殡葬行业经营者，包括殡葬服务机构、殡葬服务中介机构（提供代办服务、丧事服务以及销售殡葬用品的机构和个人）等。</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所称殡葬行业经营者价格行为，是指提供殡仪服务、出售（租）公墓、提供殡葬代理服务、提供殡葬用品等机构和个人销售商品、提供服务并收取费用的行为。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所称明码标价，是指经营者在销售商品和提供服务过程中，依法公开标示价格及与价格相关信息的行为。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本指引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只对殡葬行业经营者价格行为进行规范并给予合理引导，不对现行法律法规做扩充解释，不干涉经营者自主经营权、自主定价权，不额外增加经营者义务和负担。</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殡葬行业经营者应当明码标价、完善收费公示制度，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在经营场所的显著位置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适当形式，包括标价签、标价牌、价目表（册）、展示板、电子屏幕、商品实物或者模型展示、图片展示以及其他消费者方便和有效获悉的标价形式等明码标价，公开标示提供的服务项目、服务内容、价格和计价单位；销售商品的品名、价格和计价单位；丧葬设施、用品的名称、价格、租用期限，超出期限的收费标准等价格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惠民殡葬减免政策、服务流程、服务规范、投诉电话等信息全部公示，接受社会监督。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商品或者服务的价格发生变动时，应当及时调整价格标示。</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殡葬服务机构公示时要将殡葬基本服务和延伸服务内容及收费予以明显区分，不混淆标示，造成消费误导，确保价格信息的透明度，做到标示清晰醒目规范、内容真实准确完整。</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实行政府定价、政府指导价的收费项目，还须公示批准机关、批准文号。</w:t>
      </w:r>
    </w:p>
    <w:p>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ind w:firstLine="64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殡葬基本服务是指在遗体处置过程中必须提供的服务项目，包括遗体接运（含抬尸、消毒）、遗体存放（含冷藏）、遗体火化和骨灰寄存。提供殡葬基本服务时要严格执行政府定价或政府指导价。不得有下列违法行为：高于或者低于政府定价制定价格；擅自制定属于政府指导价、政府定价范围内的商品或者服务价格：提前或者推迟执行政府指导价、政府定价；自立收费项目或者自定标准收费；采取分解收费项目、重复收费、扩大收费范围等方式变相提高收费标准；对政府明令取消的收费项目继续收费；违反规定以保证金、抵押金等形式变相收费；强制或者变相强制服务并收费；不按照规定提供服务而收取费用等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第七条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殡葬延伸服务是指殡葬服务单位在保证基本服务项目和服务质量前提下，根据丧葬户需求开展的基本服务之外的服务项目，主要包括吊唁设施及设备租赁、遗体整容服务、遗体防腐等。《服务选项单》内容，由当地民政部门会同价格主管部门共同确定，供丧葬户自愿选择服务项目，并按丧葬户所选项目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殡葬延伸服务及殡葬用品实行市场调节价，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针对目前殡葬服务过程中存在的繁杂的收费项目,要立足于树立本地殡葬领域良好风尚，切实减轻丧者家属负担，整合精简服务流程和收费项目，合理制定延伸服务过程中商品价格和服务收费标准，</w:t>
      </w:r>
      <w:r>
        <w:rPr>
          <w:rFonts w:hint="eastAsia" w:ascii="仿宋_GB2312" w:hAnsi="仿宋_GB2312" w:eastAsia="仿宋_GB2312" w:cs="仿宋_GB2312"/>
          <w:sz w:val="32"/>
          <w:szCs w:val="32"/>
          <w:lang w:val="en-US" w:eastAsia="zh-CN"/>
        </w:rPr>
        <w:t>具体收费标准和价格标准由殡葬行业经营者等按照合法、公平和诚实信用的原则自主确定，实行明码标价。</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政府定价项目发生变化的，从其规定。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殡葬用品是指殡葬服务机构向丧属销售的骨灰盒、寿衣、花圈等物品，要严格落实明码标价的规定，合理制定价格，不得在标价之外加价出售商品，不得强制或捆绑销售殡葬用品</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2"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第九条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城乡公益性公墓（不含农村公益性墓地）墓穴价格要严格执行政府定价或政府指导价。</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经营性公墓实行市场调节价，要遵循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公平、公正、合法诚信原则，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依据生产经营成本和市场供求状况合理自主定价，实行明码标价。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经营性公墓应按照相关规定，设置非营利公益性墓穴。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第十条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经营性公墓在公示墓穴价格时要将非营利公益性墓穴和普通墓穴予以明显区分。应确保价格信息的透明度，做到标示清晰醒目规范、内容真实准确完整。</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2"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第十一条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殡葬服务机构、殡葬用品销售主体不得有下列违法行为:标示或者显著弱化标示对丧事承办人或者其他殡葬相关单位不利的价格条件，诱骗丧事承办人或者其他殡葬相关单位与其进行交易；使用欺骗性或者误导性的语言、文字、数字、图片、视频或者计量单位等标价；将已作废的定价文件作为收费依据进行公示，将市场调节价项目谎称为政府定价或者政府指导价；无正当理由拒绝履行或者不完全履行价格承诺。殡葬服务实行消费者填写《服务选项单》制度，引导群众理性消费、明白消费,保证丧葬户的利益和不同的需求。</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firstLine="641"/>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第十二条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殡葬服务经营主体接受市场监管部门的监督检查时，应当如实提供价格监督检查所必需的账簿、单据、凭证、文件以及其他资料。拒绝提供价格监督检查所需资料或者提供虚假资料的，市场监管部门将责令改正，给予警告，逾期不改正的，可以处10万元以下的罚款，对直接负责的主管人员和其他直接责任人员给予纪律处分。</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firstLine="641"/>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殡葬行业经营者在销售商品或者提供服务时，</w:t>
      </w:r>
      <w:r>
        <w:rPr>
          <w:rFonts w:hint="eastAsia" w:ascii="仿宋_GB2312" w:hAnsi="仿宋_GB2312" w:eastAsia="仿宋_GB2312" w:cs="仿宋_GB2312"/>
          <w:color w:val="000000" w:themeColor="text1"/>
          <w:sz w:val="32"/>
          <w:szCs w:val="32"/>
          <w:lang w:eastAsia="zh-CN"/>
          <w14:textFill>
            <w14:solidFill>
              <w14:schemeClr w14:val="tx1"/>
            </w14:solidFill>
          </w14:textFill>
        </w:rPr>
        <w:t>违反明码标价规定，在标价之外加价出售商品，或收取了未予标明的费用，可能存在违反《中华人民共和国价格法》、《价格违法行为行政处罚规定》的风险。</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第十四条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殡葬行业经营者在销售商品或者提供服务时，不执行政府定价或政府指导价，超标准收费、自立项目收费、分解项目收费、重复收费、扩大范围收费、改变收费频次和计费方式收费的，可能存在违反《中华人民共和国价格法》《价格违法行为行政处罚规定》的风险</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2"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第十五条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殡葬行业经营者在销售商品或者提供服务时，实施价格欺诈、串通涨价、哄抬价格等行为、违反公平自愿原则以任何形式捆绑、分拆、搭售、强制销售商品或提供服务，设置强制消费或最低消费的套餐服务、附加其他不合理的交易条件变相提高殡葬用品以及服务价格的，可能存在违反《中华人民共和国价格法》《价格违法行为行政处罚规定》的风险</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市场监管部门将会同民政等部门，加大对殡葬行业价格行为</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的督导抽查和巡查检查力度，依法严厉打击殡葬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领域</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经营主体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价格违法行为。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pacing w:val="0"/>
          <w:w w:val="100"/>
          <w:kern w:val="21"/>
          <w:sz w:val="32"/>
          <w:szCs w:val="32"/>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第十六条</w:t>
      </w:r>
      <w:r>
        <w:rPr>
          <w:rFonts w:hint="eastAsia" w:ascii="仿宋_GB2312" w:hAnsi="仿宋_GB2312" w:eastAsia="仿宋_GB2312" w:cs="仿宋_GB2312"/>
          <w:sz w:val="32"/>
          <w:szCs w:val="32"/>
          <w:lang w:val="en-US" w:eastAsia="zh-CN"/>
        </w:rPr>
        <w:t xml:space="preserve">  本指引并不涵盖与殡葬行业相关的全部价格行</w:t>
      </w:r>
      <w:r>
        <w:rPr>
          <w:rFonts w:hint="eastAsia" w:ascii="仿宋_GB2312" w:hAnsi="仿宋_GB2312" w:eastAsia="仿宋_GB2312" w:cs="仿宋_GB2312"/>
          <w:spacing w:val="0"/>
          <w:w w:val="100"/>
          <w:kern w:val="21"/>
          <w:sz w:val="32"/>
          <w:szCs w:val="32"/>
          <w:lang w:val="en-US" w:eastAsia="zh-CN"/>
        </w:rPr>
        <w:t>为的全部法律风险，未提及的事项应当符合价格相关法律法规的规定。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pacing w:val="0"/>
          <w:w w:val="100"/>
          <w:kern w:val="21"/>
          <w:sz w:val="32"/>
          <w:szCs w:val="32"/>
          <w:lang w:val="en-US" w:eastAsia="zh-CN"/>
        </w:rPr>
        <w:t>第十八条</w:t>
      </w:r>
      <w:r>
        <w:rPr>
          <w:rFonts w:hint="eastAsia" w:ascii="仿宋_GB2312" w:hAnsi="仿宋_GB2312" w:eastAsia="仿宋_GB2312" w:cs="仿宋_GB2312"/>
          <w:b w:val="0"/>
          <w:bCs w:val="0"/>
          <w:color w:val="auto"/>
          <w:spacing w:val="0"/>
          <w:w w:val="100"/>
          <w:kern w:val="21"/>
          <w:sz w:val="32"/>
          <w:szCs w:val="32"/>
          <w:lang w:val="en-US" w:eastAsia="zh-CN"/>
        </w:rPr>
        <w:t xml:space="preserve">  本指引最终解释权归包头市市场监督管理局所有。</w:t>
      </w:r>
      <w:bookmarkStart w:id="0" w:name="_GoBack"/>
      <w:bookmarkEnd w:id="0"/>
    </w:p>
    <w:sectPr>
      <w:footerReference r:id="rId3" w:type="default"/>
      <w:pgSz w:w="11906" w:h="16838"/>
      <w:pgMar w:top="1984"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2171"/>
    <w:rsid w:val="094F4051"/>
    <w:rsid w:val="0A142DB0"/>
    <w:rsid w:val="0E7936AD"/>
    <w:rsid w:val="0FBB2CD6"/>
    <w:rsid w:val="10EC49F2"/>
    <w:rsid w:val="124D192F"/>
    <w:rsid w:val="18053E9B"/>
    <w:rsid w:val="1E7573C2"/>
    <w:rsid w:val="3D2F2917"/>
    <w:rsid w:val="3E65DDA9"/>
    <w:rsid w:val="434575DD"/>
    <w:rsid w:val="450B4794"/>
    <w:rsid w:val="4B7EE7D7"/>
    <w:rsid w:val="5A7A3097"/>
    <w:rsid w:val="5CAB7F1D"/>
    <w:rsid w:val="5CC45074"/>
    <w:rsid w:val="5EFF9CB0"/>
    <w:rsid w:val="5FF38702"/>
    <w:rsid w:val="63F951EF"/>
    <w:rsid w:val="6F5D98C0"/>
    <w:rsid w:val="73D2C411"/>
    <w:rsid w:val="74FF8910"/>
    <w:rsid w:val="76BD3331"/>
    <w:rsid w:val="7797A234"/>
    <w:rsid w:val="77BF3EAA"/>
    <w:rsid w:val="77D11C92"/>
    <w:rsid w:val="77DA27A6"/>
    <w:rsid w:val="78571E9B"/>
    <w:rsid w:val="7DB7628E"/>
    <w:rsid w:val="7EDD8899"/>
    <w:rsid w:val="7FE33998"/>
    <w:rsid w:val="7FE7BA42"/>
    <w:rsid w:val="8D6FE9F0"/>
    <w:rsid w:val="99FFDABB"/>
    <w:rsid w:val="A7FEA942"/>
    <w:rsid w:val="AEBD0B64"/>
    <w:rsid w:val="BDFEDD41"/>
    <w:rsid w:val="BE4D68B1"/>
    <w:rsid w:val="BF7F026F"/>
    <w:rsid w:val="C5DF3EF7"/>
    <w:rsid w:val="CDF78A39"/>
    <w:rsid w:val="D6E7C9B0"/>
    <w:rsid w:val="DBBE0E33"/>
    <w:rsid w:val="DDF97181"/>
    <w:rsid w:val="DEDEAD50"/>
    <w:rsid w:val="DFB2865B"/>
    <w:rsid w:val="DFFE8DA6"/>
    <w:rsid w:val="EBFD3527"/>
    <w:rsid w:val="EC9FC86F"/>
    <w:rsid w:val="F3DCC4E1"/>
    <w:rsid w:val="F477E58C"/>
    <w:rsid w:val="FCFE2891"/>
    <w:rsid w:val="FFF24756"/>
    <w:rsid w:val="FFFFB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rFonts w:eastAsia="华文中宋"/>
      <w:b/>
      <w:bCs/>
      <w:color w:val="FF0000"/>
      <w:spacing w:val="52"/>
      <w:w w:val="80"/>
      <w:kern w:val="0"/>
      <w:sz w:val="72"/>
      <w:szCs w:val="72"/>
    </w:rPr>
  </w:style>
  <w:style w:type="paragraph" w:styleId="3">
    <w:name w:val="Body Text First Indent"/>
    <w:basedOn w:val="2"/>
    <w:next w:val="2"/>
    <w:qFormat/>
    <w:uiPriority w:val="0"/>
    <w:pPr>
      <w:ind w:firstLine="7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6686</Words>
  <Characters>6698</Characters>
  <Lines>0</Lines>
  <Paragraphs>0</Paragraphs>
  <TotalTime>38</TotalTime>
  <ScaleCrop>false</ScaleCrop>
  <LinksUpToDate>false</LinksUpToDate>
  <CharactersWithSpaces>6850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2024-12-17T16:59:00Z</dcterms:created>
  <dc:creator>Administrator.PC-20220719NZVB</dc:creator>
  <cp:lastModifiedBy>user</cp:lastModifiedBy>
  <cp:lastPrinted>2025-09-26T00:34:00Z</cp:lastPrinted>
  <dcterms:modified xsi:type="dcterms:W3CDTF">2025-09-29T17:32:55Z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1DE434A66CBB7AE32717D1682D264C5B_43</vt:lpwstr>
  </property>
  <property fmtid="{D5CDD505-2E9C-101B-9397-08002B2CF9AE}" pid="4" name="KSOTemplateDocerSaveRecord">
    <vt:lpwstr>eyJoZGlkIjoiMzY0ZTg5NDYyZDBmNDE2OTg2ZjkwMmFiMjg4ODI1ZjcifQ==</vt:lpwstr>
  </property>
</Properties>
</file>